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102033"/>
          <w:sz w:val="44"/>
        </w:rPr>
        <w:t>GSQ DD&amp;T Executive Platform</w:t>
      </w:r>
    </w:p>
    <w:p>
      <w:pPr>
        <w:pStyle w:val="Heading1"/>
      </w:pPr>
      <w:r>
        <w:t>TakOS Digital Delivery Onboarding — Readiness and Gap 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Source of requirements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takOS Digital Delivery Onboarding (TOOL-235311 practitioner rendering; effective Veeva documents prevail)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Reviewed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 September 2026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Product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GSQ DD&amp;T Roadmap Executive Platform MVP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Purpose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Show what is already satisfied for Marketplace / Initiate submission, and what must still be completed before the order can start cleanly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Companion documents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Business case (MVP v2 Sept 2026); *Design Blueprint*; *Executive Summary*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The onboarding site is a </w:t>
      </w:r>
      <w:r>
        <w:rPr>
          <w:rFonts w:ascii="Calibri" w:hAnsi="Calibri" w:eastAsia="Calibri"/>
          <w:b/>
          <w:i w:val="0"/>
          <w:color w:val="333A44"/>
          <w:sz w:val="22"/>
        </w:rPr>
        <w:t>41-section, six-phase guide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(Initiate → Design → Plan → Build → Validate &amp; Release → Operate), plus practical guides. It is </w:t>
      </w:r>
      <w:r>
        <w:rPr>
          <w:rFonts w:ascii="Calibri" w:hAnsi="Calibri" w:eastAsia="Calibri"/>
          <w:b/>
          <w:i w:val="0"/>
          <w:color w:val="333A44"/>
          <w:sz w:val="22"/>
        </w:rPr>
        <w:t>not a controlled record</w:t>
      </w:r>
      <w:r>
        <w:rPr>
          <w:rFonts w:ascii="Calibri" w:hAnsi="Calibri" w:eastAsia="Calibri"/>
          <w:b w:val="0"/>
          <w:i w:val="0"/>
          <w:color w:val="333A44"/>
          <w:sz w:val="22"/>
        </w:rPr>
        <w:t>. Formal decisions live in Jira, Veeva, GitHub, qTest, and ITSM — never as a duplicate in a deck.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This document follows the site’s own rule: </w:t>
      </w:r>
      <w:r>
        <w:rPr>
          <w:rFonts w:ascii="Calibri" w:hAnsi="Calibri" w:eastAsia="Calibri"/>
          <w:b/>
          <w:i w:val="0"/>
          <w:color w:val="333A44"/>
          <w:sz w:val="22"/>
        </w:rPr>
        <w:t>documents and intake records lead; stories follow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. Most of what a developer will later do (branch, PR, SIT) is *after* funding. Submission needs the </w:t>
      </w:r>
      <w:r>
        <w:rPr>
          <w:rFonts w:ascii="Calibri" w:hAnsi="Calibri" w:eastAsia="Calibri"/>
          <w:b/>
          <w:i w:val="0"/>
          <w:color w:val="333A44"/>
          <w:sz w:val="22"/>
        </w:rPr>
        <w:t>Initiate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spine plus enough Design/Plan artefacts that a POD can be assigned.</w:t>
      </w:r>
    </w:p>
    <w:p>
      <w:pPr>
        <w:pStyle w:val="Heading1"/>
      </w:pPr>
      <w:r>
        <w:t>How to read the statuses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Done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Evidence exists today for *this* Executive Platform initiative (not merely for other DDT work).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Partial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Related material exists (prototypes, business case, portfolio Jira) but is not yet the required controlled or Jira record.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Not started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Required by the guide; no evidence found in the working folder or live onboarding checks.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Not required for submission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Needed to *build* or *release*, not to submit the funding / Intake package. Listed so the team does not confuse the two.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SPOT is confirmed live (4 Sep 2026):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9F1B2C"/>
          <w:sz w:val="22"/>
          <w:u w:val="single"/>
        </w:rPr>
        <w:t>1063647 — GSQ DD&amp;T Roadmap Executive Platform MVP</w:t>
      </w:r>
      <w:r>
        <w:rPr>
          <w:rFonts w:ascii="Calibri" w:hAnsi="Calibri" w:eastAsia="Calibri"/>
          <w:b w:val="0"/>
          <w:i w:val="0"/>
          <w:color w:val="333A44"/>
          <w:sz w:val="22"/>
        </w:rPr>
        <w:t>. AIDPG / Intake still cannot be seen from here and remain *Confirm in Jira*.</w:t>
      </w:r>
    </w:p>
    <w:p>
      <w:pPr>
        <w:pStyle w:val="Heading1"/>
      </w:pPr>
      <w:r>
        <w:t>Submission snapshot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Gate / package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Ready to submit?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Blocking gaps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Business story + design blueprint + hours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Yes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Reconcile $40k vs $168k in the business case §9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TakOS Initiate (Intake Governance Gate)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AIDPG Initiative linked to 1063647, FORM-316177 Pattern-Fit, four classifications, gate decision on the Epic. SPOT itself exists.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AI enablement (if the POD will use Claude/Codex)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Partial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Dean (PM) and Joel (Sponsor) are on the SPOT team; Claude tokens already provisioned. Still need a token forecast line, acceptable-use + request form for each new user, and Codex for Aimee (open ask, due 9 Sep)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Design Approval Gate (URS/FDS)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 — and should not be claimed yet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FORM-312922 / 312923, architecture PR. The blueprint is the *business* design package, not the Veeva URS/FDS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Delivery Readiness Gate (build start)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POD, story backlog derived from URS/FDS, funding on the Initiative Epic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Bottom line: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you now have the </w:t>
      </w:r>
      <w:r>
        <w:rPr>
          <w:rFonts w:ascii="Calibri" w:hAnsi="Calibri" w:eastAsia="Calibri"/>
          <w:b/>
          <w:i w:val="0"/>
          <w:color w:val="333A44"/>
          <w:sz w:val="22"/>
        </w:rPr>
        <w:t>business design package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the Marketplace order asked GML to produce. You do </w:t>
      </w:r>
      <w:r>
        <w:rPr>
          <w:rFonts w:ascii="Calibri" w:hAnsi="Calibri" w:eastAsia="Calibri"/>
          <w:b/>
          <w:i w:val="0"/>
          <w:color w:val="333A44"/>
          <w:sz w:val="22"/>
        </w:rPr>
        <w:t>not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yet have the </w:t>
      </w:r>
      <w:r>
        <w:rPr>
          <w:rFonts w:ascii="Calibri" w:hAnsi="Calibri" w:eastAsia="Calibri"/>
          <w:b/>
          <w:i w:val="0"/>
          <w:color w:val="333A44"/>
          <w:sz w:val="22"/>
        </w:rPr>
        <w:t>Initiate records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the onboarding site requires before a TakOS POD starts. Those are the next business actions, not more PowerPoint.</w:t>
      </w:r>
    </w:p>
    <w:p>
      <w:pPr>
        <w:pStyle w:val="Heading1"/>
      </w:pPr>
      <w:r>
        <w:t>A. Required before requesting AI or opening a TakOS order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Source: onboarding </w:t>
      </w:r>
      <w:r>
        <w:rPr>
          <w:rFonts w:ascii="Calibri" w:hAnsi="Calibri" w:eastAsia="Calibri"/>
          <w:b/>
          <w:i w:val="0"/>
          <w:color w:val="333A44"/>
          <w:sz w:val="22"/>
        </w:rPr>
        <w:t>01 Request Access to AI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— “Required before onboarding.” Contacts: Jan Felix Meyer; Martin Sturm. Do </w:t>
      </w:r>
      <w:r>
        <w:rPr>
          <w:rFonts w:ascii="Calibri" w:hAnsi="Calibri" w:eastAsia="Calibri"/>
          <w:b/>
          <w:i w:val="0"/>
          <w:color w:val="333A44"/>
          <w:sz w:val="22"/>
        </w:rPr>
        <w:t>not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email Workforce AI Global without this checklist.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662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Checkpoint (verbatim intent)</w:t>
            </w:r>
          </w:p>
        </w:tc>
        <w:tc>
          <w:tcPr>
            <w:tcW w:type="dxa" w:w="1662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662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we have</w:t>
            </w:r>
          </w:p>
        </w:tc>
        <w:tc>
          <w:tcPr>
            <w:tcW w:type="dxa" w:w="1662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is still needed</w:t>
            </w:r>
          </w:p>
        </w:tc>
        <w:tc>
          <w:tcPr>
            <w:tcW w:type="dxa" w:w="1662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A1</w:t>
            </w:r>
          </w:p>
        </w:tc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SPOT project ID, with value case and prioritisation recorded</w:t>
            </w:r>
          </w:p>
        </w:tc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Done</w:t>
            </w:r>
          </w:p>
        </w:tc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1063647 is live (project board). Problem statement, 9,000-hour value case, Productivity Improvements, capture start 1 Dec 2026, and FTE-hour metric table (FY26 3,000 · FY27–29 9,000 · 30,000 total) are on the record. Category: Improvement — General Improvement. Governance: Tier 4.</w:t>
            </w:r>
          </w:p>
        </w:tc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Write 1063647 on the AIDPG Initiative. Keep the value table current.</w:t>
            </w:r>
          </w:p>
        </w:tc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Dean</w:t>
            </w:r>
          </w:p>
        </w:tc>
      </w:tr>
      <w:tr>
        <w:tc>
          <w:tcPr>
            <w:tcW w:type="dxa" w:w="1662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A2</w:t>
            </w:r>
          </w:p>
        </w:tc>
        <w:tc>
          <w:tcPr>
            <w:tcW w:type="dxa" w:w="1662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Accountable sponsor; required onboarding/endorsements; you, the sponsor, and the PM appear on the SPOT Project Team</w:t>
            </w:r>
          </w:p>
        </w:tc>
        <w:tc>
          <w:tcPr>
            <w:tcW w:type="dxa" w:w="1662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Done</w:t>
            </w:r>
          </w:p>
        </w:tc>
        <w:tc>
          <w:tcPr>
            <w:tcW w:type="dxa" w:w="1662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Santoro, Dean = Project Manager. Vincent, Joel = Sponsor. Also on the team: Aimee Rarugal, Juraj Krivda, Simran Karamchandani, Ivan Fonseca.</w:t>
            </w:r>
          </w:p>
        </w:tc>
        <w:tc>
          <w:tcPr>
            <w:tcW w:type="dxa" w:w="1662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Add any additional AI/POD users to this same team list before they request enablement.</w:t>
            </w:r>
          </w:p>
        </w:tc>
        <w:tc>
          <w:tcPr>
            <w:tcW w:type="dxa" w:w="1662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Dean</w:t>
            </w:r>
          </w:p>
        </w:tc>
      </w:tr>
      <w:tr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A3</w:t>
            </w:r>
          </w:p>
        </w:tc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PM-approved budget for AI tokens on that SPOT project (CAPEX if IAS 38 Development-phase from 1 Jul 2026, else OPEX); monthly reclass of actuals</w:t>
            </w:r>
          </w:p>
        </w:tc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Partial</w:t>
            </w:r>
          </w:p>
        </w:tc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Board accomplishment: “Claude code tokens provisioned.” Open ask: Codex for Aimee Rarugal from Jan Felix Meyer, due 9 Sep 2026. No dedicated token line visible on the budget grid.</w:t>
            </w:r>
          </w:p>
        </w:tc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Add an explicit token forecast (guide: ~USD 2,000 / month per 100% FTE). Decide CAPEX vs OPEX with finance. Close the Aimee ask.</w:t>
            </w:r>
          </w:p>
        </w:tc>
        <w:tc>
          <w:tcPr>
            <w:tcW w:type="dxa" w:w="1662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Dean + finance</w:t>
            </w:r>
          </w:p>
        </w:tc>
      </w:tr>
      <w:tr>
        <w:tc>
          <w:tcPr>
            <w:tcW w:type="dxa" w:w="1662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A4</w:t>
            </w:r>
          </w:p>
        </w:tc>
        <w:tc>
          <w:tcPr>
            <w:tcW w:type="dxa" w:w="1662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Read and accept *Agentic Coding Acceptable-Use Guidance*; request access via the approved form</w:t>
            </w:r>
          </w:p>
        </w:tc>
        <w:tc>
          <w:tcPr>
            <w:tcW w:type="dxa" w:w="1662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  <w:tc>
          <w:tcPr>
            <w:tcW w:type="dxa" w:w="1662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—</w:t>
            </w:r>
          </w:p>
        </w:tc>
        <w:tc>
          <w:tcPr>
            <w:tcW w:type="dxa" w:w="1662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Each person who will use Claude/Codex/Cowork/Copilot/Genie submits the form after A1–A3.</w:t>
            </w:r>
          </w:p>
        </w:tc>
        <w:tc>
          <w:tcPr>
            <w:tcW w:type="dxa" w:w="1662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Each user; Dean tracks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>A1 and A2 are met on 1063647. A3–A4 still block a *new* AI request (Aimee’s Codex ask is already in flight with Jan Felix Meyer).</w:t>
      </w:r>
    </w:p>
    <w:p>
      <w:pPr>
        <w:pStyle w:val="Heading1"/>
      </w:pPr>
      <w:r>
        <w:t>B. Initiate — the actual submission spine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Source: onboarding </w:t>
      </w:r>
      <w:r>
        <w:rPr>
          <w:rFonts w:ascii="Calibri" w:hAnsi="Calibri" w:eastAsia="Calibri"/>
          <w:b/>
          <w:i w:val="0"/>
          <w:color w:val="333A44"/>
          <w:sz w:val="22"/>
        </w:rPr>
        <w:t>03 E2E navigator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333A44"/>
          <w:sz w:val="22"/>
        </w:rPr>
        <w:t>04 Initiate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333A44"/>
          <w:sz w:val="22"/>
        </w:rPr>
        <w:t>SPOT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333A44"/>
          <w:sz w:val="22"/>
        </w:rPr>
        <w:t>JIRA / Initiative / Epic / User Story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. Closing gate: </w:t>
      </w:r>
      <w:r>
        <w:rPr>
          <w:rFonts w:ascii="Calibri" w:hAnsi="Calibri" w:eastAsia="Calibri"/>
          <w:b/>
          <w:i w:val="0"/>
          <w:color w:val="333A44"/>
          <w:sz w:val="22"/>
        </w:rPr>
        <w:t>Intake Governance Gate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(DD&amp;T Leadership; AI&amp;Data Portfolio Lead; QA if GxP = Yes). Leading record: </w:t>
      </w:r>
      <w:r>
        <w:rPr>
          <w:rFonts w:ascii="Calibri" w:hAnsi="Calibri" w:eastAsia="Calibri"/>
          <w:b/>
          <w:i w:val="0"/>
          <w:color w:val="333A44"/>
          <w:sz w:val="22"/>
        </w:rPr>
        <w:t>Initiative Epic in Jira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(SOP-254573: one home; do not file a DMS duplicate). Forms: </w:t>
      </w:r>
      <w:r>
        <w:rPr>
          <w:rFonts w:ascii="Calibri" w:hAnsi="Calibri" w:eastAsia="Calibri"/>
          <w:b/>
          <w:i w:val="0"/>
          <w:color w:val="333A44"/>
          <w:sz w:val="22"/>
        </w:rPr>
        <w:t>FORM-316177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(Pattern-Fit), </w:t>
      </w:r>
      <w:r>
        <w:rPr>
          <w:rFonts w:ascii="Calibri" w:hAnsi="Calibri" w:eastAsia="Calibri"/>
          <w:b/>
          <w:i w:val="0"/>
          <w:color w:val="333A44"/>
          <w:sz w:val="22"/>
        </w:rPr>
        <w:t>TOOL-235299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(Epic content &amp; classification).</w:t>
      </w:r>
    </w:p>
    <w:p>
      <w:pPr>
        <w:pStyle w:val="Heading2"/>
      </w:pPr>
      <w:r>
        <w:t>B1. Governing principles (Start &amp; authority)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Checkpoint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Understand the guide is non-controlled; Veeva prevails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Done (this document states it)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Sources cited on the site: STRD-201016, SOP-254573, TOOL-235311; last reviewed 19 Aug 2026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Can describe six phases and gates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Done for the design team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Initiate / Intake; Design / Design Approval; Plan / Delivery Readiness; Build / story DoD; Validate &amp; Release / QA; Operate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Choose Product vs Pattern track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Partial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Working call: Product (executive portfolio + business review). Architect must confirm via Pattern-Fit</w:t>
            </w:r>
          </w:p>
        </w:tc>
      </w:tr>
    </w:tbl>
    <w:p/>
    <w:p>
      <w:pPr>
        <w:pStyle w:val="Heading2"/>
      </w:pPr>
      <w:r>
        <w:t>B2. SPOT (investment source of truth)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Onboarding rule: *A link alone is not enough. Do not start delivery with an empty SPOT shell.*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Expected content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Live on 1063647 (4 Sep 2026)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Problem, outcome, in/out scope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Done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Full problem statement on General Info (10–20+ hours/month consolidating; no single trusted source).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Value hypothesis with baseline, target, unit, timing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Done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9,000 hours / year · 18 sites · 500 h/site/year · 42 h/site/month. Metric table plans 3,000 (FY26) then 9,000/yr (FY27–29), 30,000 hours total. Capture start 1 Dec 2026. COP = Productivity Improvements.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Named value owner + method to confirm realised value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Partial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Dean is PM; Joel is Sponsor. Method (TO BR hours baseline) still to be written into Value Commentary.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Milestones, dependencies, risks, status, next priorities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Partial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Phase 1–5 + Budget Approved + Execution End + Pilot + Close are dated. Risks table empty. Status: MetrIQ/TakOS will be used. Next: infra buildout. Schedule RAG is yellow (Phase 1 +7 days; Close +63 days vs baseline).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Sponsor, Business Owner, delivery lead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Done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Joel = Sponsor, Dean = PM. Additional DD&amp;T / data names on the team.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Finance owner + approved budget + FY + cost categories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Partial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Header Expected CAPEX $35,000. Preliminary CAPEX forecast $168,000 ($42k × FY26–29). Approved CAPEX/OPEX blank. No funding request row. These three numbers must become one.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Forecast, actual, variance process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Partial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CAPEX forecast grid exists (plan/previous/current/preliminary). Plan and current are still $0. OPEX tables hidden until OPEX Required = Yes.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Completion checkpoint from the site: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*SPOT contains current value, sponsorship, ownership, budget, milestones, risks and status.* → </w:t>
      </w:r>
      <w:r>
        <w:rPr>
          <w:rFonts w:ascii="Calibri" w:hAnsi="Calibri" w:eastAsia="Calibri"/>
          <w:b/>
          <w:i w:val="0"/>
          <w:color w:val="333A44"/>
          <w:sz w:val="22"/>
        </w:rPr>
        <w:t>Mostly met.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Remaining: funding request, one aligned CAPEX figure, token line, at least one risk or an explicit “none,” richer next-priority text. </w:t>
      </w:r>
      <w:r>
        <w:rPr>
          <w:rFonts w:ascii="Calibri" w:hAnsi="Calibri" w:eastAsia="Calibri"/>
          <w:b/>
          <w:i w:val="0"/>
          <w:color w:val="333A44"/>
          <w:sz w:val="22"/>
        </w:rPr>
        <w:t>Do not create a second SPOT project.</w:t>
      </w:r>
    </w:p>
    <w:p>
      <w:pPr>
        <w:pStyle w:val="Heading2"/>
      </w:pPr>
      <w:r>
        <w:t>B3. Jira hierarchy (AIDPG, not DDTGMPORT)</w:t>
      </w:r>
    </w:p>
    <w:p>
      <w:r>
        <w:rPr>
          <w:rFonts w:ascii="Consolas" w:hAnsi="Consolas" w:eastAsia="Consolas"/>
          <w:b w:val="0"/>
          <w:i w:val="0"/>
          <w:color w:val="102033"/>
          <w:sz w:val="20"/>
        </w:rPr>
        <w:t>DDTGMPORT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is the </w:t>
      </w:r>
      <w:r>
        <w:rPr>
          <w:rFonts w:ascii="Calibri" w:hAnsi="Calibri" w:eastAsia="Calibri"/>
          <w:b/>
          <w:i w:val="0"/>
          <w:color w:val="333A44"/>
          <w:sz w:val="22"/>
        </w:rPr>
        <w:t>manufacturing roadmap data source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. The </w:t>
      </w:r>
      <w:r>
        <w:rPr>
          <w:rFonts w:ascii="Calibri" w:hAnsi="Calibri" w:eastAsia="Calibri"/>
          <w:b/>
          <w:i w:val="0"/>
          <w:color w:val="333A44"/>
          <w:sz w:val="22"/>
        </w:rPr>
        <w:t>delivery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of the Executive Platform needs its own hierarchy:</w:t>
      </w:r>
    </w:p>
    <w:p>
      <w:pPr>
        <w:pStyle w:val="CodeBlock"/>
        <w:ind w:left="170"/>
      </w:pPr>
      <w:r>
        <w:t>SPOT 1063647  GSQ DD&amp;T Roadmap Executive Platform MVP</w:t>
        <w:br/>
        <w:t xml:space="preserve">  └─ Initiative in AIDPG     ← one business outcome (create this next)</w:t>
        <w:br/>
        <w:t xml:space="preserve">        └─ Epics             ← independently understandable capabilities (Glass, Jira sync, SPOT, Capability, Site input, …)</w:t>
        <w:br/>
        <w:t xml:space="preserve">              └─ User Stories  ← 1:1 with PRs later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Onboarding examples (teaching only): Initiative </w:t>
      </w:r>
      <w:r>
        <w:rPr>
          <w:rFonts w:ascii="Calibri" w:hAnsi="Calibri" w:eastAsia="Calibri"/>
          <w:b/>
          <w:i w:val="0"/>
          <w:color w:val="333A44"/>
          <w:sz w:val="22"/>
        </w:rPr>
        <w:t>AIDPG-4897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, Epic </w:t>
      </w:r>
      <w:r>
        <w:rPr>
          <w:rFonts w:ascii="Calibri" w:hAnsi="Calibri" w:eastAsia="Calibri"/>
          <w:b/>
          <w:i w:val="0"/>
          <w:color w:val="333A44"/>
          <w:sz w:val="22"/>
        </w:rPr>
        <w:t>AIDPG-5211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, Story </w:t>
      </w:r>
      <w:r>
        <w:rPr>
          <w:rFonts w:ascii="Calibri" w:hAnsi="Calibri" w:eastAsia="Calibri"/>
          <w:b/>
          <w:i w:val="0"/>
          <w:color w:val="333A44"/>
          <w:sz w:val="22"/>
        </w:rPr>
        <w:t>BICN-174659</w:t>
      </w:r>
      <w:r>
        <w:rPr>
          <w:rFonts w:ascii="Calibri" w:hAnsi="Calibri" w:eastAsia="Calibri"/>
          <w:b w:val="0"/>
          <w:i w:val="0"/>
          <w:color w:val="333A44"/>
          <w:sz w:val="22"/>
        </w:rPr>
        <w:t>. Do not reuse those keys.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Checkpoint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we have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is still needed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Initiative in AIDPG with visible SPOT ID and “Open in SPOT”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Outcome text exists in the blueprint. SPOT to link is 1063647.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Create Initiative; link 1063647; one measurable outcome; owner; boundary; Initiative-level acceptance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Epics under that Initiative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WBS in blueprint §13 is the epic seed list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Create Epics in AIDPG; parent = Initiative; AC, dependencies, points = sum of stories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User Stories (Ready, AC in Given/When/Then, risk &amp; DoD, team)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Screen-level acceptance in blueprint §7 and §15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Create only after URS/FDS (guide: documents lead, stories follow). For submission, Initiative + first Epics are enough; a full Ready backlog is Plan phase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Jira project access to create/update issues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Confirm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Dean works in DDTGMPORT today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Confirm AIDPG (or assigned delivery project) create rights for Dean + future POD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Personal Atlassian API token for agents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required for submission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—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Each developer, later; host must be onetakeda.atlassian.net (not takeda.atlassian.net); store outside git; never paste in chat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Board automation / Definition of Done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required for submission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Contact named on site: Ian Leake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POD + Ian when the delivery board is chosen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Suggested Initiative statement (ready to paste):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&gt; Deliver a site-aware GSQ DD&amp;T Executive Platform so leadership can run a Thousand Oaks business review from one portal fed by Jira, SPOT, and capability/EDB data, with Site Head commentary as the only write path.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Suggested first Epics (from the blueprint WBS):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Executive Glass shell and site master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One pager / KPI persistence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Combined Gantt + Budget and Budget tab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Jira inbound sync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SPOT inbound sync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Capability Tracker embed (+ EDB increment)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Site input and Business Review freeze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Security, ALM, UAT  </w:t>
      </w:r>
    </w:p>
    <w:p>
      <w:pPr>
        <w:pStyle w:val="Heading2"/>
      </w:pPr>
      <w:r>
        <w:t>B4. Pattern-Fit Screening (FORM-316177)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Working content to drop into the form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FORM-316177 completed and attached to the Initiative Epic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Architect-owned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Solution path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Working recommendation: Product track, Reuse with PCR or Custom Build for the Glass + three-source sync. Reuse existing Power Apps/PBI as UX evidence and embeds. Written justification: no validated “GSQ executive glass” Pattern; prototypes are not a Pattern.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Pattern IDs and versions if reuse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Must be real catalogue IDs (site: no free-text references)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Four classifications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Working: GxP = No; Criticality = Medium; SOX = Review; PII = Low. QA named as gate approver only if GxP becomes Yes. Reducing a classification later needs documented QA concurrence.</w:t>
            </w:r>
          </w:p>
        </w:tc>
      </w:tr>
    </w:tbl>
    <w:p/>
    <w:p>
      <w:pPr>
        <w:pStyle w:val="Heading2"/>
      </w:pPr>
      <w:r>
        <w:t>B5. Intake Governance Gate — self-check (from the site)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Self-check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Evaluation decision (Proceed / Reject / Refine) on the intake record with rationale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Epic content: every Mandatory and applicable Conditional item in TOOL-235299 §3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FORM-316177 attached with path + justification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All four classifications recorded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QA named where GxP = Yes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N/A unless classification flips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Gate decision on the Epic with named approvers, date, rationale (Jira R5 transition is the record)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Do not: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create a Veeva duplicate of intake, screening, or the gate; defer classification past the gate; use verbal gates.</w:t>
      </w:r>
    </w:p>
    <w:p>
      <w:pPr>
        <w:pStyle w:val="Heading1"/>
      </w:pPr>
      <w:r>
        <w:t>C. Access and machine (needed to start a POD, not to file the business case)</w:t>
      </w:r>
    </w:p>
    <w:p>
      <w:pPr>
        <w:pStyle w:val="Heading2"/>
      </w:pPr>
      <w:r>
        <w:t>C1. Request Access to GIT (05)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Checkpoint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Follow the GitHub access guide; join myAccess group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Confirm per person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Each delivery user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Access to oneTakeda/takOS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Partial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 local takOS clone exists on the workstation used for this design; Marketplace POD members still need their own access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GitHub username sent to Venkatagopichand Maddela, Venkatesh Ravi (ext), Jan Felix Meyer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Confirm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Required checkpoint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Can open takOS with own account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Confirm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 shared tokens, cookies, or passwords in prompts</w:t>
            </w:r>
          </w:p>
        </w:tc>
      </w:tr>
    </w:tbl>
    <w:p/>
    <w:p>
      <w:pPr>
        <w:pStyle w:val="Heading2"/>
      </w:pPr>
      <w:r>
        <w:t>C2. Set up the local machine (06)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Checkpoint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VS Code, current Node.js, GitHub Desktop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required for submission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Developer laptop; mySupportHub if blocked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Claude Code and/or Codex extension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required for submission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After A4 enablement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Attributable commits only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Policy — state in the Initiative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Never share PATs in source or screenshots</w:t>
            </w:r>
          </w:p>
        </w:tc>
      </w:tr>
    </w:tbl>
    <w:p/>
    <w:p>
      <w:pPr>
        <w:pStyle w:val="Heading1"/>
      </w:pPr>
      <w:r>
        <w:t>D. Design phase (after Intake; before a funded build if TakOS-governed)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Source: </w:t>
      </w:r>
      <w:r>
        <w:rPr>
          <w:rFonts w:ascii="Calibri" w:hAnsi="Calibri" w:eastAsia="Calibri"/>
          <w:b/>
          <w:i w:val="0"/>
          <w:color w:val="333A44"/>
          <w:sz w:val="22"/>
        </w:rPr>
        <w:t>07 Design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. Purpose: intended use (URS) + technical implementation (FDS). Closing gate: </w:t>
      </w:r>
      <w:r>
        <w:rPr>
          <w:rFonts w:ascii="Calibri" w:hAnsi="Calibri" w:eastAsia="Calibri"/>
          <w:b/>
          <w:i w:val="0"/>
          <w:color w:val="333A44"/>
          <w:sz w:val="22"/>
        </w:rPr>
        <w:t>Design Approval Gate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. Leading records: </w:t>
      </w:r>
      <w:r>
        <w:rPr>
          <w:rFonts w:ascii="Calibri" w:hAnsi="Calibri" w:eastAsia="Calibri"/>
          <w:b/>
          <w:i w:val="0"/>
          <w:color w:val="333A44"/>
          <w:sz w:val="22"/>
        </w:rPr>
        <w:t>FORM-312922 (URS)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333A44"/>
          <w:sz w:val="22"/>
        </w:rPr>
        <w:t>FORM-312923 (FDS)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in Veeva; architecture approval = </w:t>
      </w:r>
      <w:r>
        <w:rPr>
          <w:rFonts w:ascii="Calibri" w:hAnsi="Calibri" w:eastAsia="Calibri"/>
          <w:b/>
          <w:i w:val="0"/>
          <w:color w:val="333A44"/>
          <w:sz w:val="22"/>
        </w:rPr>
        <w:t>GitHub PR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vs VAL-624698. Approvers: DPM, Validation Lead, Testing Lead, QA (mandatory if GxP-relevant).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Design step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we have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Gap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Approved Initiative + FORM-316177 as inputs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—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Finish Initiate first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URS FORM-312922: purpose, compliance, success criteria, risk class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Partial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Blueprint §2, §10, §15 *is* the business URS content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Transcribe into FORM-312922; make every requirement testable (no “user-friendly”)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FDS FORM-312923: design, config, dependencies, security; Pattern IDs; map every URS line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Partial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Blueprint §9–11 is the functional/technical design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Transcribe into FORM-312923; Architect maps Patterns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Prototype (takOS PLAY / Claude Design / existing apps)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Partial / ahead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Live Power Apps, Capability Tracker, global roadmap, local recreation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Optional: Claude Design with takOS Design System selected (recommended path on the site). Do not “make it look like takOS” on a generic system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Claude Design access + takOS Design System pill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Site: claude.ai, Takeda org, Design menu; contacts Animesh Pathak, Hari Krishnan N, Asmita Pawar if the system is missing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Only if the POD will hand off Design → Claude Code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Figma Make + published takOS Make kit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Alternative to Claude Design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Only if that is the chosen Discover UX path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Reviewer log; critical comments closed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—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Validation, Testing, QA, Business Owner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Architecture PR in the federated monorepo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Do not copy that approval into Veeva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Architect / Platform Owner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eDSP if the product has its own APMS ID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Confirm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SOP-229697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Product Owner if APMS applies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Design Approval Gate = approval of URS+FDS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 separate gate memo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DPM + listed approvers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Discover UX (08)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is a *how to prototype* guide (Claude Design recommended; Figma Make alternate). It is </w:t>
      </w:r>
      <w:r>
        <w:rPr>
          <w:rFonts w:ascii="Calibri" w:hAnsi="Calibri" w:eastAsia="Calibri"/>
          <w:b/>
          <w:i w:val="0"/>
          <w:color w:val="333A44"/>
          <w:sz w:val="22"/>
        </w:rPr>
        <w:t>not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a second funding gate. Using the existing Power Apps as the high-fidelity prototype is legitimate evidence for the business case; a TakOS POD may still be asked to reproduce the journey on the takOS Design System before Build.</w:t>
      </w:r>
    </w:p>
    <w:p>
      <w:pPr>
        <w:pStyle w:val="Heading1"/>
      </w:pPr>
      <w:r>
        <w:t>E. Plan phase (Delivery Readiness Gate)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Source: </w:t>
      </w:r>
      <w:r>
        <w:rPr>
          <w:rFonts w:ascii="Calibri" w:hAnsi="Calibri" w:eastAsia="Calibri"/>
          <w:b/>
          <w:i w:val="0"/>
          <w:color w:val="333A44"/>
          <w:sz w:val="22"/>
        </w:rPr>
        <w:t>09 Plan</w:t>
      </w:r>
      <w:r>
        <w:rPr>
          <w:rFonts w:ascii="Calibri" w:hAnsi="Calibri" w:eastAsia="Calibri"/>
          <w:b w:val="0"/>
          <w:i w:val="0"/>
          <w:color w:val="333A44"/>
          <w:sz w:val="22"/>
        </w:rPr>
        <w:t>. No build before this gate. Leading record: Jira (backlog + Initiative Epic). Approvers: Domain Product Manager; Product Owner.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Plan step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Assign POD; roles in Jira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This is what the Marketplace order buys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Derive epics/stories from approved URS/FDS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Blueprint WBS is the seed; do not invert the rule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Business case &amp; funding on the Initiative Epic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Partial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Business case Word exists; must be linked from the Epic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Infrastructure dependencies named (DB, data space, API, secrets)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Partial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Blueprint: Dataverse, Jira API, SPOT API, EDB API, Power BI embed, Entra. Contact on site for infra questions: Stéphane Dattenny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Claude Code Plan-mode handoff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required for submission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Read-only; zero files changed; after Design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Delivery Readiness Gate on the Epic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F. After funding — not submission blockers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These are the remaining onboarding sections so the request package does not claim they are “done.”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Section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When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10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Build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After Readiness Gate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11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Create a JIRA-linked branch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Per story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12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Build with an agent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Per story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13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Validate locally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Per story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14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Commit and push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Per story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15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Raise the PR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Per story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16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Resolve review &amp; CI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Per story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17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Merge &amp; update JIRA truthfully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Per story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18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Promote to SIT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After build evidence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19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Test &amp; close SIT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Integrated journey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20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Validate &amp; release (QA Gate)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Release package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21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Operate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After go-live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22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Interactive completion aids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Optional helpers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Available on the site (stateless; not records)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23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Pattern-Fit decision tree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Use while completing FORM-316177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Not started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24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Records &amp; controlled documents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Always — pull current forms from Veeva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Remind: this website is not the form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25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Escalation routes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If a gate is blocked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Prepare: work item, blocked decision, classification uncertainty, decision needed, date. Patient-safety / quality / regulatory → QA same day. Escalation never bypasses a gate (SOP-254575)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>Story-level rules the POD must obey later: Functional Risk Profile and DoD from the start; 1:1 story-to-PR; no SIT before development evidence; merged PR ≠ release.</w:t>
      </w:r>
    </w:p>
    <w:p>
      <w:pPr>
        <w:pStyle w:val="Heading1"/>
      </w:pPr>
      <w:r>
        <w:t>G. What we have already done (use this list in the request)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These items </w:t>
      </w:r>
      <w:r>
        <w:rPr>
          <w:rFonts w:ascii="Calibri" w:hAnsi="Calibri" w:eastAsia="Calibri"/>
          <w:b/>
          <w:i w:val="0"/>
          <w:color w:val="333A44"/>
          <w:sz w:val="22"/>
        </w:rPr>
        <w:t>do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satisfy parts of the Marketplace / GML design-package expectation even though they are not yet Veeva forms.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333A44"/>
          <w:sz w:val="22"/>
        </w:rPr>
        <w:t>Business case (MVP v2, Sept 2026)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— problem, opportunity, three-product MVP, Jira/SPOT/EDB in-scope, value, risks, sponsors, release sequence.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333A44"/>
          <w:sz w:val="22"/>
        </w:rPr>
        <w:t>Business Design Package (this engagement)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— workflows, screen inventory, navigation, drill-downs, Site Head write-path, data/KPI rules, security assumptions, MVP vs later, acceptance criteria, hour-level WBS.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333A44"/>
          <w:sz w:val="22"/>
        </w:rPr>
        <w:t>Standalone executive summary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— decision memo with Band A/B/C and the $40k vs $168k reconciliation.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333A44"/>
          <w:sz w:val="22"/>
        </w:rPr>
        <w:t>Working prototypes as design evidence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— TO Strategic Roadmap Power App; Budget app; combined Gantt+Budget app; Capability Tracker (two screens); global DDT roadmap (network, regions, sites, initiatives).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333A44"/>
          <w:sz w:val="22"/>
        </w:rPr>
        <w:t>Named leadership on SPOT 1063647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— Joel Vincent (Sponsor), Dean Santoro (Project Manager), plus Aimee Rarugal, Juraj Krivda, Simran Karamchandani, Ivan Fonseca.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333A44"/>
          <w:sz w:val="22"/>
        </w:rPr>
        <w:t>Investment record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— </w:t>
      </w:r>
      <w:r>
        <w:rPr>
          <w:rFonts w:ascii="Calibri" w:hAnsi="Calibri" w:eastAsia="Calibri"/>
          <w:b w:val="0"/>
          <w:i w:val="0"/>
          <w:color w:val="9F1B2C"/>
          <w:sz w:val="22"/>
          <w:u w:val="single"/>
        </w:rPr>
        <w:t>SPOT 1063647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is Active / Plan, Data Quality 100%, value case and problem statement loaded. Manufacturing SPOT IDs (e.g. 1024096) remain the *plant* data source, not this delivery record.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333A44"/>
          <w:sz w:val="22"/>
        </w:rPr>
        <w:t>18-site master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— Americas / Europe / Asia-Pacific with reporting-line exceptions (Vashi → Europe, Yaroslavl → APAC).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333A44"/>
          <w:sz w:val="22"/>
        </w:rPr>
        <w:t>Classification strawman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— GxP No / Criticality Medium / SOX review / PII Low, ready for TOOL-235299.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333A44"/>
          <w:sz w:val="22"/>
        </w:rPr>
        <w:t>Pattern-Fit strawman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— Product track; reuse embeds + custom Glass; justification drafted.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333A44"/>
          <w:sz w:val="22"/>
        </w:rPr>
        <w:t>Onboarding gap list (this file)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— mapped to the live 41-section guide dated from the site’s 19 Aug 2026 metadata.</w:t>
      </w:r>
    </w:p>
    <w:p>
      <w:pPr>
        <w:pStyle w:val="Heading1"/>
      </w:pPr>
      <w:r>
        <w:t>H. Ordered actions before you submit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Do these in order. Hours are elapsed business effort, not developer build hours.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Effort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Blocks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Reconcile business-case §1 ($168k / 6–12 weeks) and §9 ($40k / 6 weeks) to Band B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1–2 h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Dean + finance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Honest Marketplace order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2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 1063647: file the funding request; set Expected CAPEX, preliminary forecast, and the order to the same Band B number; add a token line; log or close the Aimee Codex ask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2–4 h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Dean + finance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A3, Marketplace money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3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Create AIDPG Initiative; link 1063647; paste outcome, boundary, AC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2–3 h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Dean / DPM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Intake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4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Create the eight seed Epics from §B3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2–3 h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Dean + BA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Plan later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5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Complete four classifications on the Epic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 h + QA if needed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Dean + QA consult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Gate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6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Architect completes FORM-316177; attach to Epic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4–8 h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Architect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Gate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7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Intake evaluation Proceed + Intake Governance Gate on the Epic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 meeting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DD&amp;T Leadership, Portfolio Lead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Design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8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If the POD will use agents: acceptable-use + request form + token forecast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 h / person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Each user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AI access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9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GitHub usernames to Maddela, Ravi, Meyer; takOS repo access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1–3 days lead time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Each delivery user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Build, not submission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10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File Marketplace order with business case + executive summary + this readiness list + design blueprint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 h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Dean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Funding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11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After gate: URS/FDS (FORM-312922/23), then stories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Design phase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PO + POD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Build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Earliest honest submission date: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when steps 1–7 are in Jira/SPOT (typically </w:t>
      </w:r>
      <w:r>
        <w:rPr>
          <w:rFonts w:ascii="Calibri" w:hAnsi="Calibri" w:eastAsia="Calibri"/>
          <w:b/>
          <w:i w:val="0"/>
          <w:color w:val="333A44"/>
          <w:sz w:val="22"/>
        </w:rPr>
        <w:t>one to two weeks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of business time if Architect and Leadership slots are available). Do not wait for URS/FDS or Claude Design to file the *funding* request, but do not tell Marketplace that Intake is complete until step 7 exists on the Epic.</w:t>
      </w:r>
    </w:p>
    <w:p>
      <w:pPr>
        <w:pStyle w:val="Heading1"/>
      </w:pPr>
      <w:r>
        <w:t>I. Contacts copied from the onboarding site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Topic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Who the site names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AI enablement (PDT &amp; GSQ)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Jan Felix Meyer; Martin Sturm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GitHub / takOS access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Venkatagopichand Maddela; Venkatesh Ravi; Jan Felix Meyer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Jira board automation / DoD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Ian Leake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takOS Design System / Claude Design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Animesh Pathak; Hari Krishnan N; Asmita Pawar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Infrastructure dependencies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Stéphane Dattenny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Do not use as first contact for incomplete AI requests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Workforce AI Global</w:t>
            </w:r>
          </w:p>
        </w:tc>
      </w:tr>
    </w:tbl>
    <w:p/>
    <w:p>
      <w:pPr>
        <w:pStyle w:val="Heading1"/>
      </w:pPr>
      <w:r>
        <w:t>J. Traceability to controlled sources (as cited by the guide)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How it applies here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STRD-201016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Lifecycle / intake expectations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SOP-254573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E2E process; one system of record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SOP-254574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Change classification later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SOP-254575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Deviations if a gate is skipped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SOP-253593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Product validation; Design §4.4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TOOL-235299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Epic content &amp; classification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TOOL-235300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Story DoD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TOOL-235311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This practitioner guide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FORM-316177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Pattern-Fit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FORM-312922 / 312923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URS / FDS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VAL-624698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Platform TSD — architecture PR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SOP-229697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eDSP / infrastructure qualification if APMS applies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Pull the </w:t>
      </w:r>
      <w:r>
        <w:rPr>
          <w:rFonts w:ascii="Calibri" w:hAnsi="Calibri" w:eastAsia="Calibri"/>
          <w:b/>
          <w:i w:val="0"/>
          <w:color w:val="333A44"/>
          <w:sz w:val="22"/>
        </w:rPr>
        <w:t>current effective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copy from Veeva at the time of filing. Do not attach a screenshot of the onboarding website as the form.</w:t>
      </w:r>
    </w:p>
    <w:p>
      <w:pPr>
        <w:pStyle w:val="Heading1"/>
      </w:pPr>
      <w:r>
        <w:t>Document history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1.0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 Sep 2026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Mapped from the live takOS onboarding guide against the GML business case and prototypes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1.1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4 Sep 2026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Confirmed live SPOT 1063647 (Active / Plan). A1–A2 marked Done. Budget $35k vs $168k and missing funding request called out.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5B6470"/>
        <w:sz w:val="16"/>
      </w:rPr>
      <w:t xml:space="preserve">Confidential — Takeda internal  ·  September 2026  ·  Page </w:t>
    </w:r>
    <w:r>
      <w:rPr>
        <w:rFonts w:ascii="Calibri" w:hAnsi="Calibri" w:eastAsia="Calibri"/>
        <w:b w:val="0"/>
        <w:i w:val="0"/>
        <w:color w:val="5B6470"/>
        <w:sz w:val="16"/>
      </w:rPr>
      <w:fldChar w:fldCharType="begin"/>
    </w:r>
    <w:r>
      <w:rPr>
        <w:rFonts w:ascii="Calibri" w:hAnsi="Calibri" w:eastAsia="Calibri"/>
        <w:b w:val="0"/>
        <w:i w:val="0"/>
        <w:color w:val="5B6470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5B647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 w:val="0"/>
        <w:i w:val="0"/>
        <w:color w:val="5B6470"/>
        <w:sz w:val="16"/>
      </w:rPr>
      <w:t xml:space="preserve">GSQ GML DD&amp;T  ·  Executive Platform  ·  </w:t>
    </w:r>
    <w:r>
      <w:rPr>
        <w:rFonts w:ascii="Calibri" w:hAnsi="Calibri" w:eastAsia="Calibri"/>
        <w:b/>
        <w:i w:val="0"/>
        <w:color w:val="9F1B2C"/>
        <w:sz w:val="16"/>
      </w:rPr>
      <w:t>TakOS Onboarding Readiness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/>
      <w:color w:val="333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0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9F1B2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20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020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27"/>
    </w:pPr>
    <w:rPr>
      <w:rFonts w:ascii="Consolas" w:hAnsi="Consolas"/>
      <w:color w:val="10203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