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02033"/>
          <w:sz w:val="44"/>
        </w:rPr>
        <w:t>GSQ DD&amp;T Executive Platform</w:t>
      </w:r>
    </w:p>
    <w:p>
      <w:pPr>
        <w:pStyle w:val="Heading1"/>
      </w:pPr>
      <w:r>
        <w:t>TakOS submission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Product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 DD&amp;T Roadmap Executive Platform MVP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SPOT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1063647 — Active / Plan. Do not create a second project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Guide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takOS Digital Delivery Onboarding (TOOL-235311; Veeva prevails)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Closing gate for *submission*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Intake Governance Gate (Initiate). Design Approval and Delivery Readiness come after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As of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8 September 2026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Sponsor / PM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Vincent / Dean Santoro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How to use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Walk this list in order. Attach the evidence pack. Do not claim Intake is complete until Part C is in Jira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Verdict today: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</w:t>
      </w:r>
      <w:r>
        <w:rPr>
          <w:rFonts w:ascii="Calibri" w:hAnsi="Calibri" w:eastAsia="Calibri"/>
          <w:b/>
          <w:i w:val="0"/>
          <w:color w:val="333A44"/>
          <w:sz w:val="22"/>
        </w:rPr>
        <w:t>app design package is ready to attach to a Marketplace / funding request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The </w:t>
      </w:r>
      <w:r>
        <w:rPr>
          <w:rFonts w:ascii="Calibri" w:hAnsi="Calibri" w:eastAsia="Calibri"/>
          <w:b/>
          <w:i w:val="0"/>
          <w:color w:val="333A44"/>
          <w:sz w:val="22"/>
        </w:rPr>
        <w:t>TakOS Initiate records are not yet filed</w:t>
      </w:r>
      <w:r>
        <w:rPr>
          <w:rFonts w:ascii="Calibri" w:hAnsi="Calibri" w:eastAsia="Calibri"/>
          <w:b w:val="0"/>
          <w:i w:val="0"/>
          <w:color w:val="333A44"/>
          <w:sz w:val="22"/>
        </w:rPr>
        <w:t>. Those are the remaining submission actions.</w:t>
      </w:r>
    </w:p>
    <w:p>
      <w:pPr>
        <w:pStyle w:val="Heading1"/>
      </w:pPr>
      <w:r>
        <w:t>How to mark items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Mark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 Met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Evidence exists for *this* initiative and can be shown in the request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[~] Partial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Material exists; still needs a controlled Jira / SPOT / Veeva record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 ] Open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Required for Initiate / Intake; not done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 Later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Required to *build or release*, not to submit funding</w:t>
            </w:r>
          </w:p>
        </w:tc>
      </w:tr>
    </w:tbl>
    <w:p/>
    <w:p>
      <w:pPr>
        <w:pStyle w:val="Heading1"/>
      </w:pPr>
      <w:r>
        <w:t>Part A — What the app already satisfies (product / design)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TakOS Initiate expects a real investment, a named outcome, a value case, a boundary, and enough design that a POD can be assigned. The Executive Platform package meets those </w:t>
      </w:r>
      <w:r>
        <w:rPr>
          <w:rFonts w:ascii="Calibri" w:hAnsi="Calibri" w:eastAsia="Calibri"/>
          <w:b/>
          <w:i w:val="0"/>
          <w:color w:val="333A44"/>
          <w:sz w:val="22"/>
        </w:rPr>
        <w:t>content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requirements. Tick these as “shown in the request.”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Requirement (what TakOS asks for)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Mark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How this app / package meets it</w:t>
            </w:r>
          </w:p>
        </w:tc>
        <w:tc>
          <w:tcPr>
            <w:tcW w:type="dxa" w:w="199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Evidence to attach or link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Named product with a single investment record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portal: site-aware Glass for 18 GSQ M&amp;L plants. Delivery SPOT is 1063647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1063647 board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A2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Problem and intended use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Reviews today stitch Jira, SPOT, Power Apps, Power BI, and PowerPoint. Intended use = run the TO business review from one portal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 case MVP v2; Blueprint §1; Executive Design §1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A3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Measurable outcome / value hypothesis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9,000 hours/year · 18 sites · 42 h/site/month · 30,000 hours total. Capture start 1 Dec 2026. COP = Productivity Improvements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value table; Executive Summary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A4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 / out of scope (MVP boundary)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In: site selector, live Jira + SPOT, Gantt+Budget, Capability embed, Site input, TO freeze. Out: Jira/SPOT write-back, all-18 mapping quality, AI narrative, GxP execution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§12; Executive Design §12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A5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Systems of record stay authoritative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Jira, SPOT, EDB/Capability are read-only. Only Dataverse writes: commentary, local risk, asks, mapping, freeze pack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§5–§9; schematic Figure S1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A6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Navigation and screen intent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Ten tabs; site set once; drill card → sidecar → Jira/SPOT → Gantt+Budget → Capability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§6–§7; mockups Figures 12–15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A7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Information architecture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Network → Region → Site → Big Rock → platform → initiative/project. 18-site master; Vashi→Europe, Yaroslavl→APAC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§5; Figure S2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A8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High-fidelity prototype / UX evidence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Live TO One pager, MYC Budget, combined Gantt+Budget, Capability Tracker, global roadmap. Target mockups show the Glass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§3; Executive Design §3 and §6.4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A9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Acceptance criteria that can become URS lines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Ten MVP tests, including TO↔LEX switch, SPOT reconcile, Site Head write + audit, freeze pack, site-scoped security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§15; Executive Design §15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A10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Hours, team, calendar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B ~1,100 hours / 10–12 weeks / ~$155–168k; WBS B1–B19; week-1–11 calendar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§13; Figure S3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A11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Day-1 dependencies named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Power Platform env, Entra, Jira read, SPOT API, PBI embed, EDB steward, TO UAT, Marketplace POD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§16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A12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Classification strawman for TOOL-235299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[~]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Working: GxP No · Criticality Medium · SOX Review · PII Low. Not yet on an Epic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§10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A13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Pattern-Fit strawman for FORM-316177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[~]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Working: Product track; reuse embeds + custom Glass; no catalogue “executive glass” Pattern. Architect must file the form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§11.2</w:t>
            </w:r>
          </w:p>
        </w:tc>
      </w:tr>
      <w:tr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A14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Sponsor and PM on the SPOT team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= Sponsor; Dean = PM. Also: Aimee Rarugal, Juraj Krivda, Simran Karamchandani, Ivan Fonseca</w:t>
            </w:r>
          </w:p>
        </w:tc>
        <w:tc>
          <w:tcPr>
            <w:tcW w:type="dxa" w:w="199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1063647 Project Team</w:t>
            </w:r>
          </w:p>
        </w:tc>
      </w:tr>
      <w:tr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A15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RAG language / no dual-write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Canonical status map; drag updates project_map only; Jira dates and SPOT money never written from the portal</w:t>
            </w:r>
          </w:p>
        </w:tc>
        <w:tc>
          <w:tcPr>
            <w:tcW w:type="dxa" w:w="199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Blueprint §5.4, §7.1, §15.7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Part A score: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13 met · 2 partial (classifications and Pattern-Fit must be *recorded* on the Initiative, not just written in the blueprint).</w:t>
      </w:r>
    </w:p>
    <w:p>
      <w:pPr>
        <w:pStyle w:val="Heading1"/>
      </w:pPr>
      <w:r>
        <w:t>Part B — SPOT 1063647 (investment source of truth)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Onboarding rule: *A link alone is not enough. Do not start delivery with an empty SPOT shell. Do not create a second SPOT.*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Mark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ID exists and is Active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1063647 · Plan · Data Quality 100%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Problem statement on the record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General Info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Value hypothesis with unit and timing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9,000 h/yr; FY26 3,000 then 9,000/yr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Sponsor + PM on Project Team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/ Dean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Governance / category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Tier 4 · Improvement — General Improvement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Milestones dated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Experience Design 18 Sep · Budget / Funding · Build · Pilot 11 Dec · Close 22 Jan 2027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Value owner + method to confirm realised hours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[~]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Dean/Joel named; write the TO BR-hours baseline into Value Commentary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Risks table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[~]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Add at least one risk or an explicit “none”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B9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One CAPEX number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Header Expected CAPEX $35k ≠ preliminary forecast $168k. Align both to Band B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B10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Funding request row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None yet — file it on this board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Token forecast line (if POD uses Claude/Codex)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Claude tokens provisioned; no dedicated line. Guide: ~USD 2,000 / month per 100% FTE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B12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Approved CAPEX / OPEX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Still blank until the request is approved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Part B score: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enough to *cite* SPOT in the order; </w:t>
      </w:r>
      <w:r>
        <w:rPr>
          <w:rFonts w:ascii="Calibri" w:hAnsi="Calibri" w:eastAsia="Calibri"/>
          <w:b/>
          <w:i w:val="0"/>
          <w:color w:val="333A44"/>
          <w:sz w:val="22"/>
        </w:rPr>
        <w:t>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enough to say “funding is on the record.” Finish B9–B11 before Marketplace money.</w:t>
      </w:r>
    </w:p>
    <w:p>
      <w:pPr>
        <w:pStyle w:val="Heading1"/>
      </w:pPr>
      <w:r>
        <w:t>Part C — Initiate records (the actual TakOS submission spine)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This is what the onboarding site means by </w:t>
      </w:r>
      <w:r>
        <w:rPr>
          <w:rFonts w:ascii="Calibri" w:hAnsi="Calibri" w:eastAsia="Calibri"/>
          <w:b/>
          <w:i w:val="0"/>
          <w:color w:val="333A44"/>
          <w:sz w:val="22"/>
        </w:rPr>
        <w:t>submit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. Leading record: </w:t>
      </w:r>
      <w:r>
        <w:rPr>
          <w:rFonts w:ascii="Calibri" w:hAnsi="Calibri" w:eastAsia="Calibri"/>
          <w:b/>
          <w:i w:val="0"/>
          <w:color w:val="333A44"/>
          <w:sz w:val="22"/>
        </w:rPr>
        <w:t>Initiative Epic in AIDPG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(SOP-254573). Not DDTGMPORT (that Jira is the *plant data source*).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Mark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 AIDPG create rights for Dean + DPM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Confirm in Jira (not DDTGMPORT)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AIDPG Initiative; “Open in SPOT” → 1063647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Paste the outcome below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Initiative-level acceptance, owner, in/out boundary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Copy Blueprint §12 + §15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Eight seed Epics under that Initiative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See list below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Four classifications on the Epic (TOOL-235299)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File: GxP No · Criticality Medium · SOX Review · PII Low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FORM-316177 Pattern-Fit completed and attached to the Initiative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Architect. Product track; reuse embeds + custom Glass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Epic content: Mandatory + applicable Conditional items in TOOL-235299 §3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DPM / Dean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Intake evaluation Proceed / Reject / Refine with rationale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Leadership + AI&amp;Data Portfolio Lead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C9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Intake Governance Gate on the Epic (named approvers, date, rationale)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Jira R5 transition is the record. No Veeva duplicate. No verbal gate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Initiative text (ready to paste):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&gt; Deliver a site-aware GSQ DD&amp;T Executive Platform so leadership can run a Thousand Oaks business review from one portal fed by Jira, SPOT, and capability/EDB data, with Site Head commentary as the only write path.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Seed Epics (from Blueprint §13):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Executive Glass shell and site master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One pager / KPI persistence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Combined Gantt + Budget and Budget tab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Jira inbound sync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SPOT inbound sync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Capability Tracker embed (+ EDB increment)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Site input and Business Review freeze  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Security, ALM, UAT  </w:t>
      </w:r>
    </w:p>
    <w:p>
      <w:r>
        <w:rPr>
          <w:rFonts w:ascii="Calibri" w:hAnsi="Calibri" w:eastAsia="Calibri"/>
          <w:b/>
          <w:i w:val="0"/>
          <w:color w:val="333A44"/>
          <w:sz w:val="22"/>
        </w:rPr>
        <w:t>Do not: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create a second SPOT; file a Veeva copy of intake; defer classification past the gate; write a full Ready story backlog before URS/FDS (documents lead, stories follow).</w:t>
      </w:r>
    </w:p>
    <w:p>
      <w:pPr>
        <w:pStyle w:val="Heading1"/>
      </w:pPr>
      <w:r>
        <w:t>Part D — AI enablement (only if the POD will use Claude / Codex)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Required *before* a new AI request. Contacts: Jan Felix Meyer; Martin Sturm. Do not email Workforce AI Global with an incomplete pack.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Mark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ID + value case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A1 on 1063647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Sponsor and PM on the SPOT team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Joel / Dean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PM-approved token budget on that SPOT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[~]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Claude provisioned; add the forecast line; close Aimee Codex ask (due 9 Sep 2026)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Each user: Acceptable-Use + request form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D1–D3</w:t>
            </w:r>
          </w:p>
        </w:tc>
      </w:tr>
    </w:tbl>
    <w:p/>
    <w:p>
      <w:pPr>
        <w:pStyle w:val="Heading1"/>
      </w:pPr>
      <w:r>
        <w:t>Part E — Not required to submit (do not block the order on these)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When it becomes required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URS FORM-312922 / FDS FORM-312923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Design Approval Gate (after Intake)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Architecture PR vs VAL-624698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Design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Claude Design + takOS Design System (or Figma Make kit)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Discover UX; optional — live Power Apps already count as prototype evidence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Ready user stories (Given/When/Then)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Plan — derived *from* approved URS/FDS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POD assigned / Delivery Readiness Gate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funding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GitHub / oneTakeda/takOS access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Build (send username to Maddela, Ravi, Meyer)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[–]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Branch, PR, SIT, QA Gate, Operate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Readiness Gate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 xml:space="preserve">The blueprint is the </w:t>
      </w:r>
      <w:r>
        <w:rPr>
          <w:rFonts w:ascii="Calibri" w:hAnsi="Calibri" w:eastAsia="Calibri"/>
          <w:b/>
          <w:i w:val="0"/>
          <w:color w:val="333A44"/>
          <w:sz w:val="22"/>
        </w:rPr>
        <w:t>business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URS/FDS content. It is </w:t>
      </w:r>
      <w:r>
        <w:rPr>
          <w:rFonts w:ascii="Calibri" w:hAnsi="Calibri" w:eastAsia="Calibri"/>
          <w:b/>
          <w:i w:val="0"/>
          <w:color w:val="333A44"/>
          <w:sz w:val="22"/>
        </w:rPr>
        <w:t>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the Veeva form. Do not tell Marketplace that Design Approval is done.</w:t>
      </w:r>
    </w:p>
    <w:p>
      <w:pPr>
        <w:pStyle w:val="Heading1"/>
      </w:pPr>
      <w:r>
        <w:t>Part F — Attach this pack to the Marketplace / funding 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3324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Business case — *GSQ DD&amp;T Roadmap Executive Platform MVP v2 Sept 2026*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Value and three-product MVP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GSQ-DDT-Executive-Platform-Design-Blueprint.docx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Developer specification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GSQ-DDT-Executive-Platform-Executive-Design.docx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Leadership cut: §§1, 3, 5, 6.4, 12, 13, 15, 16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GSQ-DDT-Executive-Platform-Executive-Summary.docx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Band A/B/C decision memo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GSQ-DDT-Executive-Platform-TakOS-Onboarding-Readiness.docx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Full 41-section gap map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This checklist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What is met vs what to file next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[x]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GSQ-DDT-Executive-Platform-TakOS-Walkthrough.docx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Official TakOS step screenshot beside pre-filled values</w:t>
            </w:r>
          </w:p>
        </w:tc>
      </w:tr>
      <w:tr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[~]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SPOT 1063647 link + funding request</w:t>
            </w:r>
          </w:p>
        </w:tc>
        <w:tc>
          <w:tcPr>
            <w:tcW w:type="dxa" w:w="3324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B9–B11</w:t>
            </w:r>
          </w:p>
        </w:tc>
      </w:tr>
      <w:tr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[ ]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AIDPG Initiative key</w:t>
            </w:r>
          </w:p>
        </w:tc>
        <w:tc>
          <w:tcPr>
            <w:tcW w:type="dxa" w:w="3324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After C2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333A44"/>
          <w:sz w:val="22"/>
        </w:rPr>
        <w:t>Reconcile business-case §1 (</w:t>
      </w:r>
      <w:r>
        <w:rPr>
          <w:rFonts w:ascii="Calibri" w:hAnsi="Calibri" w:eastAsia="Calibri"/>
          <w:b/>
          <w:i w:val="0"/>
          <w:color w:val="333A44"/>
          <w:sz w:val="22"/>
        </w:rPr>
        <w:t>~$168k / 6–12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>) with §9 (</w:t>
      </w:r>
      <w:r>
        <w:rPr>
          <w:rFonts w:ascii="Calibri" w:hAnsi="Calibri" w:eastAsia="Calibri"/>
          <w:b/>
          <w:i w:val="0"/>
          <w:color w:val="333A44"/>
          <w:sz w:val="22"/>
        </w:rPr>
        <w:t>~$40k / 6 weeks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) to </w:t>
      </w:r>
      <w:r>
        <w:rPr>
          <w:rFonts w:ascii="Calibri" w:hAnsi="Calibri" w:eastAsia="Calibri"/>
          <w:b/>
          <w:i w:val="0"/>
          <w:color w:val="333A44"/>
          <w:sz w:val="22"/>
        </w:rPr>
        <w:t>Band B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in the order. $40k is a thin shell and cannot prove Jira + SPOT + EDB.</w:t>
      </w:r>
    </w:p>
    <w:p>
      <w:pPr>
        <w:pStyle w:val="Heading1"/>
      </w:pPr>
      <w:r>
        <w:t>Part G — Ordered close-out (do these, then submit)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Step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493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Done?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1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Reconcile §1 vs §9 of the business case to Band B (~$168k)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finance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2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On 1063647: one CAPEX number, funding request, token line; close or log the Aimee Codex ask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finance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3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AIDPG Initiative; link 1063647; paste outcome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/ DPM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4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Create the eight seed Epics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BA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5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Record four classifications on the Epic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 + QA consult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6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 completes FORM-316177 and attaches it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Architect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7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Intake evaluation + Intake Governance Gate on the Epic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DD&amp;T Leadership, Portfolio Lead</w:t>
            </w:r>
          </w:p>
        </w:tc>
        <w:tc>
          <w:tcPr>
            <w:tcW w:type="dxa" w:w="2493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  <w:tr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8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File Marketplace order with the Part F pack + Initiative key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Dean</w:t>
            </w:r>
          </w:p>
        </w:tc>
        <w:tc>
          <w:tcPr>
            <w:tcW w:type="dxa" w:w="2493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[ ]</w:t>
            </w:r>
          </w:p>
        </w:tc>
      </w:tr>
    </w:tbl>
    <w:p/>
    <w:p>
      <w:r>
        <w:rPr>
          <w:rFonts w:ascii="Calibri" w:hAnsi="Calibri" w:eastAsia="Calibri"/>
          <w:b/>
          <w:i w:val="0"/>
          <w:color w:val="333A44"/>
          <w:sz w:val="22"/>
        </w:rPr>
        <w:t>Earliest honest “Intake submitted” date: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when steps 1–7 exist in Jira/SPOT (about one to two weeks of business time). You may file the *funding* request in parallel with steps 2–3. You may </w:t>
      </w:r>
      <w:r>
        <w:rPr>
          <w:rFonts w:ascii="Calibri" w:hAnsi="Calibri" w:eastAsia="Calibri"/>
          <w:b/>
          <w:i w:val="0"/>
          <w:color w:val="333A44"/>
          <w:sz w:val="22"/>
        </w:rPr>
        <w:t>not</w:t>
      </w:r>
      <w:r>
        <w:rPr>
          <w:rFonts w:ascii="Calibri" w:hAnsi="Calibri" w:eastAsia="Calibri"/>
          <w:b w:val="0"/>
          <w:i w:val="0"/>
          <w:color w:val="333A44"/>
          <w:sz w:val="22"/>
        </w:rPr>
        <w:t xml:space="preserve"> say TakOS Intake is complete until step 7.</w:t>
      </w:r>
    </w:p>
    <w:p>
      <w:pPr>
        <w:pStyle w:val="Heading1"/>
      </w:pPr>
      <w:r>
        <w:t>Contacts (from the onboarding site)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Topic</w:t>
            </w:r>
          </w:p>
        </w:tc>
        <w:tc>
          <w:tcPr>
            <w:tcW w:type="dxa" w:w="4986"/>
            <w:shd w:fill="102033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Who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AI enablement (PDT &amp; GSQ)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Jan Felix Meyer; Martin Sturm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GitHub / takOS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Venkatagopichand Maddela; Venkatesh Ravi; Jan Felix Meyer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Jira board / DoD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Ian Leake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takOS Design System / Claude Design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Animesh Pathak; Hari Krishnan N; Asmita Pawar</w:t>
            </w:r>
          </w:p>
        </w:tc>
      </w:tr>
      <w:tr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Infrastructure dependencies</w:t>
            </w:r>
          </w:p>
        </w:tc>
        <w:tc>
          <w:tcPr>
            <w:tcW w:type="dxa" w:w="4986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Stéphane Dattenny</w:t>
            </w:r>
          </w:p>
        </w:tc>
      </w:tr>
      <w:tr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i w:val="0"/>
                <w:color w:val="333A44"/>
                <w:sz w:val="18"/>
              </w:rPr>
              <w:t>Do not use first for incomplete AI requests</w:t>
            </w:r>
          </w:p>
        </w:tc>
        <w:tc>
          <w:tcPr>
            <w:tcW w:type="dxa" w:w="4986"/>
            <w:shd w:fill="F4F6F8" w:val="clear"/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i w:val="0"/>
                <w:color w:val="333A44"/>
                <w:sz w:val="18"/>
              </w:rPr>
              <w:t>Workforce AI Global</w:t>
            </w:r>
          </w:p>
        </w:tc>
      </w:tr>
    </w:tbl>
    <w:p/>
    <w:p>
      <w:pPr>
        <w:pStyle w:val="Heading1"/>
      </w:pPr>
      <w:r>
        <w:t>Controlled sources (pull the current copy from Veeva)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STRD-201016 · SOP-254573 · SOP-254574 · SOP-254575 · SOP-253593 · TOOL-235299 · TOOL-235300 · TOOL-235311 · FORM-316177 · FORM-312922 / 312923 · VAL-624698 · SOP-229697</w:t>
      </w:r>
    </w:p>
    <w:p>
      <w:r>
        <w:rPr>
          <w:rFonts w:ascii="Calibri" w:hAnsi="Calibri" w:eastAsia="Calibri"/>
          <w:b w:val="0"/>
          <w:i w:val="0"/>
          <w:color w:val="333A44"/>
          <w:sz w:val="22"/>
        </w:rPr>
        <w:t>Do not attach a screenshot of the onboarding website as the form.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Confidential — Takeda internal  ·  September 2026  ·  Page </w:t>
    </w:r>
    <w:r>
      <w:rPr>
        <w:rFonts w:ascii="Calibri" w:hAnsi="Calibri" w:eastAsia="Calibri"/>
        <w:b w:val="0"/>
        <w:i w:val="0"/>
        <w:color w:val="5B6470"/>
        <w:sz w:val="16"/>
      </w:rPr>
      <w:fldChar w:fldCharType="begin"/>
    </w:r>
    <w:r>
      <w:rPr>
        <w:rFonts w:ascii="Calibri" w:hAnsi="Calibri" w:eastAsia="Calibri"/>
        <w:b w:val="0"/>
        <w:i w:val="0"/>
        <w:color w:val="5B6470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5B647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b w:val="0"/>
        <w:i w:val="0"/>
        <w:color w:val="5B6470"/>
        <w:sz w:val="16"/>
      </w:rPr>
      <w:t xml:space="preserve">GSQ GML DD&amp;T  ·  Executive Platform  ·  </w:t>
    </w:r>
    <w:r>
      <w:rPr>
        <w:rFonts w:ascii="Calibri" w:hAnsi="Calibri" w:eastAsia="Calibri"/>
        <w:b/>
        <w:i w:val="0"/>
        <w:color w:val="9F1B2C"/>
        <w:sz w:val="16"/>
      </w:rPr>
      <w:t>TakOS Submission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333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0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9F1B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020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27"/>
    </w:pPr>
    <w:rPr>
      <w:rFonts w:ascii="Consolas" w:hAnsi="Consolas"/>
      <w:color w:val="10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