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Heading1"/>
      </w:pPr>
      <w:r>
        <w:t xml:space="preserve">Footnotes with mixed Markdown</w:t>
      </w:r>
    </w:p>
    <w:p>
      <w:r>
        <w:t xml:space="preserve">A named reference</w:t>
      </w:r>
      <w:bookmarkStart w:id="1" w:name="_tinta_fn_1"/>
      <w:r>
        <w:rPr>
          <w:color w:val="38C6E4"/>
          <w:vertAlign w:val="superscript"/>
        </w:rPr>
        <w:footnoteReference w:id="1"/>
      </w:r>
      <w:bookmarkEnd w:id="1"/>
      <w:r>
        <w:t xml:space="preserve">, a short note</w:t>
      </w:r>
      <w:bookmarkStart w:id="2" w:name="_tinta_fn_2"/>
      <w:r>
        <w:rPr>
          <w:color w:val="38C6E4"/>
          <w:vertAlign w:val="superscript"/>
        </w:rPr>
        <w:footnoteReference w:id="2"/>
      </w:r>
      <w:bookmarkEnd w:id="2"/>
      <w:r>
        <w:t xml:space="preserve">, and the named reference again</w:t>
      </w:r>
      <w:fldSimple w:instr=" NOTEREF _tinta_fn_1 \h ">
        <w:r>
          <w:rPr>
            <w:color w:val="38C6E4"/>
            <w:vertAlign w:val="superscript"/>
          </w:rPr>
          <w:t xml:space="preserve">1</w:t>
        </w:r>
      </w:fldSimple>
      <w:r>
        <w:t xml:space="preserve">.</w:t>
      </w:r>
      <w:r>
        <w:t xml:space="preserve"> </w:t>
      </w:r>
      <w:r>
        <w:t xml:space="preserve">This keeps </w:t>
      </w:r>
      <w:r>
        <w:rPr>
          <w:b/>
        </w:rPr>
        <w:t xml:space="preserve">bold</w:t>
      </w:r>
      <w:r>
        <w:t xml:space="preserve">, </w:t>
      </w:r>
      <w:r>
        <w:rPr>
          <w:i/>
        </w:rPr>
        <w:t xml:space="preserve">emphasis</w:t>
      </w:r>
      <w:r>
        <w:t xml:space="preserve">, </w:t>
      </w:r>
      <w:r>
        <w:rPr>
          <w:highlight w:val="yellow"/>
        </w:rPr>
        <w:t xml:space="preserve">highlight</w:t>
      </w:r>
      <w:r>
        <w:t xml:space="preserve">, H</w:t>
      </w:r>
      <w:r>
        <w:rPr>
          <w:vertAlign w:val="subscript"/>
        </w:rPr>
        <w:t xml:space="preserve">2</w:t>
      </w:r>
      <w:r>
        <w:t xml:space="preserve">O and x</w:t>
      </w:r>
      <w:r>
        <w:rPr>
          <w:vertAlign w:val="superscript"/>
        </w:rPr>
        <w:t xml:space="preserve">2</w:t>
      </w:r>
      <w:r>
        <w:t xml:space="preserve"> alongside </w:t>
      </w:r>
      <w:r>
        <w:rPr>
          <w:position w:val="-7"/>
        </w:rPr>
        <w:drawing>
          <wp:inline distT="0" distB="0" distL="0" distR="0">
            <wp:extent cx="808252" cy="239254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08252" cy="23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</w:t>
      </w:r>
    </w:p>
    <w:p>
      <w:pPr>
        <w:pStyle w:val="Heading2"/>
      </w:pPr>
      <w:r>
        <w:t xml:space="preserve">Notes in other structures</w:t>
      </w:r>
    </w:p>
    <w:tbl>
      <w:tblPr>
        <w:tblW w:w="0" w:type="auto"/>
        <w:tblBorders>
          <w:top w:val="single" w:sz="4" w:color="C8C8C8"/>
          <w:left w:val="single" w:sz="4" w:color="C8C8C8"/>
          <w:bottom w:val="single" w:sz="4" w:color="C8C8C8"/>
          <w:right w:val="single" w:sz="4" w:color="C8C8C8"/>
          <w:insideH w:val="single" w:sz="4" w:color="C8C8C8"/>
          <w:insideV w:val="single" w:sz="4" w:color="C8C8C8"/>
        </w:tblBorders>
      </w:tblPr>
      <w:tblGrid>
        <w:gridCol/>
        <w:gridCol/>
      </w:tblGrid>
      <w:tr>
        <w:tc>
          <w:tcPr>
            <w:shd w:val="clear" w:color="auto" w:fill="F2F0EE"/>
          </w:tcPr>
          <w:p>
            <w:r>
              <w:rPr>
                <w:b/>
              </w:rPr>
              <w:t xml:space="preserve">Item</w:t>
            </w:r>
          </w:p>
        </w:tc>
        <w:tc>
          <w:tcPr>
            <w:shd w:val="clear" w:color="auto" w:fill="F2F0EE"/>
          </w:tcPr>
          <w:p>
            <w:r>
              <w:rPr>
                <w:b/>
              </w:rPr>
              <w:t xml:space="preserve">Explanation</w:t>
            </w:r>
          </w:p>
        </w:tc>
      </w:tr>
      <w:tr>
        <w:tc>
          <w:tcPr/>
          <w:p>
            <w:r>
              <w:t xml:space="preserve">Table reference</w:t>
            </w:r>
            <w:fldSimple w:instr=" NOTEREF _tinta_fn_2 \h ">
              <w:r>
                <w:rPr>
                  <w:color w:val="38C6E4"/>
                  <w:vertAlign w:val="superscript"/>
                </w:rPr>
                <w:t xml:space="preserve">2</w:t>
              </w:r>
            </w:fldSimple>
          </w:p>
        </w:tc>
        <w:tc>
          <w:tcPr/>
          <w:p>
            <w:r>
              <w:t xml:space="preserve">A table with </w:t>
            </w:r>
            <w:r>
              <w:rPr>
                <w:rFonts w:ascii="Cascadia Code" w:hAnsi="Cascadia Code" w:cs="Cascadia Code"/>
                <w:sz w:val="21"/>
                <w:szCs w:val="21"/>
                <w:shd w:val="clear" w:color="auto" w:fill="F2F0EE"/>
              </w:rPr>
              <w:t xml:space="preserve">inline code</w:t>
            </w:r>
          </w:p>
        </w:tc>
      </w:tr>
      <w:tr>
        <w:tc>
          <w:tcPr/>
          <w:p>
            <w:r>
              <w:t xml:space="preserve">Another</w:t>
            </w:r>
            <w:fldSimple w:instr=" NOTEREF _tinta_fn_1 \h ">
              <w:r>
                <w:rPr>
                  <w:color w:val="38C6E4"/>
                  <w:vertAlign w:val="superscript"/>
                </w:rPr>
                <w:t xml:space="preserve">1</w:t>
              </w:r>
            </w:fldSimple>
          </w:p>
        </w:tc>
        <w:tc>
          <w:tcPr/>
          <w:p>
            <w:r>
              <w:rPr>
                <w:b/>
              </w:rPr>
              <w:t xml:space="preserve">Bold</w:t>
            </w:r>
            <w:r>
              <w:t xml:space="preserve"> and </w:t>
            </w:r>
            <w:r>
              <w:rPr>
                <w:position w:val="-18"/>
              </w:rPr>
              <w:drawing>
                <wp:inline distT="0" distB="0" distL="0" distR="0">
                  <wp:extent cx="120029" cy="313381"/>
                  <wp:docPr id="2" name="Pict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29" cy="313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Bdr>
          <w:left w:val="single" w:sz="24" w:space="12" w:color="BBBBBB"/>
        </w:pBdr>
        <w:ind w:left="240"/>
      </w:pPr>
      <w:r>
        <w:rPr>
          <w:color w:val="555555"/>
        </w:rPr>
        <w:t xml:space="preserve">A quote with a note</w:t>
      </w:r>
      <w:fldSimple w:instr=" NOTEREF _tinta_fn_2 \h ">
        <w:r>
          <w:rPr>
            <w:color w:val="38C6E4"/>
            <w:vertAlign w:val="superscript"/>
          </w:rPr>
          <w:t xml:space="preserve">2</w:t>
        </w:r>
      </w:fldSimple>
      <w:r>
        <w:rPr>
          <w:color w:val="555555"/>
        </w:rPr>
        <w:t xml:space="preserve"> and </w:t>
      </w:r>
      <w:hyperlink r:id="rId6" w:history="1">
        <w:r>
          <w:rPr>
            <w:color w:val="38C6E4"/>
            <w:u w:val="single"/>
          </w:rPr>
          <w:t xml:space="preserve">an external link</w:t>
        </w:r>
      </w:hyperlink>
      <w:r>
        <w:rPr>
          <w:color w:val="555555"/>
        </w:rPr>
        <w:t xml:space="preserve">.</w:t>
      </w:r>
    </w:p>
    <w:p>
      <w:pPr>
        <w:numPr>
          <w:ilvl w:val="0"/>
          <w:numId w:val="1"/>
        </w:numPr>
      </w:pPr>
      <w:r>
        <w:t xml:space="preserve">A list reference</w:t>
      </w:r>
      <w:fldSimple w:instr=" NOTEREF _tinta_fn_1 \h ">
        <w:r>
          <w:rPr>
            <w:color w:val="38C6E4"/>
            <w:vertAlign w:val="superscript"/>
          </w:rPr>
          <w:t xml:space="preserve">1</w:t>
        </w:r>
      </w:fldSimple>
      <w:r>
        <w:t xml:space="preserve">.</w:t>
      </w:r>
    </w:p>
    <w:p>
      <w:pPr>
        <w:numPr>
          <w:ilvl w:val="0"/>
          <w:numId w:val="1"/>
        </w:numPr>
      </w:pPr>
      <w:r>
        <w:t xml:space="preserve">Another item with </w:t>
      </w:r>
      <w:r>
        <w:rPr>
          <w:i/>
        </w:rPr>
        <w:t xml:space="preserve">emphasis</w:t>
      </w:r>
      <w:r>
        <w:t xml:space="preserve">.</w:t>
      </w:r>
    </w:p>
    <w:p>
      <w:pPr>
        <w:pStyle w:val="Heading2"/>
      </w:pPr>
      <w:r>
        <w:t xml:space="preserve">Literal and unresolved references</w:t>
      </w:r>
    </w:p>
    <w:p>
      <w:r>
        <w:t xml:space="preserve">Missing[^missing], escaped [^1], inline code </w:t>
      </w:r>
      <w:r>
        <w:rPr>
          <w:rFonts w:ascii="Cascadia Code" w:hAnsi="Cascadia Code" w:cs="Cascadia Code"/>
          <w:sz w:val="21"/>
          <w:szCs w:val="21"/>
          <w:shd w:val="clear" w:color="auto" w:fill="F2F0EE"/>
        </w:rPr>
        <w:t xml:space="preserve">[^detail]</w:t>
      </w:r>
      <w:r>
        <w:t xml:space="preserve">, and a link </w:t>
      </w:r>
      <w:hyperlink r:id="rId7" w:history="1">
        <w:r>
          <w:rPr>
            <w:color w:val="38C6E4"/>
            <w:u w:val="single"/>
          </w:rPr>
          <w:t xml:space="preserve">literal[^1]</w:t>
        </w:r>
      </w:hyperlink>
      <w:r>
        <w:t xml:space="preserve">.</w:t>
      </w:r>
    </w:p>
    <w:p>
      <w:pPr>
        <w:pStyle w:val="CodeBlock"/>
      </w:pPr>
      <w:r>
        <w:t xml:space="preserve">[^fake]: This is an example, not a definition.</w:t>
      </w:r>
      <w:r>
        <w:br/>
      </w:r>
      <w:r>
        <w:t xml:space="preserve">Literal reference: [^1]</w:t>
      </w:r>
    </w:p>
    <w:p/>
    <w:p>
      <w:r>
        <w:t xml:space="preserve">Final body paragraph. Notes should appear after this paragraph.</w:t>
      </w:r>
    </w:p>
    <w:sectPr>
      <w:pgSz w:w="11906" w:h="16838"/>
      <w:pgMar w:top="1134" w:right="1134" w:bottom="1134" w:left="1134" w:header="708" w:footer="708" w:gutter="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rPr>
          <w:vertAlign w:val="superscript"/>
        </w:rPr>
        <w:footnoteRef/>
      </w:r>
      <w:r>
        <w:t xml:space="preserve">A longer note with </w:t>
      </w:r>
      <w:r>
        <w:rPr>
          <w:i/>
        </w:rPr>
        <w:t xml:space="preserve">emphasis</w:t>
      </w:r>
      <w:r>
        <w:t xml:space="preserve">, </w:t>
      </w:r>
      <w:r>
        <w:rPr>
          <w:highlight w:val="yellow"/>
        </w:rPr>
        <w:t xml:space="preserve">highlight</w:t>
      </w:r>
      <w:r>
        <w:t xml:space="preserve"> and </w:t>
      </w:r>
      <w:r>
        <w:rPr>
          <w:position w:val="-12"/>
        </w:rPr>
        <w:drawing>
          <wp:inline distT="0" distB="0" distL="0" distR="0">
            <wp:extent cx="161695" cy="270575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695" cy="27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</w:t>
      </w:r>
    </w:p>
    <w:p>
      <w:r>
        <w:t xml:space="preserve">A second paragraph in the same note.</w:t>
      </w:r>
    </w:p>
    <w:p>
      <w:pPr>
        <w:numPr>
          <w:ilvl w:val="0"/>
          <w:numId w:val="1"/>
        </w:numPr>
      </w:pPr>
      <w:r>
        <w:t xml:space="preserve">A nested list item.</w:t>
      </w:r>
    </w:p>
    <w:p>
      <w:pPr>
        <w:numPr>
          <w:ilvl w:val="0"/>
          <w:numId w:val="1"/>
        </w:numPr>
      </w:pPr>
      <w:r>
        <w:t xml:space="preserve">A second item with </w:t>
      </w:r>
      <w:r>
        <w:rPr>
          <w:rFonts w:ascii="Cascadia Code" w:hAnsi="Cascadia Code" w:cs="Cascadia Code"/>
          <w:sz w:val="21"/>
          <w:szCs w:val="21"/>
          <w:shd w:val="clear" w:color="auto" w:fill="F2F0EE"/>
        </w:rPr>
        <w:t xml:space="preserve">code</w:t>
      </w:r>
      <w:r>
        <w:t xml:space="preserve">.</w:t>
      </w:r>
    </w:p>
    <w:tbl>
      <w:tblPr>
        <w:tblW w:w="0" w:type="auto"/>
        <w:tblBorders>
          <w:top w:val="single" w:sz="4" w:color="C8C8C8"/>
          <w:left w:val="single" w:sz="4" w:color="C8C8C8"/>
          <w:bottom w:val="single" w:sz="4" w:color="C8C8C8"/>
          <w:right w:val="single" w:sz="4" w:color="C8C8C8"/>
          <w:insideH w:val="single" w:sz="4" w:color="C8C8C8"/>
          <w:insideV w:val="single" w:sz="4" w:color="C8C8C8"/>
        </w:tblBorders>
      </w:tblPr>
      <w:tblGrid>
        <w:gridCol/>
        <w:gridCol/>
      </w:tblGrid>
      <w:tr>
        <w:tc>
          <w:tcPr>
            <w:shd w:val="clear" w:color="auto" w:fill="F2F0EE"/>
          </w:tcPr>
          <w:p>
            <w:r>
              <w:rPr>
                <w:b/>
              </w:rPr>
              <w:t xml:space="preserve">Note table</w:t>
            </w:r>
          </w:p>
        </w:tc>
        <w:tc>
          <w:tcPr>
            <w:shd w:val="clear" w:color="auto" w:fill="F2F0EE"/>
          </w:tcPr>
          <w:p>
            <w:pPr>
              <w:jc w:val="right"/>
            </w:pPr>
            <w:r>
              <w:rPr>
                <w:b/>
              </w:rPr>
              <w:t xml:space="preserve">Value</w:t>
            </w:r>
          </w:p>
        </w:tc>
      </w:tr>
      <w:tr>
        <w:tc>
          <w:tcPr/>
          <w:p>
            <w:r>
              <w:t xml:space="preserve">Preserved</w:t>
            </w:r>
          </w:p>
        </w:tc>
        <w:tc>
          <w:tcPr/>
          <w:p>
            <w:pPr>
              <w:jc w:val="right"/>
            </w:pPr>
            <w:r>
              <w:t xml:space="preserve">42</w:t>
            </w:r>
          </w:p>
        </w:tc>
      </w:tr>
    </w:tbl>
    <w:p/>
    <w:p>
      <w:pPr>
        <w:pStyle w:val="CodeBlock"/>
      </w:pPr>
      <w:r>
        <w:t xml:space="preserve">SELECT 42; -- syntax remains available inside a note</w:t>
      </w:r>
    </w:p>
  </w:footnote>
  <w:footnote w:id="2">
    <w:p>
      <w:r>
        <w:rPr>
          <w:vertAlign w:val="superscript"/>
        </w:rPr>
        <w:footnoteRef/>
      </w:r>
      <w:r>
        <w:t xml:space="preserve">Short note with </w:t>
      </w:r>
      <w:r>
        <w:rPr>
          <w:b/>
        </w:rPr>
        <w:t xml:space="preserve">bold</w:t>
      </w:r>
      <w:r>
        <w:t xml:space="preserve"> and a </w:t>
      </w:r>
      <w:hyperlink r:id="rId9" w:history="1">
        <w:r>
          <w:rPr>
            <w:color w:val="38C6E4"/>
            <w:u w:val="single"/>
          </w:rPr>
          <w:t xml:space="preserve">link</w:t>
        </w:r>
      </w:hyperlink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360" w:hanging="360"/>
      </w:pPr>
    </w:lvl>
    <w:lvl w:ilvl="1">
      <w:start w:val="1"/>
      <w:numFmt w:val="bullet"/>
      <w:lvlText w:val="◦"/>
      <w:lvlJc w:val="left"/>
      <w:pPr>
        <w:ind w:left="720" w:hanging="360"/>
      </w:pPr>
    </w:lvl>
    <w:lvl w:ilvl="2">
      <w:start w:val="1"/>
      <w:numFmt w:val="bullet"/>
      <w:lvlText w:val="▪"/>
      <w:lvlJc w:val="left"/>
      <w:pPr>
        <w:ind w:left="1080" w:hanging="360"/>
      </w:pPr>
    </w:lvl>
    <w:lvl w:ilvl="3">
      <w:start w:val="1"/>
      <w:numFmt w:val="bullet"/>
      <w:lvlText w:val="•"/>
      <w:lvlJc w:val="left"/>
      <w:pPr>
        <w:ind w:left="1440" w:hanging="360"/>
      </w:pPr>
    </w:lvl>
    <w:lvl w:ilvl="4">
      <w:start w:val="1"/>
      <w:numFmt w:val="bullet"/>
      <w:lvlText w:val="◦"/>
      <w:lvlJc w:val="left"/>
      <w:pPr>
        <w:ind w:left="1800" w:hanging="360"/>
      </w:pPr>
    </w:lvl>
    <w:lvl w:ilvl="5">
      <w:start w:val="1"/>
      <w:numFmt w:val="bullet"/>
      <w:lvlText w:val="▪"/>
      <w:lvlJc w:val="left"/>
      <w:pPr>
        <w:ind w:left="2160" w:hanging="360"/>
      </w:pPr>
    </w:lvl>
    <w:lvl w:ilvl="6">
      <w:start w:val="1"/>
      <w:numFmt w:val="bullet"/>
      <w:lvlText w:val="•"/>
      <w:lvlJc w:val="left"/>
      <w:pPr>
        <w:ind w:left="2520" w:hanging="360"/>
      </w:pPr>
    </w:lvl>
    <w:lvl w:ilvl="7">
      <w:start w:val="1"/>
      <w:numFmt w:val="bullet"/>
      <w:lvlText w:val="◦"/>
      <w:lvlJc w:val="left"/>
      <w:pPr>
        <w:ind w:left="2880" w:hanging="360"/>
      </w:pPr>
    </w:lvl>
    <w:lvl w:ilvl="8">
      <w:start w:val="1"/>
      <w:numFmt w:val="bullet"/>
      <w:lvlText w:val="▪"/>
      <w:lvlJc w:val="left"/>
      <w:pPr>
        <w:ind w:left="324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decimal"/>
      <w:lvlText w:val="%5."/>
      <w:lvlJc w:val="left"/>
      <w:pPr>
        <w:ind w:left="1800" w:hanging="360"/>
      </w:pPr>
    </w:lvl>
    <w:lvl w:ilvl="5">
      <w:start w:val="1"/>
      <w:numFmt w:val="decimal"/>
      <w:lvlText w:val="%6.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decimal"/>
      <w:lvlText w:val="%8."/>
      <w:lvlJc w:val="left"/>
      <w:pPr>
        <w:ind w:left="2880" w:hanging="360"/>
      </w:pPr>
    </w:lvl>
    <w:lvl w:ilvl="8">
      <w:start w:val="1"/>
      <w:numFmt w:val="decimal"/>
      <w:lvlText w:val="%9."/>
      <w:lvlJc w:val="left"/>
      <w:pPr>
        <w:ind w:left="324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Segoe UI" w:hAnsi="Segoe UI" w:cs="Segoe UI"/>
        <w:color w:val="1F1F1F"/>
        <w:sz w:val="24"/>
        <w:szCs w:val="24"/>
      </w:rPr>
    </w:rPrDefault>
    <w:pPrDefault>
      <w:pPr>
        <w:spacing w:after="160" w:line="312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280" w:after="120"/>
      <w:outlineLvl w:val="0"/>
    </w:pPr>
    <w:rPr>
      <w:b/>
      <w:color w:val="111111"/>
      <w:sz w:val="48"/>
      <w:szCs w:val="48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color w:val="111111"/>
      <w:sz w:val="39"/>
      <w:szCs w:val="39"/>
    </w:rPr>
  </w:style>
  <w:style w:type="paragraph" w:styleId="Heading3">
    <w:name w:val="heading 3"/>
    <w:basedOn w:val="Normal"/>
    <w:pPr>
      <w:keepNext/>
      <w:spacing w:before="280" w:after="120"/>
      <w:outlineLvl w:val="2"/>
    </w:pPr>
    <w:rPr>
      <w:b/>
      <w:color w:val="111111"/>
      <w:sz w:val="33"/>
      <w:szCs w:val="33"/>
    </w:rPr>
  </w:style>
  <w:style w:type="paragraph" w:styleId="Heading4">
    <w:name w:val="heading 4"/>
    <w:basedOn w:val="Normal"/>
    <w:pPr>
      <w:keepNext/>
      <w:spacing w:before="280" w:after="120"/>
      <w:outlineLvl w:val="3"/>
    </w:pPr>
    <w:rPr>
      <w:b/>
      <w:color w:val="111111"/>
      <w:sz w:val="27"/>
      <w:szCs w:val="27"/>
    </w:rPr>
  </w:style>
  <w:style w:type="paragraph" w:styleId="Heading5">
    <w:name w:val="heading 5"/>
    <w:basedOn w:val="Normal"/>
    <w:pPr>
      <w:keepNext/>
      <w:spacing w:before="280" w:after="120"/>
      <w:outlineLvl w:val="4"/>
    </w:pPr>
    <w:rPr>
      <w:b/>
      <w:color w:val="111111"/>
      <w:sz w:val="24"/>
      <w:szCs w:val="24"/>
    </w:rPr>
  </w:style>
  <w:style w:type="paragraph" w:styleId="Heading6">
    <w:name w:val="heading 6"/>
    <w:basedOn w:val="Normal"/>
    <w:pPr>
      <w:keepNext/>
      <w:spacing w:before="280" w:after="120"/>
      <w:outlineLvl w:val="5"/>
    </w:pPr>
    <w:rPr>
      <w:b/>
      <w:color w:val="111111"/>
      <w:sz w:val="21"/>
      <w:szCs w:val="21"/>
    </w:rPr>
  </w:style>
  <w:style w:type="paragraph" w:styleId="CodeBlock">
    <w:name w:val="Code Block"/>
    <w:basedOn w:val="Normal"/>
    <w:pPr>
      <w:shd w:val="clear" w:color="auto" w:fill="F2F0EE"/>
      <w:spacing w:after="160"/>
    </w:pPr>
    <w:rPr>
      <w:rFonts w:ascii="Cascadia Code" w:hAnsi="Cascadia Code" w:cs="Cascadia Code"/>
      <w:sz w:val="21"/>
      <w:szCs w:val="21"/>
    </w:rPr>
  </w:style>
  <w:style w:type="character" w:styleId="Hyperlink">
    <w:name w:val="Hyperlink"/>
    <w:rPr>
      <w:color w:val="38C6E4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https://example.com" TargetMode="External"/><Relationship Id="rId7" Type="http://schemas.openxmlformats.org/officeDocument/2006/relationships/hyperlink" Target="https://example.com" TargetMode="External"/><Relationship Id="rId8" Type="http://schemas.openxmlformats.org/officeDocument/2006/relationships/image" Target="media/image3.png"/><Relationship Id="rId9" Type="http://schemas.openxmlformats.org/officeDocument/2006/relationships/hyperlink" Target="https://example.com/notes" TargetMode="External"/><Relationship Id="rId10" Type="http://schemas.openxmlformats.org/officeDocument/2006/relationships/footnotes" Target="footnotes.xml"/></Relationships>
</file>

<file path=word/_rels/footnotes.xml.rels><?xml version="1.0" encoding="UTF-8" standalone="yes"?><Relationships xmlns="http://schemas.openxmlformats.org/package/2006/relationships"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https://example.com" TargetMode="External"/><Relationship Id="rId7" Type="http://schemas.openxmlformats.org/officeDocument/2006/relationships/hyperlink" Target="https://example.com" TargetMode="External"/><Relationship Id="rId8" Type="http://schemas.openxmlformats.org/officeDocument/2006/relationships/image" Target="media/image3.png"/><Relationship Id="rId9" Type="http://schemas.openxmlformats.org/officeDocument/2006/relationships/hyperlink" Target="https://example.com/notes" TargetMode="External"/></Relationships>
</file>