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 xml:space="preserve">Frontmatter display and save checks</w:t>
      </w:r>
    </w:p>
    <w:p>
      <w:r>
        <w:t xml:space="preserve">Open </w:t>
      </w:r>
      <w:r>
        <w:rPr>
          <w:b/>
        </w:rPr>
        <w:t xml:space="preserve">Settings → Frontmatter</w:t>
      </w:r>
      <w:r>
        <w:t xml:space="preserve">. Show </w:t>
      </w:r>
      <w:r>
        <w:rPr>
          <w:rFonts w:ascii="Cascadia Code" w:hAnsi="Cascadia Code" w:cs="Cascadia Code"/>
          <w:sz w:val="21"/>
          <w:szCs w:val="21"/>
          <w:shd w:val="clear" w:color="auto" w:fill="F2F0EE"/>
        </w:rPr>
        <w:t xml:space="preserve">author</w:t>
      </w:r>
      <w:r>
        <w:t xml:space="preserve">, </w:t>
      </w:r>
      <w:r>
        <w:rPr>
          <w:rFonts w:ascii="Cascadia Code" w:hAnsi="Cascadia Code" w:cs="Cascadia Code"/>
          <w:sz w:val="21"/>
          <w:szCs w:val="21"/>
          <w:shd w:val="clear" w:color="auto" w:fill="F2F0EE"/>
        </w:rPr>
        <w:t xml:space="preserve">created</w:t>
      </w:r>
      <w:r>
        <w:t xml:space="preserve">, and </w:t>
      </w:r>
      <w:r>
        <w:rPr>
          <w:rFonts w:ascii="Cascadia Code" w:hAnsi="Cascadia Code" w:cs="Cascadia Code"/>
          <w:sz w:val="21"/>
          <w:szCs w:val="21"/>
          <w:shd w:val="clear" w:color="auto" w:fill="F2F0EE"/>
        </w:rPr>
        <w:t xml:space="preserve">updated</w:t>
      </w:r>
      <w:r>
        <w:t xml:space="preserve">.</w:t>
      </w:r>
      <w:r>
        <w:t xml:space="preserve"> </w:t>
      </w:r>
      <w:r>
        <w:t xml:space="preserve">Drag the rows, change their side, toggle labels, and try the list formats.</w:t>
      </w:r>
      <w:r>
        <w:t xml:space="preserve"> </w:t>
      </w:r>
      <w:r>
        <w:t xml:space="preserve">Limit tags to three and hover over the </w:t>
      </w:r>
      <w:r>
        <w:rPr>
          <w:b/>
        </w:rPr>
        <w:t xml:space="preserve">+4</w:t>
      </w:r>
      <w:r>
        <w:t xml:space="preserve"> chip to see the remainder.</w:t>
      </w:r>
    </w:p>
    <w:p>
      <w:r>
        <w:t xml:space="preserve">The property strip should fit at narrow widths as well as in a wide window.</w:t>
      </w:r>
      <w:r>
        <w:t xml:space="preserve"> </w:t>
      </w:r>
      <w:r>
        <w:t xml:space="preserve">Its title is independent of the Markdown heading below it.</w:t>
      </w:r>
    </w:p>
    <w:p>
      <w:pPr>
        <w:pStyle w:val="Heading2"/>
      </w:pPr>
      <w:r>
        <w:t xml:space="preserve">Mixed content remains intact</w:t>
      </w:r>
    </w:p>
    <w:tbl>
      <w:tblPr>
        <w:tblW w:w="0" w:type="auto"/>
        <w:tblBorders>
          <w:top w:val="single" w:sz="4" w:color="C8C8C8"/>
          <w:left w:val="single" w:sz="4" w:color="C8C8C8"/>
          <w:bottom w:val="single" w:sz="4" w:color="C8C8C8"/>
          <w:right w:val="single" w:sz="4" w:color="C8C8C8"/>
          <w:insideH w:val="single" w:sz="4" w:color="C8C8C8"/>
          <w:insideV w:val="single" w:sz="4" w:color="C8C8C8"/>
        </w:tblBorders>
      </w:tblPr>
      <w:tblGrid>
        <w:gridCol/>
        <w:gridCol/>
      </w:tblGrid>
      <w:tr>
        <w:tc>
          <w:tcPr>
            <w:shd w:val="clear" w:color="auto" w:fill="F2F0EE"/>
          </w:tcPr>
          <w:p>
            <w:r>
              <w:rPr>
                <w:b/>
              </w:rPr>
              <w:t xml:space="preserve">Feature</w:t>
            </w:r>
          </w:p>
        </w:tc>
        <w:tc>
          <w:tcPr>
            <w:shd w:val="clear" w:color="auto" w:fill="F2F0EE"/>
          </w:tcPr>
          <w:p>
            <w:r>
              <w:rPr>
                <w:b/>
              </w:rPr>
              <w:t xml:space="preserve">Example</w:t>
            </w:r>
          </w:p>
        </w:tc>
      </w:tr>
      <w:tr>
        <w:tc>
          <w:tcPr/>
          <w:p>
            <w:r>
              <w:t xml:space="preserve">Emphasis</w:t>
            </w:r>
          </w:p>
        </w:tc>
        <w:tc>
          <w:tcPr/>
          <w:p>
            <w:r>
              <w:rPr>
                <w:b/>
              </w:rPr>
              <w:t xml:space="preserve">Bold</w:t>
            </w:r>
            <w:r>
              <w:t xml:space="preserve">, </w:t>
            </w:r>
            <w:r>
              <w:rPr>
                <w:i/>
              </w:rPr>
              <w:t xml:space="preserve">italic</w:t>
            </w:r>
            <w:r>
              <w:t xml:space="preserve">, </w:t>
            </w:r>
            <w:r>
              <w:rPr>
                <w:highlight w:val="yellow"/>
              </w:rPr>
              <w:t xml:space="preserve">highlight</w:t>
            </w:r>
          </w:p>
        </w:tc>
      </w:tr>
      <w:tr>
        <w:tc>
          <w:tcPr/>
          <w:p>
            <w:r>
              <w:t xml:space="preserve">Math</w:t>
            </w:r>
          </w:p>
        </w:tc>
        <w:tc>
          <w:tcPr/>
          <w:p>
            <w:r>
              <w:rPr>
                <w:position w:val="-7"/>
              </w:rPr>
              <w:drawing>
                <wp:inline distT="0" distB="0" distL="0" distR="0">
                  <wp:extent cx="808252" cy="239254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252" cy="239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and </w:t>
            </w:r>
            <w:r>
              <w:rPr>
                <w:position w:val="-18"/>
              </w:rPr>
              <w:drawing>
                <wp:inline distT="0" distB="0" distL="0" distR="0">
                  <wp:extent cx="120029" cy="313381"/>
                  <wp:docPr id="2" name="Pict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29" cy="313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r>
              <w:t xml:space="preserve">Code</w:t>
            </w:r>
          </w:p>
        </w:tc>
        <w:tc>
          <w:tcPr/>
          <w:p>
            <w:r>
              <w:rPr>
                <w:rFonts w:ascii="Cascadia Code" w:hAnsi="Cascadia Code" w:cs="Cascadia Code"/>
                <w:sz w:val="21"/>
                <w:szCs w:val="21"/>
                <w:shd w:val="clear" w:color="auto" w:fill="F2F0EE"/>
              </w:rPr>
              <w:t xml:space="preserve">updated: not metadata here</w:t>
            </w:r>
          </w:p>
        </w:tc>
      </w:tr>
      <w:tr>
        <w:tc>
          <w:tcPr/>
          <w:p>
            <w:r>
              <w:t xml:space="preserve">Footnote</w:t>
            </w:r>
          </w:p>
        </w:tc>
        <w:tc>
          <w:tcPr/>
          <w:p>
            <w:r>
              <w:t xml:space="preserve">A repeated note</w:t>
            </w:r>
            <w:bookmarkStart w:id="1" w:name="_tinta_fn_1"/>
            <w:r>
              <w:rPr>
                <w:color w:val="38C6E4"/>
                <w:vertAlign w:val="superscript"/>
              </w:rPr>
              <w:footnoteReference w:id="1"/>
            </w:r>
            <w:bookmarkEnd w:id="1"/>
          </w:p>
        </w:tc>
      </w:tr>
    </w:tbl>
    <w:p/>
    <w:p>
      <w:pPr>
        <w:pBdr>
          <w:left w:val="single" w:sz="24" w:space="12" w:color="BBBBBB"/>
        </w:pBdr>
        <w:ind w:left="240"/>
      </w:pPr>
      <w:r>
        <w:rPr>
          <w:color w:val="555555"/>
        </w:rPr>
        <w:t xml:space="preserve">A quote with inline code </w:t>
      </w:r>
      <w:r>
        <w:rPr>
          <w:rFonts w:ascii="Cascadia Code" w:hAnsi="Cascadia Code" w:cs="Cascadia Code"/>
          <w:color w:val="555555"/>
          <w:sz w:val="21"/>
          <w:szCs w:val="21"/>
          <w:shd w:val="clear" w:color="auto" w:fill="F2F0EE"/>
        </w:rPr>
        <w:t xml:space="preserve">created</w:t>
      </w:r>
      <w:r>
        <w:rPr>
          <w:color w:val="555555"/>
        </w:rPr>
        <w:t xml:space="preserve">, </w:t>
      </w:r>
      <w:r>
        <w:rPr>
          <w:b/>
          <w:color w:val="555555"/>
        </w:rPr>
        <w:t xml:space="preserve">bold text</w:t>
      </w:r>
      <w:r>
        <w:rPr>
          <w:color w:val="555555"/>
        </w:rPr>
        <w:t xml:space="preserve">, and </w:t>
      </w:r>
      <w:r>
        <w:rPr>
          <w:position w:val="-12"/>
        </w:rPr>
        <w:drawing>
          <wp:inline distT="0" distB="0" distL="0" distR="0">
            <wp:extent cx="161695" cy="270575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695" cy="27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55555"/>
        </w:rPr>
        <w:t xml:space="preserve">.</w:t>
      </w:r>
    </w:p>
    <w:p>
      <w:pPr>
        <w:numPr>
          <w:ilvl w:val="0"/>
          <w:numId w:val="1"/>
        </w:numPr>
      </w:pPr>
      <w:r>
        <w:t xml:space="preserve">First list item with </w:t>
      </w:r>
      <w:hyperlink r:id="rId7" w:history="1">
        <w:r>
          <w:rPr>
            <w:color w:val="38C6E4"/>
            <w:u w:val="single"/>
          </w:rPr>
          <w:t xml:space="preserve">a link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Another reference</w:t>
      </w:r>
      <w:fldSimple w:instr=" NOTEREF _tinta_fn_1 \h ">
        <w:r>
          <w:rPr>
            <w:color w:val="38C6E4"/>
            <w:vertAlign w:val="superscript"/>
          </w:rPr>
          <w:t xml:space="preserve">1</w:t>
        </w:r>
      </w:fldSimple>
      <w:r>
        <w:t xml:space="preserve"> and H</w:t>
      </w:r>
      <w:r>
        <w:rPr>
          <w:vertAlign w:val="subscript"/>
        </w:rPr>
        <w:t xml:space="preserve">2</w:t>
      </w:r>
      <w:r>
        <w:t xml:space="preserve">O / x</w:t>
      </w:r>
      <w:r>
        <w:rPr>
          <w:vertAlign w:val="superscript"/>
        </w:rPr>
        <w:t xml:space="preserve">2</w:t>
      </w:r>
      <w:r>
        <w:t xml:space="preserve">.</w:t>
      </w:r>
    </w:p>
    <w:p>
      <w:pPr>
        <w:pStyle w:val="CodeBlock"/>
      </w:pPr>
      <w:r>
        <w:t xml:space="preserve"># Literal example: these fields are never rewritten.</w:t>
      </w:r>
      <w:r>
        <w:br/>
      </w:r>
      <w:r>
        <w:t xml:space="preserve">created: literal</w:t>
      </w:r>
      <w:r>
        <w:br/>
      </w:r>
      <w:r>
        <w:t xml:space="preserve">updated: literal</w:t>
      </w:r>
    </w:p>
    <w:p/>
    <w:p>
      <w:r>
        <w:t xml:space="preserve">Final body paragraph.</w:t>
      </w:r>
    </w:p>
    <w:sectPr>
      <w:pgSz w:w="11906" w:h="16838"/>
      <w:pgMar w:top="1134" w:right="1134" w:bottom="1134" w:left="1134" w:header="708" w:footer="708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A note with </w:t>
      </w:r>
      <w:r>
        <w:rPr>
          <w:b/>
        </w:rPr>
        <w:t xml:space="preserve">formatting</w:t>
      </w:r>
      <w:r>
        <w:t xml:space="preserve">, </w:t>
      </w:r>
      <w:r>
        <w:rPr>
          <w:highlight w:val="yellow"/>
        </w:rPr>
        <w:t xml:space="preserve">highlight</w:t>
      </w:r>
      <w:r>
        <w:t xml:space="preserve"> and </w:t>
      </w:r>
      <w:r>
        <w:rPr>
          <w:position w:val="-7"/>
        </w:rPr>
        <w:drawing>
          <wp:inline distT="0" distB="0" distL="0" distR="0">
            <wp:extent cx="562784" cy="239254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784" cy="23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</w:t>
      </w:r>
    </w:p>
    <w:p>
      <w:r>
        <w:t xml:space="preserve">A second paragraph verifies footnotes and frontmatter together.</w:t>
      </w:r>
    </w:p>
  </w:footnote>
</w:footnote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◦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◦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◦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decimal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8."/>
      <w:lvlJc w:val="left"/>
      <w:pPr>
        <w:ind w:left="2880" w:hanging="360"/>
      </w:pPr>
    </w:lvl>
    <w:lvl w:ilvl="8">
      <w:start w:val="1"/>
      <w:numFmt w:val="decimal"/>
      <w:lvlText w:val="%9."/>
      <w:lvlJc w:val="left"/>
      <w:pPr>
        <w:ind w:left="324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color w:val="1F1F1F"/>
        <w:sz w:val="24"/>
        <w:szCs w:val="24"/>
      </w:rPr>
    </w:rPrDefault>
    <w:pPrDefault>
      <w:pPr>
        <w:spacing w:after="160" w:line="312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280" w:after="120"/>
      <w:outlineLvl w:val="0"/>
    </w:pPr>
    <w:rPr>
      <w:b/>
      <w:color w:val="111111"/>
      <w:sz w:val="48"/>
      <w:szCs w:val="48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11111"/>
      <w:sz w:val="39"/>
      <w:szCs w:val="39"/>
    </w:rPr>
  </w:style>
  <w:style w:type="paragraph" w:styleId="Heading3">
    <w:name w:val="heading 3"/>
    <w:basedOn w:val="Normal"/>
    <w:pPr>
      <w:keepNext/>
      <w:spacing w:before="280" w:after="120"/>
      <w:outlineLvl w:val="2"/>
    </w:pPr>
    <w:rPr>
      <w:b/>
      <w:color w:val="111111"/>
      <w:sz w:val="33"/>
      <w:szCs w:val="33"/>
    </w:rPr>
  </w:style>
  <w:style w:type="paragraph" w:styleId="Heading4">
    <w:name w:val="heading 4"/>
    <w:basedOn w:val="Normal"/>
    <w:pPr>
      <w:keepNext/>
      <w:spacing w:before="280" w:after="120"/>
      <w:outlineLvl w:val="3"/>
    </w:pPr>
    <w:rPr>
      <w:b/>
      <w:color w:val="111111"/>
      <w:sz w:val="27"/>
      <w:szCs w:val="27"/>
    </w:rPr>
  </w:style>
  <w:style w:type="paragraph" w:styleId="Heading5">
    <w:name w:val="heading 5"/>
    <w:basedOn w:val="Normal"/>
    <w:pPr>
      <w:keepNext/>
      <w:spacing w:before="280" w:after="120"/>
      <w:outlineLvl w:val="4"/>
    </w:pPr>
    <w:rPr>
      <w:b/>
      <w:color w:val="111111"/>
      <w:sz w:val="24"/>
      <w:szCs w:val="24"/>
    </w:rPr>
  </w:style>
  <w:style w:type="paragraph" w:styleId="Heading6">
    <w:name w:val="heading 6"/>
    <w:basedOn w:val="Normal"/>
    <w:pPr>
      <w:keepNext/>
      <w:spacing w:before="280" w:after="120"/>
      <w:outlineLvl w:val="5"/>
    </w:pPr>
    <w:rPr>
      <w:b/>
      <w:color w:val="111111"/>
      <w:sz w:val="21"/>
      <w:szCs w:val="21"/>
    </w:rPr>
  </w:style>
  <w:style w:type="paragraph" w:styleId="CodeBlock">
    <w:name w:val="Code Block"/>
    <w:basedOn w:val="Normal"/>
    <w:pPr>
      <w:shd w:val="clear" w:color="auto" w:fill="F2F0EE"/>
      <w:spacing w:after="160"/>
    </w:pPr>
    <w:rPr>
      <w:rFonts w:ascii="Cascadia Code" w:hAnsi="Cascadia Code" w:cs="Cascadia Code"/>
      <w:sz w:val="21"/>
      <w:szCs w:val="21"/>
    </w:rPr>
  </w:style>
  <w:style w:type="character" w:styleId="Hyperlink">
    <w:name w:val="Hyperlink"/>
    <w:rPr>
      <w:color w:val="38C6E4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yperlink" Target="https://example.com" TargetMode="External"/><Relationship Id="rId8" Type="http://schemas.openxmlformats.org/officeDocument/2006/relationships/image" Target="media/image4.png"/><Relationship Id="rId9" Type="http://schemas.openxmlformats.org/officeDocument/2006/relationships/footnotes" Target="footnotes.xml"/></Relationships>
</file>

<file path=word/_rels/footnotes.xml.rels><?xml version="1.0" encoding="UTF-8" standalone="yes"?><Relationships xmlns="http://schemas.openxmlformats.org/package/2006/relationships"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yperlink" Target="https://example.com" TargetMode="External"/><Relationship Id="rId8" Type="http://schemas.openxmlformats.org/officeDocument/2006/relationships/image" Target="media/image4.png"/></Relationships>
</file>