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D64C" w14:textId="77777777" w:rsidR="00974936" w:rsidRPr="008C249C" w:rsidRDefault="00140670">
      <w:pPr>
        <w:pStyle w:val="Titre1"/>
        <w:rPr>
          <w:lang w:val="fr-FR"/>
        </w:rPr>
      </w:pPr>
      <w:r w:rsidRPr="008C249C">
        <w:rPr>
          <w:lang w:val="fr-FR"/>
        </w:rPr>
        <w:t>Migration SAS vers KNIME : faisabilité et plan d'action</w:t>
      </w:r>
    </w:p>
    <w:p w14:paraId="41B8D64D" w14:textId="77777777" w:rsidR="00974936" w:rsidRPr="008C249C" w:rsidRDefault="00140670">
      <w:pPr>
        <w:rPr>
          <w:lang w:val="fr-FR"/>
        </w:rPr>
      </w:pPr>
      <w:r w:rsidRPr="008C249C">
        <w:rPr>
          <w:lang w:val="fr-FR"/>
        </w:rPr>
        <w:t>Oct 16, 2026 · @Philippe</w:t>
      </w:r>
    </w:p>
    <w:p w14:paraId="41B8D64E" w14:textId="77777777" w:rsidR="00974936" w:rsidRPr="008C249C" w:rsidRDefault="00140670">
      <w:pPr>
        <w:pStyle w:val="Titre2"/>
        <w:rPr>
          <w:lang w:val="fr-FR"/>
        </w:rPr>
      </w:pPr>
      <w:r w:rsidRPr="008C249C">
        <w:rPr>
          <w:lang w:val="fr-FR"/>
        </w:rPr>
        <w:t>Verdict</w:t>
      </w:r>
    </w:p>
    <w:p w14:paraId="41B8D64F" w14:textId="77777777" w:rsidR="00974936" w:rsidRPr="008C249C" w:rsidRDefault="00140670">
      <w:pPr>
        <w:rPr>
          <w:lang w:val="fr-FR"/>
        </w:rPr>
      </w:pPr>
      <w:r w:rsidRPr="008C249C">
        <w:rPr>
          <w:lang w:val="fr-FR"/>
        </w:rPr>
        <w:t>Le projet est réalisable : un assistant peut traduire tes requêtes SAS/SQL vers le datawarehouse puis vers KNIME, et, dans un second temps, produire des rapports à partir d'une demande en langage clair. La condition est de lui fournir une documentation soignée des deux systèmes.</w:t>
      </w:r>
    </w:p>
    <w:p w14:paraId="41B8D650" w14:textId="77777777" w:rsidR="00974936" w:rsidRPr="008C249C" w:rsidRDefault="00140670">
      <w:pPr>
        <w:pStyle w:val="Titre2"/>
        <w:rPr>
          <w:lang w:val="fr-FR"/>
        </w:rPr>
      </w:pPr>
      <w:r w:rsidRPr="008C249C">
        <w:rPr>
          <w:lang w:val="fr-FR"/>
        </w:rPr>
        <w:t>Ce qui change par rapport à la description initiale</w:t>
      </w:r>
    </w:p>
    <w:p w14:paraId="41B8D651" w14:textId="77777777" w:rsidR="00974936" w:rsidRPr="008C249C" w:rsidRDefault="00140670">
      <w:pPr>
        <w:rPr>
          <w:lang w:val="fr-FR"/>
        </w:rPr>
      </w:pPr>
      <w:r w:rsidRPr="008C249C">
        <w:rPr>
          <w:lang w:val="fr-FR"/>
        </w:rPr>
        <w:t>Il n'y a pas d'entraînement au sens technique (fine-tuning) : on donne à l'assistant la documentation des deux systèmes comme contexte, et il raisonne dessus. C'est plus rapide, moins cher et plus simple à corriger, puisqu'une colonne dont le sens change se corrige dans un fichier.</w:t>
      </w:r>
    </w:p>
    <w:p w14:paraId="41B8D652" w14:textId="77777777" w:rsidR="00974936" w:rsidRPr="008C249C" w:rsidRDefault="00140670">
      <w:pPr>
        <w:rPr>
          <w:lang w:val="fr-FR"/>
        </w:rPr>
      </w:pPr>
      <w:r w:rsidRPr="008C249C">
        <w:rPr>
          <w:lang w:val="fr-FR"/>
        </w:rPr>
        <w:t>Le besoin recouvre en réalité deux chantiers distincts :</w:t>
      </w:r>
    </w:p>
    <w:p w14:paraId="41B8D653" w14:textId="77777777" w:rsidR="00974936" w:rsidRPr="008C249C" w:rsidRDefault="00140670">
      <w:pPr>
        <w:pStyle w:val="Paragraphedeliste"/>
        <w:numPr>
          <w:ilvl w:val="0"/>
          <w:numId w:val="2"/>
        </w:numPr>
        <w:rPr>
          <w:lang w:val="fr-FR"/>
        </w:rPr>
      </w:pPr>
      <w:r w:rsidRPr="008C249C">
        <w:rPr>
          <w:b/>
          <w:lang w:val="fr-FR"/>
        </w:rPr>
        <w:t>A. Migration</w:t>
      </w:r>
      <w:r w:rsidRPr="008C249C">
        <w:rPr>
          <w:lang w:val="fr-FR"/>
        </w:rPr>
        <w:t xml:space="preserve"> : traduire les requêtes SAS/SQL existantes vers le schéma du datawarehouse, puis vers KNIME. Le risque est modéré, car les résultats se comparent avec l'existant.</w:t>
      </w:r>
    </w:p>
    <w:p w14:paraId="41B8D654" w14:textId="77777777" w:rsidR="00974936" w:rsidRPr="008C249C" w:rsidRDefault="00140670">
      <w:pPr>
        <w:pStyle w:val="Paragraphedeliste"/>
        <w:numPr>
          <w:ilvl w:val="0"/>
          <w:numId w:val="2"/>
        </w:numPr>
        <w:rPr>
          <w:lang w:val="fr-FR"/>
        </w:rPr>
      </w:pPr>
      <w:r w:rsidRPr="008C249C">
        <w:rPr>
          <w:b/>
          <w:lang w:val="fr-FR"/>
        </w:rPr>
        <w:t>B. Rapports en langage clair</w:t>
      </w:r>
      <w:r w:rsidRPr="008C249C">
        <w:rPr>
          <w:lang w:val="fr-FR"/>
        </w:rPr>
        <w:t xml:space="preserve"> : c'est du « </w:t>
      </w:r>
      <w:proofErr w:type="spellStart"/>
      <w:r w:rsidRPr="008C249C">
        <w:rPr>
          <w:lang w:val="fr-FR"/>
        </w:rPr>
        <w:t>text</w:t>
      </w:r>
      <w:proofErr w:type="spellEnd"/>
      <w:r w:rsidRPr="008C249C">
        <w:rPr>
          <w:lang w:val="fr-FR"/>
        </w:rPr>
        <w:t>-to-SQL ». Le risque est plus élevé (requêtes fausses mais plausibles, accès aux données, performances), donc à traiter après A et avec des garde-fous.</w:t>
      </w:r>
    </w:p>
    <w:p w14:paraId="41B8D655" w14:textId="77777777" w:rsidR="00974936" w:rsidRPr="008C249C" w:rsidRDefault="00140670">
      <w:pPr>
        <w:pStyle w:val="Titre2"/>
        <w:rPr>
          <w:lang w:val="fr-FR"/>
        </w:rPr>
      </w:pPr>
      <w:r w:rsidRPr="008C249C">
        <w:rPr>
          <w:lang w:val="fr-FR"/>
        </w:rPr>
        <w:t>Étapes conseillées</w:t>
      </w:r>
    </w:p>
    <w:p w14:paraId="41B8D656" w14:textId="77777777" w:rsidR="00974936" w:rsidRPr="008C249C" w:rsidRDefault="00140670">
      <w:pPr>
        <w:rPr>
          <w:lang w:val="fr-FR"/>
        </w:rPr>
      </w:pPr>
      <w:r w:rsidRPr="008C249C">
        <w:rPr>
          <w:lang w:val="fr-FR"/>
        </w:rPr>
        <w:t>Le dictionnaire de données et la documentation du passage Oracle vers datawarehouse (étapes 3 et 4) sont les pièces maîtresses : la qualité des traductions en dépend directement.</w:t>
      </w:r>
    </w:p>
    <w:p w14:paraId="41B8D657" w14:textId="77777777" w:rsidR="00974936" w:rsidRDefault="00140670">
      <w:pPr>
        <w:pStyle w:val="Paragraphedeliste"/>
        <w:numPr>
          <w:ilvl w:val="0"/>
          <w:numId w:val="3"/>
        </w:numPr>
      </w:pPr>
      <w:r w:rsidRPr="008C249C">
        <w:rPr>
          <w:b/>
          <w:lang w:val="fr-FR"/>
        </w:rPr>
        <w:t>Créer le projet.</w:t>
      </w:r>
      <w:r w:rsidRPr="008C249C">
        <w:rPr>
          <w:lang w:val="fr-FR"/>
        </w:rPr>
        <w:t xml:space="preserve"> Il se crée dans la section « Projets » de l'application, puis on y ajoute les fichiers de référence. </w:t>
      </w:r>
      <w:r>
        <w:t xml:space="preserve">Les instructions du </w:t>
      </w:r>
      <w:proofErr w:type="spellStart"/>
      <w:r>
        <w:t>projet</w:t>
      </w:r>
      <w:proofErr w:type="spellEnd"/>
      <w:r>
        <w:t xml:space="preserve"> </w:t>
      </w:r>
      <w:proofErr w:type="spellStart"/>
      <w:r>
        <w:t>peuvent</w:t>
      </w:r>
      <w:proofErr w:type="spellEnd"/>
      <w:r>
        <w:t xml:space="preserve"> </w:t>
      </w:r>
      <w:proofErr w:type="spellStart"/>
      <w:r>
        <w:t>être</w:t>
      </w:r>
      <w:proofErr w:type="spellEnd"/>
      <w:r>
        <w:t xml:space="preserve"> </w:t>
      </w:r>
      <w:proofErr w:type="spellStart"/>
      <w:r>
        <w:t>rédigées</w:t>
      </w:r>
      <w:proofErr w:type="spellEnd"/>
      <w:r>
        <w:t xml:space="preserve"> avec Claude.</w:t>
      </w:r>
    </w:p>
    <w:p w14:paraId="41B8D658" w14:textId="77777777" w:rsidR="00974936" w:rsidRPr="008C249C" w:rsidRDefault="00140670">
      <w:pPr>
        <w:pStyle w:val="Paragraphedeliste"/>
        <w:numPr>
          <w:ilvl w:val="0"/>
          <w:numId w:val="3"/>
        </w:numPr>
        <w:rPr>
          <w:lang w:val="fr-FR"/>
        </w:rPr>
      </w:pPr>
      <w:r w:rsidRPr="008C249C">
        <w:rPr>
          <w:b/>
          <w:lang w:val="fr-FR"/>
        </w:rPr>
        <w:t>Valider avec la DSI ce qui peut être envoyé à une IA externe.</w:t>
      </w:r>
      <w:r w:rsidRPr="008C249C">
        <w:rPr>
          <w:lang w:val="fr-FR"/>
        </w:rPr>
        <w:t xml:space="preserve"> Dans l'assurance, la règle est stricte. Commencer par ne fournir que des métadonnées (noms de tables, colonnes, descriptions), jamais de données de personnes réelles.</w:t>
      </w:r>
    </w:p>
    <w:p w14:paraId="41B8D659" w14:textId="77777777" w:rsidR="00974936" w:rsidRPr="008C249C" w:rsidRDefault="00140670">
      <w:pPr>
        <w:pStyle w:val="Paragraphedeliste"/>
        <w:numPr>
          <w:ilvl w:val="0"/>
          <w:numId w:val="3"/>
        </w:numPr>
        <w:rPr>
          <w:lang w:val="fr-FR"/>
        </w:rPr>
      </w:pPr>
      <w:r w:rsidRPr="008C249C">
        <w:rPr>
          <w:b/>
          <w:lang w:val="fr-FR"/>
        </w:rPr>
        <w:t>Constituer le dictionnaire de données.</w:t>
      </w:r>
      <w:r w:rsidRPr="008C249C">
        <w:rPr>
          <w:lang w:val="fr-FR"/>
        </w:rPr>
        <w:t xml:space="preserve"> Pour chaque table et colonne des deux systèmes : nom, type, signification métier, clés, valeurs possibles (codes, statuts). Un tableur ou un CSV suffit. Le schéma Cleva (</w:t>
      </w:r>
      <w:proofErr w:type="spellStart"/>
      <w:r w:rsidRPr="008C249C">
        <w:rPr>
          <w:rStyle w:val="CodeChar"/>
          <w:lang w:val="fr-FR"/>
        </w:rPr>
        <w:t>f_prime</w:t>
      </w:r>
      <w:proofErr w:type="spellEnd"/>
      <w:r w:rsidRPr="008C249C">
        <w:rPr>
          <w:lang w:val="fr-FR"/>
        </w:rPr>
        <w:t xml:space="preserve">, </w:t>
      </w:r>
      <w:proofErr w:type="spellStart"/>
      <w:r w:rsidRPr="008C249C">
        <w:rPr>
          <w:rStyle w:val="CodeChar"/>
          <w:lang w:val="fr-FR"/>
        </w:rPr>
        <w:t>f_prime_ligne</w:t>
      </w:r>
      <w:proofErr w:type="spellEnd"/>
      <w:r w:rsidRPr="008C249C">
        <w:rPr>
          <w:lang w:val="fr-FR"/>
        </w:rPr>
        <w:t xml:space="preserve">, </w:t>
      </w:r>
      <w:proofErr w:type="spellStart"/>
      <w:r w:rsidRPr="008C249C">
        <w:rPr>
          <w:rStyle w:val="CodeChar"/>
          <w:lang w:val="fr-FR"/>
        </w:rPr>
        <w:t>f_polices</w:t>
      </w:r>
      <w:proofErr w:type="spellEnd"/>
      <w:r w:rsidRPr="008C249C">
        <w:rPr>
          <w:lang w:val="fr-FR"/>
        </w:rPr>
        <w:t xml:space="preserve">, </w:t>
      </w:r>
      <w:proofErr w:type="spellStart"/>
      <w:r w:rsidRPr="008C249C">
        <w:rPr>
          <w:rStyle w:val="CodeChar"/>
          <w:lang w:val="fr-FR"/>
        </w:rPr>
        <w:t>f_produitass</w:t>
      </w:r>
      <w:proofErr w:type="spellEnd"/>
      <w:r w:rsidRPr="008C249C">
        <w:rPr>
          <w:lang w:val="fr-FR"/>
        </w:rPr>
        <w:t>) est un bon point de départ.</w:t>
      </w:r>
    </w:p>
    <w:p w14:paraId="41B8D65A" w14:textId="77777777" w:rsidR="00974936" w:rsidRPr="008C249C" w:rsidRDefault="00140670">
      <w:pPr>
        <w:pStyle w:val="Paragraphedeliste"/>
        <w:numPr>
          <w:ilvl w:val="0"/>
          <w:numId w:val="3"/>
        </w:numPr>
        <w:rPr>
          <w:lang w:val="fr-FR"/>
        </w:rPr>
      </w:pPr>
      <w:r w:rsidRPr="008C249C">
        <w:rPr>
          <w:b/>
          <w:lang w:val="fr-FR"/>
        </w:rPr>
        <w:t>Documenter le passage Oracle vers datawarehouse.</w:t>
      </w:r>
      <w:r w:rsidRPr="008C249C">
        <w:rPr>
          <w:lang w:val="fr-FR"/>
        </w:rPr>
        <w:t xml:space="preserve"> Pour chaque table ou colonne source : où elle se retrouve dans le datawarehouse et avec quelles transformations (renommage, filtre, agrégation, historisation). Les spécifications de l'ETL, si elles existent, sont la meilleure source.</w:t>
      </w:r>
    </w:p>
    <w:p w14:paraId="41B8D65B" w14:textId="77777777" w:rsidR="00974936" w:rsidRDefault="00140670">
      <w:pPr>
        <w:pStyle w:val="Paragraphedeliste"/>
        <w:numPr>
          <w:ilvl w:val="0"/>
          <w:numId w:val="3"/>
        </w:numPr>
      </w:pPr>
      <w:r w:rsidRPr="008C249C">
        <w:rPr>
          <w:b/>
          <w:lang w:val="fr-FR"/>
        </w:rPr>
        <w:t>Rassembler 5 à 10 requêtes SAS représentatives</w:t>
      </w:r>
      <w:r w:rsidRPr="008C249C">
        <w:rPr>
          <w:lang w:val="fr-FR"/>
        </w:rPr>
        <w:t xml:space="preserve">, avec leur résultat attendu (quelques lignes anonymisées ou des totaux de contrôle). </w:t>
      </w:r>
      <w:r>
        <w:t xml:space="preserve">Elles </w:t>
      </w:r>
      <w:proofErr w:type="spellStart"/>
      <w:r>
        <w:t>servent</w:t>
      </w:r>
      <w:proofErr w:type="spellEnd"/>
      <w:r>
        <w:t xml:space="preserve"> </w:t>
      </w:r>
      <w:proofErr w:type="spellStart"/>
      <w:r>
        <w:t>d'exemples</w:t>
      </w:r>
      <w:proofErr w:type="spellEnd"/>
      <w:r>
        <w:t xml:space="preserve"> et de tests.</w:t>
      </w:r>
    </w:p>
    <w:p w14:paraId="41B8D65C" w14:textId="77777777" w:rsidR="00974936" w:rsidRPr="008C249C" w:rsidRDefault="00140670">
      <w:pPr>
        <w:pStyle w:val="Paragraphedeliste"/>
        <w:numPr>
          <w:ilvl w:val="0"/>
          <w:numId w:val="3"/>
        </w:numPr>
        <w:rPr>
          <w:lang w:val="fr-FR"/>
        </w:rPr>
      </w:pPr>
      <w:r w:rsidRPr="008C249C">
        <w:rPr>
          <w:b/>
          <w:lang w:val="fr-FR"/>
        </w:rPr>
        <w:t>Traduire d'abord en SQL sur le datawarehouse.</w:t>
      </w:r>
      <w:r w:rsidRPr="008C249C">
        <w:rPr>
          <w:lang w:val="fr-FR"/>
        </w:rPr>
        <w:t xml:space="preserve"> Les </w:t>
      </w:r>
      <w:r w:rsidRPr="008C249C">
        <w:rPr>
          <w:rStyle w:val="CodeChar"/>
          <w:lang w:val="fr-FR"/>
        </w:rPr>
        <w:t>PROC SQL</w:t>
      </w:r>
      <w:r w:rsidRPr="008C249C">
        <w:rPr>
          <w:lang w:val="fr-FR"/>
        </w:rPr>
        <w:t xml:space="preserve"> en </w:t>
      </w:r>
      <w:proofErr w:type="spellStart"/>
      <w:r w:rsidRPr="008C249C">
        <w:rPr>
          <w:lang w:val="fr-FR"/>
        </w:rPr>
        <w:t>passthrough</w:t>
      </w:r>
      <w:proofErr w:type="spellEnd"/>
      <w:r w:rsidRPr="008C249C">
        <w:rPr>
          <w:lang w:val="fr-FR"/>
        </w:rPr>
        <w:t xml:space="preserve"> mêlent du SQL Oracle, des macros SAS et des formats SAS. L'assistant les convertit vers le schéma du datawarehouse et explique ses choix.</w:t>
      </w:r>
    </w:p>
    <w:p w14:paraId="41B8D65D" w14:textId="77777777" w:rsidR="00974936" w:rsidRPr="008C249C" w:rsidRDefault="00140670">
      <w:pPr>
        <w:pStyle w:val="Paragraphedeliste"/>
        <w:numPr>
          <w:ilvl w:val="0"/>
          <w:numId w:val="3"/>
        </w:numPr>
        <w:rPr>
          <w:lang w:val="fr-FR"/>
        </w:rPr>
      </w:pPr>
      <w:r w:rsidRPr="008C249C">
        <w:rPr>
          <w:b/>
          <w:lang w:val="fr-FR"/>
        </w:rPr>
        <w:lastRenderedPageBreak/>
        <w:t>Construire dans KNIME en deux temps.</w:t>
      </w:r>
      <w:r w:rsidRPr="008C249C">
        <w:rPr>
          <w:lang w:val="fr-FR"/>
        </w:rPr>
        <w:t xml:space="preserve"> D'abord une migration à l'identique : le SQL traduit dans un nœud </w:t>
      </w:r>
      <w:r w:rsidRPr="008C249C">
        <w:rPr>
          <w:i/>
          <w:lang w:val="fr-FR"/>
        </w:rPr>
        <w:t>DB Query Reader</w:t>
      </w:r>
      <w:r w:rsidRPr="008C249C">
        <w:rPr>
          <w:lang w:val="fr-FR"/>
        </w:rPr>
        <w:t>. Ensuite, une décomposition progressive en nœuds natifs (</w:t>
      </w:r>
      <w:r w:rsidRPr="008C249C">
        <w:rPr>
          <w:i/>
          <w:lang w:val="fr-FR"/>
        </w:rPr>
        <w:t xml:space="preserve">DB Table </w:t>
      </w:r>
      <w:proofErr w:type="spellStart"/>
      <w:r w:rsidRPr="008C249C">
        <w:rPr>
          <w:i/>
          <w:lang w:val="fr-FR"/>
        </w:rPr>
        <w:t>Selector</w:t>
      </w:r>
      <w:proofErr w:type="spellEnd"/>
      <w:r w:rsidRPr="008C249C">
        <w:rPr>
          <w:lang w:val="fr-FR"/>
        </w:rPr>
        <w:t xml:space="preserve">, </w:t>
      </w:r>
      <w:r w:rsidRPr="008C249C">
        <w:rPr>
          <w:i/>
          <w:lang w:val="fr-FR"/>
        </w:rPr>
        <w:t>DB Joiner</w:t>
      </w:r>
      <w:r w:rsidRPr="008C249C">
        <w:rPr>
          <w:lang w:val="fr-FR"/>
        </w:rPr>
        <w:t xml:space="preserve">, </w:t>
      </w:r>
      <w:r w:rsidRPr="008C249C">
        <w:rPr>
          <w:i/>
          <w:lang w:val="fr-FR"/>
        </w:rPr>
        <w:t xml:space="preserve">DB </w:t>
      </w:r>
      <w:proofErr w:type="spellStart"/>
      <w:r w:rsidRPr="008C249C">
        <w:rPr>
          <w:i/>
          <w:lang w:val="fr-FR"/>
        </w:rPr>
        <w:t>GroupBy</w:t>
      </w:r>
      <w:proofErr w:type="spellEnd"/>
      <w:r w:rsidRPr="008C249C">
        <w:rPr>
          <w:lang w:val="fr-FR"/>
        </w:rPr>
        <w:t>, etc.) là où elle améliore la lisibilité. Un fichier de workflow KNIME prêt à ouvrir n'est pas garanti : ce format est fragile à générer. L'assistant fournit plutôt une recette nœud par nœud avec la configuration de chacun.</w:t>
      </w:r>
    </w:p>
    <w:p w14:paraId="41B8D65E" w14:textId="77777777" w:rsidR="00974936" w:rsidRPr="008C249C" w:rsidRDefault="00140670">
      <w:pPr>
        <w:pStyle w:val="Paragraphedeliste"/>
        <w:numPr>
          <w:ilvl w:val="0"/>
          <w:numId w:val="3"/>
        </w:numPr>
        <w:rPr>
          <w:lang w:val="fr-FR"/>
        </w:rPr>
      </w:pPr>
      <w:r w:rsidRPr="008C249C">
        <w:rPr>
          <w:b/>
          <w:lang w:val="fr-FR"/>
        </w:rPr>
        <w:t>Valider</w:t>
      </w:r>
      <w:r w:rsidRPr="008C249C">
        <w:rPr>
          <w:lang w:val="fr-FR"/>
        </w:rPr>
        <w:t xml:space="preserve"> en comparant les résultats KNIME avec ceux de SAS (nombre de lignes, totaux, écarts), puis capitaliser : chaque requête validée devient un nouvel exemple du projet.</w:t>
      </w:r>
    </w:p>
    <w:p w14:paraId="41B8D65F" w14:textId="77777777" w:rsidR="00974936" w:rsidRPr="008C249C" w:rsidRDefault="00140670">
      <w:pPr>
        <w:pStyle w:val="Paragraphedeliste"/>
        <w:numPr>
          <w:ilvl w:val="0"/>
          <w:numId w:val="3"/>
        </w:numPr>
        <w:rPr>
          <w:lang w:val="fr-FR"/>
        </w:rPr>
      </w:pPr>
      <w:r w:rsidRPr="008C249C">
        <w:rPr>
          <w:b/>
          <w:lang w:val="fr-FR"/>
        </w:rPr>
        <w:t>Passer au chantier B</w:t>
      </w:r>
      <w:r w:rsidRPr="008C249C">
        <w:rPr>
          <w:lang w:val="fr-FR"/>
        </w:rPr>
        <w:t xml:space="preserve"> (rapports en langage clair), en commençant par une base en lecture seule, de préférence le datawarehouse plutôt que l'ERP de production. L'assistant propose le SQL, une personne le relit et l'exécute ; l'automatisation vient en dernier.</w:t>
      </w:r>
    </w:p>
    <w:p w14:paraId="41B8D660" w14:textId="77777777" w:rsidR="00974936" w:rsidRPr="008C249C" w:rsidRDefault="00140670">
      <w:pPr>
        <w:pStyle w:val="Titre2"/>
        <w:rPr>
          <w:lang w:val="fr-FR"/>
        </w:rPr>
      </w:pPr>
      <w:r w:rsidRPr="008C249C">
        <w:rPr>
          <w:lang w:val="fr-FR"/>
        </w:rPr>
        <w:t>Point d'attention : la version de KNIME</w:t>
      </w:r>
    </w:p>
    <w:p w14:paraId="41B8D661" w14:textId="77777777" w:rsidR="00974936" w:rsidRPr="008C249C" w:rsidRDefault="00140670">
      <w:pPr>
        <w:rPr>
          <w:lang w:val="fr-FR"/>
        </w:rPr>
      </w:pPr>
      <w:r w:rsidRPr="008C249C">
        <w:rPr>
          <w:lang w:val="fr-FR"/>
        </w:rPr>
        <w:t xml:space="preserve">KNIME 4.7.8 est une version ancienne. Les versions 5.x apportent notamment un assistant IA intégré et des améliorations sur les nœuds de base de données ; une mise à jour est à envisager avec l'équipe qui administre KNIME. Documentation : </w:t>
      </w:r>
      <w:r>
        <w:fldChar w:fldCharType="begin"/>
      </w:r>
      <w:r w:rsidRPr="008C249C">
        <w:rPr>
          <w:lang w:val="fr-FR"/>
        </w:rPr>
        <w:instrText>HYPERLINK "https://docs.knime.com"</w:instrText>
      </w:r>
      <w:r>
        <w:fldChar w:fldCharType="separate"/>
      </w:r>
      <w:r w:rsidRPr="008C249C">
        <w:rPr>
          <w:rStyle w:val="Lienhypertexte"/>
          <w:lang w:val="fr-FR"/>
        </w:rPr>
        <w:t>docs.knime.com</w:t>
      </w:r>
      <w:r>
        <w:fldChar w:fldCharType="end"/>
      </w:r>
      <w:r w:rsidRPr="008C249C">
        <w:rPr>
          <w:lang w:val="fr-FR"/>
        </w:rPr>
        <w:t xml:space="preserve">. Exemples de workflows : </w:t>
      </w:r>
      <w:r>
        <w:fldChar w:fldCharType="begin"/>
      </w:r>
      <w:r w:rsidRPr="008C249C">
        <w:rPr>
          <w:lang w:val="fr-FR"/>
        </w:rPr>
        <w:instrText>HYPERLINK "https://hub.knime.com"</w:instrText>
      </w:r>
      <w:r>
        <w:fldChar w:fldCharType="separate"/>
      </w:r>
      <w:r w:rsidRPr="008C249C">
        <w:rPr>
          <w:rStyle w:val="Lienhypertexte"/>
          <w:lang w:val="fr-FR"/>
        </w:rPr>
        <w:t>KNIME Hub</w:t>
      </w:r>
      <w:r>
        <w:fldChar w:fldCharType="end"/>
      </w:r>
      <w:r w:rsidRPr="008C249C">
        <w:rPr>
          <w:lang w:val="fr-FR"/>
        </w:rPr>
        <w:t>.</w:t>
      </w:r>
    </w:p>
    <w:p w14:paraId="41B8D662" w14:textId="77777777" w:rsidR="00974936" w:rsidRPr="008C249C" w:rsidRDefault="00140670">
      <w:pPr>
        <w:pStyle w:val="Titre2"/>
        <w:rPr>
          <w:lang w:val="fr-FR"/>
        </w:rPr>
      </w:pPr>
      <w:r w:rsidRPr="008C249C">
        <w:rPr>
          <w:lang w:val="fr-FR"/>
        </w:rPr>
        <w:t>Pour démarrer</w:t>
      </w:r>
    </w:p>
    <w:p w14:paraId="41B8D663" w14:textId="77777777" w:rsidR="00974936" w:rsidRDefault="00140670">
      <w:r w:rsidRPr="008C249C">
        <w:rPr>
          <w:lang w:val="fr-FR"/>
        </w:rPr>
        <w:t xml:space="preserve">La meilleure première étape est un essai de traduction complet sur une requête SAS réelle, par exemple celle sur les primes. </w:t>
      </w:r>
      <w:r>
        <w:t xml:space="preserve">Deux </w:t>
      </w:r>
      <w:proofErr w:type="spellStart"/>
      <w:r>
        <w:t>autres</w:t>
      </w:r>
      <w:proofErr w:type="spellEnd"/>
      <w:r>
        <w:t xml:space="preserve"> supports </w:t>
      </w:r>
      <w:proofErr w:type="spellStart"/>
      <w:r>
        <w:t>peuvent</w:t>
      </w:r>
      <w:proofErr w:type="spellEnd"/>
      <w:r>
        <w:t xml:space="preserve"> </w:t>
      </w:r>
      <w:proofErr w:type="spellStart"/>
      <w:r>
        <w:t>être</w:t>
      </w:r>
      <w:proofErr w:type="spellEnd"/>
      <w:r>
        <w:t xml:space="preserve"> </w:t>
      </w:r>
      <w:proofErr w:type="spellStart"/>
      <w:proofErr w:type="gramStart"/>
      <w:r>
        <w:t>préparés</w:t>
      </w:r>
      <w:proofErr w:type="spellEnd"/>
      <w:r>
        <w:t xml:space="preserve"> :</w:t>
      </w:r>
      <w:proofErr w:type="gramEnd"/>
    </w:p>
    <w:p w14:paraId="41B8D664" w14:textId="6C7432D3" w:rsidR="00974936" w:rsidRPr="008C249C" w:rsidRDefault="008C249C">
      <w:pPr>
        <w:pStyle w:val="Paragraphedeliste"/>
        <w:numPr>
          <w:ilvl w:val="0"/>
          <w:numId w:val="4"/>
        </w:numPr>
        <w:rPr>
          <w:lang w:val="fr-FR"/>
        </w:rPr>
      </w:pPr>
      <w:r w:rsidRPr="008C249C">
        <w:rPr>
          <w:lang w:val="fr-FR"/>
        </w:rPr>
        <w:t>Un</w:t>
      </w:r>
      <w:r w:rsidR="00140670" w:rsidRPr="008C249C">
        <w:rPr>
          <w:lang w:val="fr-FR"/>
        </w:rPr>
        <w:t xml:space="preserve"> modèle de dictionnaire de données (colonnes à remplir pour les tables et colonnes),</w:t>
      </w:r>
    </w:p>
    <w:p w14:paraId="41B8D665" w14:textId="587AC59D" w:rsidR="00974936" w:rsidRPr="008C249C" w:rsidRDefault="008C249C">
      <w:pPr>
        <w:pStyle w:val="Paragraphedeliste"/>
        <w:numPr>
          <w:ilvl w:val="0"/>
          <w:numId w:val="4"/>
        </w:numPr>
        <w:rPr>
          <w:lang w:val="fr-FR"/>
        </w:rPr>
      </w:pPr>
      <w:r w:rsidRPr="008C249C">
        <w:rPr>
          <w:lang w:val="fr-FR"/>
        </w:rPr>
        <w:t>Le</w:t>
      </w:r>
      <w:r w:rsidR="00140670" w:rsidRPr="008C249C">
        <w:rPr>
          <w:lang w:val="fr-FR"/>
        </w:rPr>
        <w:t xml:space="preserve"> texte des instructions du projet.</w:t>
      </w:r>
    </w:p>
    <w:sectPr w:rsidR="00974936" w:rsidRPr="008C249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4E6F"/>
    <w:multiLevelType w:val="hybridMultilevel"/>
    <w:tmpl w:val="600C430E"/>
    <w:lvl w:ilvl="0" w:tplc="0556F52E">
      <w:start w:val="1"/>
      <w:numFmt w:val="decimal"/>
      <w:lvlText w:val="%1."/>
      <w:lvlJc w:val="left"/>
      <w:pPr>
        <w:ind w:left="720" w:hanging="360"/>
      </w:pPr>
    </w:lvl>
    <w:lvl w:ilvl="1" w:tplc="8CBEC40A">
      <w:start w:val="1"/>
      <w:numFmt w:val="lowerLetter"/>
      <w:lvlText w:val="%2."/>
      <w:lvlJc w:val="left"/>
      <w:pPr>
        <w:ind w:left="1440" w:hanging="360"/>
      </w:pPr>
    </w:lvl>
    <w:lvl w:ilvl="2" w:tplc="2F8C9D72">
      <w:start w:val="1"/>
      <w:numFmt w:val="lowerRoman"/>
      <w:lvlText w:val="%3."/>
      <w:lvlJc w:val="left"/>
      <w:pPr>
        <w:ind w:left="2160" w:hanging="360"/>
      </w:pPr>
    </w:lvl>
    <w:lvl w:ilvl="3" w:tplc="8C921D72">
      <w:start w:val="1"/>
      <w:numFmt w:val="decimal"/>
      <w:lvlText w:val="%4."/>
      <w:lvlJc w:val="left"/>
      <w:pPr>
        <w:ind w:left="2880" w:hanging="360"/>
      </w:pPr>
    </w:lvl>
    <w:lvl w:ilvl="4" w:tplc="22BE5CA0">
      <w:start w:val="1"/>
      <w:numFmt w:val="lowerLetter"/>
      <w:lvlText w:val="%5."/>
      <w:lvlJc w:val="left"/>
      <w:pPr>
        <w:ind w:left="3600" w:hanging="360"/>
      </w:pPr>
    </w:lvl>
    <w:lvl w:ilvl="5" w:tplc="C02623F0">
      <w:start w:val="1"/>
      <w:numFmt w:val="lowerRoman"/>
      <w:lvlText w:val="%6."/>
      <w:lvlJc w:val="left"/>
      <w:pPr>
        <w:ind w:left="4320" w:hanging="360"/>
      </w:pPr>
    </w:lvl>
    <w:lvl w:ilvl="6" w:tplc="101C6FEC">
      <w:start w:val="1"/>
      <w:numFmt w:val="decimal"/>
      <w:lvlText w:val="%7."/>
      <w:lvlJc w:val="left"/>
      <w:pPr>
        <w:ind w:left="5040" w:hanging="360"/>
      </w:pPr>
    </w:lvl>
    <w:lvl w:ilvl="7" w:tplc="2A36BC68">
      <w:start w:val="1"/>
      <w:numFmt w:val="lowerLetter"/>
      <w:lvlText w:val="%8."/>
      <w:lvlJc w:val="left"/>
      <w:pPr>
        <w:ind w:left="5760" w:hanging="360"/>
      </w:pPr>
    </w:lvl>
    <w:lvl w:ilvl="8" w:tplc="6484876C">
      <w:start w:val="1"/>
      <w:numFmt w:val="lowerRoman"/>
      <w:lvlText w:val="%9."/>
      <w:lvlJc w:val="left"/>
      <w:pPr>
        <w:ind w:left="6480" w:hanging="360"/>
      </w:pPr>
    </w:lvl>
  </w:abstractNum>
  <w:abstractNum w:abstractNumId="1" w15:restartNumberingAfterBreak="0">
    <w:nsid w:val="6B0144C4"/>
    <w:multiLevelType w:val="hybridMultilevel"/>
    <w:tmpl w:val="8CFE91F0"/>
    <w:lvl w:ilvl="0" w:tplc="07362684">
      <w:start w:val="1"/>
      <w:numFmt w:val="bullet"/>
      <w:lvlText w:val="•"/>
      <w:lvlJc w:val="left"/>
      <w:pPr>
        <w:ind w:left="720" w:hanging="360"/>
      </w:pPr>
    </w:lvl>
    <w:lvl w:ilvl="1" w:tplc="237CAD14">
      <w:start w:val="1"/>
      <w:numFmt w:val="bullet"/>
      <w:lvlText w:val="o"/>
      <w:lvlJc w:val="left"/>
      <w:pPr>
        <w:ind w:left="1440" w:hanging="360"/>
      </w:pPr>
    </w:lvl>
    <w:lvl w:ilvl="2" w:tplc="8402B024">
      <w:start w:val="1"/>
      <w:numFmt w:val="bullet"/>
      <w:lvlText w:val="▪"/>
      <w:lvlJc w:val="left"/>
      <w:pPr>
        <w:ind w:left="2160" w:hanging="360"/>
      </w:pPr>
    </w:lvl>
    <w:lvl w:ilvl="3" w:tplc="01047450">
      <w:start w:val="1"/>
      <w:numFmt w:val="bullet"/>
      <w:lvlText w:val="•"/>
      <w:lvlJc w:val="left"/>
      <w:pPr>
        <w:ind w:left="2880" w:hanging="360"/>
      </w:pPr>
    </w:lvl>
    <w:lvl w:ilvl="4" w:tplc="9564CBF2">
      <w:start w:val="1"/>
      <w:numFmt w:val="bullet"/>
      <w:lvlText w:val="o"/>
      <w:lvlJc w:val="left"/>
      <w:pPr>
        <w:ind w:left="3600" w:hanging="360"/>
      </w:pPr>
    </w:lvl>
    <w:lvl w:ilvl="5" w:tplc="90C419DC">
      <w:start w:val="1"/>
      <w:numFmt w:val="bullet"/>
      <w:lvlText w:val="▪"/>
      <w:lvlJc w:val="left"/>
      <w:pPr>
        <w:ind w:left="4320" w:hanging="360"/>
      </w:pPr>
    </w:lvl>
    <w:lvl w:ilvl="6" w:tplc="8A126A14">
      <w:start w:val="1"/>
      <w:numFmt w:val="bullet"/>
      <w:lvlText w:val="•"/>
      <w:lvlJc w:val="left"/>
      <w:pPr>
        <w:ind w:left="5040" w:hanging="360"/>
      </w:pPr>
    </w:lvl>
    <w:lvl w:ilvl="7" w:tplc="FB9ACB0E">
      <w:start w:val="1"/>
      <w:numFmt w:val="bullet"/>
      <w:lvlText w:val="o"/>
      <w:lvlJc w:val="left"/>
      <w:pPr>
        <w:ind w:left="5760" w:hanging="360"/>
      </w:pPr>
    </w:lvl>
    <w:lvl w:ilvl="8" w:tplc="71E85B8A">
      <w:start w:val="1"/>
      <w:numFmt w:val="bullet"/>
      <w:lvlText w:val="▪"/>
      <w:lvlJc w:val="left"/>
      <w:pPr>
        <w:ind w:left="6480" w:hanging="360"/>
      </w:pPr>
    </w:lvl>
  </w:abstractNum>
  <w:num w:numId="1" w16cid:durableId="50856443">
    <w:abstractNumId w:val="1"/>
  </w:num>
  <w:num w:numId="2" w16cid:durableId="1786656028">
    <w:abstractNumId w:val="1"/>
  </w:num>
  <w:num w:numId="3" w16cid:durableId="794524580">
    <w:abstractNumId w:val="0"/>
    <w:lvlOverride w:ilvl="0">
      <w:startOverride w:val="1"/>
    </w:lvlOverride>
  </w:num>
  <w:num w:numId="4" w16cid:durableId="1484543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4936"/>
    <w:rsid w:val="00140670"/>
    <w:rsid w:val="008C249C"/>
    <w:rsid w:val="00974936"/>
    <w:rsid w:val="00E771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D64C"/>
  <w15:docId w15:val="{6AB4FCC1-38CE-41CC-A6F6-B535C875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semiHidden/>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658</Words>
  <Characters>3620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SAS vers KNIME  faisabilité et plan d'action</dc:title>
  <dc:description>Claude Docs node/876103db-948b@5 docx-w6</dc:description>
  <cp:lastModifiedBy>Philippe Beraud</cp:lastModifiedBy>
  <cp:revision>6</cp:revision>
  <dcterms:created xsi:type="dcterms:W3CDTF">2026-10-16T17:03:00Z</dcterms:created>
  <dcterms:modified xsi:type="dcterms:W3CDTF">2026-10-16T17:04:00Z</dcterms:modified>
</cp:coreProperties>
</file>