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empfaenger"/>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sdtContent>
    </w:sdt>
    <w:sdt>
      <w:sdtPr>
        <w:tag w:val="briefkopf-sidebar"/>
      </w:sdtPr>
      <w:sdtContent>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sdtContent>
    </w:sdt>
    <w:sdt>
      <w:sdtPr>
        <w:tag w:val="briefkopf-siegel-dekra"/>
      </w:sdtPr>
      <w:sdtConten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2"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Content>
    </w:sd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2"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
      <w:sdtPr>
        <w:tag w:val="briefkopf-sachbearbeiter"/>
      </w:sdtPr>
      <w:sdtContent>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sdtContent>
    </w:sdt>
    <w:p/>
    <w:p/>
    <w:p/>
    <w:p/>
    <w:p/>
    <w:p/>
    <w:p/>
    <w:p/>
    <w:p/>
    <w:p/>
    <w:p/>
    <w:p/>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4"/>
      <w:headerReference w:type="default" r:id="rId106"/>
      <w:footerReference w:type="first" r:id="rId105"/>
      <w:footerReference w:type="default" r:id="rId107"/>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