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THE COURT OF THE SESSIONS JUDGE, CHENNAI</w:t>
      </w:r>
    </w:p>
    <w:p>
      <w:r>
        <w:t>BAIL APPLICATION under Section 483 of the Bharatiya Nagarik Suraksha Sanhita, 2023</w:t>
      </w:r>
    </w:p>
    <w:p>
      <w:r>
        <w:t>Anita Pillai ... Petitioner</w:t>
      </w:r>
    </w:p>
    <w:p>
      <w:r>
        <w:t>versus</w:t>
      </w:r>
    </w:p>
    <w:p>
      <w:r>
        <w:t>The State.</w:t>
      </w:r>
    </w:p>
    <w:p>
      <w:r>
        <w:t>Crime No. 378/2026 registered at Mumbai Police Station on 2 June 2026.</w:t>
      </w:r>
    </w:p>
    <w:p>
      <w:r>
        <w:t>The Petitioner was arrested on 5 June 2026 and is in judicial custody.</w:t>
      </w:r>
    </w:p>
    <w:p>
      <w:r>
        <w:t>Grounds: 1. False implication. 2. No previous record.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