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7EFE7D" w14:textId="77777777" w:rsidR="00221C3E" w:rsidRDefault="00DB7744" w:rsidP="00221C3E">
      <w:pPr>
        <w:jc w:val="center"/>
        <w:rPr>
          <w:b/>
          <w:bCs/>
        </w:rPr>
      </w:pPr>
      <w:r w:rsidRPr="00221C3E">
        <w:rPr>
          <w:rFonts w:hint="eastAsia"/>
          <w:b/>
          <w:bCs/>
        </w:rPr>
        <w:t>2021年前后上交所、深交所主笔委托数据结构化差异分析</w:t>
      </w:r>
    </w:p>
    <w:p w14:paraId="645C8A14" w14:textId="4E8916CA" w:rsidR="00221C3E" w:rsidRDefault="00221C3E" w:rsidP="00221C3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37E52F9" wp14:editId="7C3C2516">
            <wp:simplePos x="0" y="0"/>
            <wp:positionH relativeFrom="margin">
              <wp:align>right</wp:align>
            </wp:positionH>
            <wp:positionV relativeFrom="page">
              <wp:posOffset>1513840</wp:posOffset>
            </wp:positionV>
            <wp:extent cx="5267325" cy="3705860"/>
            <wp:effectExtent l="0" t="0" r="9525" b="8890"/>
            <wp:wrapTopAndBottom/>
            <wp:docPr id="8246291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</w:rPr>
        <w:t>21年之后表现较好</w:t>
      </w:r>
    </w:p>
    <w:p w14:paraId="5EDDC91E" w14:textId="37B539E7" w:rsidR="00221C3E" w:rsidRDefault="00221C3E" w:rsidP="00221C3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486D3B7" wp14:editId="3B340F2E">
            <wp:simplePos x="0" y="0"/>
            <wp:positionH relativeFrom="margin">
              <wp:align>left</wp:align>
            </wp:positionH>
            <wp:positionV relativeFrom="page">
              <wp:posOffset>5628640</wp:posOffset>
            </wp:positionV>
            <wp:extent cx="5293360" cy="3686175"/>
            <wp:effectExtent l="0" t="0" r="2540" b="9525"/>
            <wp:wrapTopAndBottom/>
            <wp:docPr id="7807753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368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</w:rPr>
        <w:t>19-21年表现一般</w:t>
      </w:r>
    </w:p>
    <w:p w14:paraId="28F601BF" w14:textId="77777777" w:rsidR="00031D36" w:rsidRDefault="00031D36" w:rsidP="00221C3E">
      <w:pPr>
        <w:rPr>
          <w:b/>
          <w:bCs/>
        </w:rPr>
      </w:pPr>
    </w:p>
    <w:p w14:paraId="2238FCA2" w14:textId="621BDE29" w:rsidR="00031D36" w:rsidRDefault="00031D36" w:rsidP="00221C3E">
      <w:pPr>
        <w:rPr>
          <w:b/>
          <w:bCs/>
        </w:rPr>
      </w:pPr>
    </w:p>
    <w:p w14:paraId="7D1687C2" w14:textId="4AF09D5D" w:rsidR="00031D36" w:rsidRDefault="00031D36" w:rsidP="00221C3E">
      <w:pPr>
        <w:rPr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0DE9EB41" wp14:editId="66E8E558">
            <wp:simplePos x="0" y="0"/>
            <wp:positionH relativeFrom="column">
              <wp:posOffset>2909212</wp:posOffset>
            </wp:positionH>
            <wp:positionV relativeFrom="page">
              <wp:posOffset>126641</wp:posOffset>
            </wp:positionV>
            <wp:extent cx="3333750" cy="2357755"/>
            <wp:effectExtent l="0" t="0" r="0" b="4445"/>
            <wp:wrapTight wrapText="bothSides">
              <wp:wrapPolygon edited="0">
                <wp:start x="0" y="0"/>
                <wp:lineTo x="0" y="21466"/>
                <wp:lineTo x="21477" y="21466"/>
                <wp:lineTo x="21477" y="0"/>
                <wp:lineTo x="0" y="0"/>
              </wp:wrapPolygon>
            </wp:wrapTight>
            <wp:docPr id="17704307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57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3F9F14C" wp14:editId="2FB103C4">
            <wp:simplePos x="0" y="0"/>
            <wp:positionH relativeFrom="column">
              <wp:posOffset>-929833</wp:posOffset>
            </wp:positionH>
            <wp:positionV relativeFrom="page">
              <wp:posOffset>194559</wp:posOffset>
            </wp:positionV>
            <wp:extent cx="3333750" cy="2333625"/>
            <wp:effectExtent l="0" t="0" r="0" b="9525"/>
            <wp:wrapTopAndBottom/>
            <wp:docPr id="15675177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3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</w:rPr>
        <w:t>16-19表现也比较差</w:t>
      </w:r>
    </w:p>
    <w:p w14:paraId="0CF2272A" w14:textId="6226B9DD" w:rsidR="00031D36" w:rsidRDefault="00031D36" w:rsidP="00221C3E">
      <w:pPr>
        <w:rPr>
          <w:b/>
          <w:bCs/>
        </w:rPr>
      </w:pPr>
      <w:r w:rsidRPr="00031D36">
        <w:rPr>
          <w:b/>
          <w:bCs/>
        </w:rPr>
        <w:drawing>
          <wp:anchor distT="0" distB="0" distL="114300" distR="114300" simplePos="0" relativeHeight="251664384" behindDoc="1" locked="0" layoutInCell="1" allowOverlap="1" wp14:anchorId="2E6D4A9B" wp14:editId="02B52D81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5274310" cy="3723640"/>
            <wp:effectExtent l="0" t="0" r="2540" b="0"/>
            <wp:wrapTight wrapText="bothSides">
              <wp:wrapPolygon edited="0">
                <wp:start x="0" y="0"/>
                <wp:lineTo x="0" y="21438"/>
                <wp:lineTo x="21532" y="21438"/>
                <wp:lineTo x="21532" y="0"/>
                <wp:lineTo x="0" y="0"/>
              </wp:wrapPolygon>
            </wp:wrapTight>
            <wp:docPr id="1597555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5533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54A99" w14:textId="1D31E949" w:rsidR="00031D36" w:rsidRDefault="00031D36" w:rsidP="00221C3E">
      <w:pPr>
        <w:rPr>
          <w:b/>
          <w:bCs/>
        </w:rPr>
      </w:pPr>
    </w:p>
    <w:p w14:paraId="5A341672" w14:textId="77777777" w:rsidR="00031D36" w:rsidRDefault="00031D36" w:rsidP="00221C3E">
      <w:pPr>
        <w:rPr>
          <w:rFonts w:hint="eastAsia"/>
          <w:b/>
          <w:bCs/>
        </w:rPr>
      </w:pPr>
    </w:p>
    <w:p w14:paraId="1A178B52" w14:textId="77777777" w:rsidR="00031D36" w:rsidRDefault="00031D36" w:rsidP="00221C3E">
      <w:pPr>
        <w:rPr>
          <w:b/>
          <w:bCs/>
        </w:rPr>
      </w:pPr>
    </w:p>
    <w:p w14:paraId="22004BEA" w14:textId="22D17522" w:rsidR="00783C21" w:rsidRDefault="00221C3E" w:rsidP="00221C3E">
      <w:pPr>
        <w:rPr>
          <w:rFonts w:hint="eastAsia"/>
          <w:b/>
          <w:bCs/>
        </w:rPr>
      </w:pPr>
      <w:r>
        <w:rPr>
          <w:rFonts w:hint="eastAsia"/>
          <w:b/>
          <w:bCs/>
        </w:rPr>
        <w:t>简单处理：区分上交所与深交所股票数据，分别构建因子</w:t>
      </w:r>
      <w:r w:rsidR="00783C21">
        <w:rPr>
          <w:rFonts w:hint="eastAsia"/>
          <w:b/>
          <w:bCs/>
        </w:rPr>
        <w:t>。</w:t>
      </w:r>
      <w:r w:rsidR="0036128B">
        <w:rPr>
          <w:rFonts w:hint="eastAsia"/>
          <w:b/>
          <w:bCs/>
        </w:rPr>
        <w:t>回填至2016-06-30再次进行回测，发现效果依然不佳</w:t>
      </w:r>
    </w:p>
    <w:p w14:paraId="451DE567" w14:textId="63708434" w:rsidR="00783C21" w:rsidRDefault="00961037" w:rsidP="00221C3E">
      <w:pPr>
        <w:rPr>
          <w:rFonts w:hint="eastAsia"/>
          <w:b/>
          <w:bCs/>
        </w:rPr>
      </w:pPr>
      <w:r>
        <w:rPr>
          <w:rFonts w:hint="eastAsia"/>
          <w:b/>
          <w:bCs/>
        </w:rPr>
        <w:t>可以看出，在因子本身效果不好的同时，上交所和深交所数据确实有差异。</w:t>
      </w:r>
      <w:r w:rsidR="0036128B">
        <w:rPr>
          <w:rFonts w:hint="eastAsia"/>
          <w:b/>
          <w:bCs/>
        </w:rPr>
        <w:t>因子效果21年前后的差异应该不是两交易所数据的结构性差异导致的。</w:t>
      </w:r>
    </w:p>
    <w:p w14:paraId="46D6597F" w14:textId="6D79D061" w:rsidR="00074404" w:rsidRDefault="00074404" w:rsidP="00221C3E">
      <w:pPr>
        <w:rPr>
          <w:b/>
          <w:bCs/>
        </w:rPr>
      </w:pPr>
      <w:r w:rsidRPr="00074404">
        <w:rPr>
          <w:b/>
          <w:bCs/>
        </w:rPr>
        <w:lastRenderedPageBreak/>
        <w:drawing>
          <wp:anchor distT="0" distB="0" distL="114300" distR="114300" simplePos="0" relativeHeight="251666432" behindDoc="1" locked="0" layoutInCell="1" allowOverlap="1" wp14:anchorId="2EF63703" wp14:editId="753C1338">
            <wp:simplePos x="0" y="0"/>
            <wp:positionH relativeFrom="margin">
              <wp:align>left</wp:align>
            </wp:positionH>
            <wp:positionV relativeFrom="page">
              <wp:posOffset>5193665</wp:posOffset>
            </wp:positionV>
            <wp:extent cx="5396865" cy="3815715"/>
            <wp:effectExtent l="0" t="0" r="0" b="0"/>
            <wp:wrapTight wrapText="bothSides">
              <wp:wrapPolygon edited="0">
                <wp:start x="0" y="0"/>
                <wp:lineTo x="0" y="21460"/>
                <wp:lineTo x="21501" y="21460"/>
                <wp:lineTo x="21501" y="0"/>
                <wp:lineTo x="0" y="0"/>
              </wp:wrapPolygon>
            </wp:wrapTight>
            <wp:docPr id="1938701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0148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C21">
        <w:rPr>
          <w:b/>
          <w:bCs/>
        </w:rPr>
        <w:drawing>
          <wp:anchor distT="0" distB="0" distL="114300" distR="114300" simplePos="0" relativeHeight="251663360" behindDoc="0" locked="0" layoutInCell="1" allowOverlap="1" wp14:anchorId="62A16F00" wp14:editId="3DC49D5D">
            <wp:simplePos x="0" y="0"/>
            <wp:positionH relativeFrom="margin">
              <wp:align>left</wp:align>
            </wp:positionH>
            <wp:positionV relativeFrom="margin">
              <wp:posOffset>144780</wp:posOffset>
            </wp:positionV>
            <wp:extent cx="5181600" cy="3660775"/>
            <wp:effectExtent l="0" t="0" r="0" b="0"/>
            <wp:wrapTopAndBottom/>
            <wp:docPr id="578536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3610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127" cy="3665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127C8" w14:textId="1CAC5136" w:rsidR="00074404" w:rsidRDefault="00074404" w:rsidP="00221C3E">
      <w:pPr>
        <w:rPr>
          <w:b/>
          <w:bCs/>
        </w:rPr>
      </w:pPr>
    </w:p>
    <w:p w14:paraId="51387C88" w14:textId="468B6A4C" w:rsidR="00074404" w:rsidRDefault="00074404" w:rsidP="00221C3E">
      <w:pPr>
        <w:rPr>
          <w:b/>
          <w:bCs/>
        </w:rPr>
      </w:pPr>
    </w:p>
    <w:p w14:paraId="39C296CD" w14:textId="117963A2" w:rsidR="00074404" w:rsidRDefault="0036128B" w:rsidP="00221C3E">
      <w:pPr>
        <w:rPr>
          <w:b/>
          <w:bCs/>
        </w:rPr>
      </w:pPr>
      <w:r w:rsidRPr="00074404">
        <w:rPr>
          <w:b/>
          <w:bCs/>
        </w:rPr>
        <w:lastRenderedPageBreak/>
        <w:drawing>
          <wp:anchor distT="0" distB="0" distL="114300" distR="114300" simplePos="0" relativeHeight="251665408" behindDoc="1" locked="0" layoutInCell="1" allowOverlap="1" wp14:anchorId="48F75CB7" wp14:editId="78EFFE70">
            <wp:simplePos x="0" y="0"/>
            <wp:positionH relativeFrom="margin">
              <wp:posOffset>-277876</wp:posOffset>
            </wp:positionH>
            <wp:positionV relativeFrom="margin">
              <wp:align>bottom</wp:align>
            </wp:positionV>
            <wp:extent cx="6006465" cy="4242435"/>
            <wp:effectExtent l="0" t="0" r="0" b="5715"/>
            <wp:wrapTight wrapText="bothSides">
              <wp:wrapPolygon edited="0">
                <wp:start x="0" y="0"/>
                <wp:lineTo x="0" y="21532"/>
                <wp:lineTo x="21511" y="21532"/>
                <wp:lineTo x="21511" y="0"/>
                <wp:lineTo x="0" y="0"/>
              </wp:wrapPolygon>
            </wp:wrapTight>
            <wp:docPr id="1535954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427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C21">
        <w:rPr>
          <w:b/>
          <w:bCs/>
        </w:rPr>
        <w:drawing>
          <wp:anchor distT="0" distB="0" distL="114300" distR="114300" simplePos="0" relativeHeight="251662336" behindDoc="0" locked="0" layoutInCell="1" allowOverlap="1" wp14:anchorId="745D5429" wp14:editId="2F5FFC31">
            <wp:simplePos x="0" y="0"/>
            <wp:positionH relativeFrom="margin">
              <wp:posOffset>-216535</wp:posOffset>
            </wp:positionH>
            <wp:positionV relativeFrom="margin">
              <wp:posOffset>73025</wp:posOffset>
            </wp:positionV>
            <wp:extent cx="5852160" cy="4126865"/>
            <wp:effectExtent l="0" t="0" r="0" b="6985"/>
            <wp:wrapTopAndBottom/>
            <wp:docPr id="37557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706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3325E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lastRenderedPageBreak/>
        <w:t># 上交所历史数据接口变动与逐笔委托数据差异说明</w:t>
      </w:r>
    </w:p>
    <w:p w14:paraId="6E904418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2F9147FA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## 1. 历史数据接口变动说明</w:t>
      </w:r>
    </w:p>
    <w:p w14:paraId="73831404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06A3C143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| 日期 | 版本 | 说明 |</w:t>
      </w:r>
    </w:p>
    <w:p w14:paraId="5339D8B7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| ---- | ---- | ---- |</w:t>
      </w:r>
    </w:p>
    <w:p w14:paraId="6D3BD937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| 2020-02-19 | 1.0.0 | 首次发布 |</w:t>
      </w:r>
    </w:p>
    <w:p w14:paraId="2C091309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| 2020-09-23 | 1.0.1 | 1. Level-1 行情快照增加均价字段&lt;br&gt;2. 期权快照和 K 线增加均价、昨天结算价和今日结算价字段 |</w:t>
      </w:r>
    </w:p>
    <w:p w14:paraId="732C0414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| 2021-04-23 | 1.0.2 | 1. Level-1 行情快照增加收盘价、消息序号、发送时间字段&lt;br&gt;2. Level-1 行情 K 线增加 K 线数量、交易日字段&lt;br&gt;3. Level-2 行情竞价逐笔成交增加成交序号、频道代码、内外盘标志、业务序列号字段&lt;br&gt;4. **Level-2 行情增加竞价逐笔委托数据**&lt;br&gt;5. 数据文件及字段说明中补充启用时间 |</w:t>
      </w:r>
    </w:p>
    <w:p w14:paraId="7AA55BDD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| 2021-11-25 | 1.0.3 | 1. Level-2 行情增加债券逐笔类数据&lt;br&gt;2. Level-2 行情快照新增部分字段&lt;br&gt;3. Level-2 竞价逐笔成交新增发送时间字段 |</w:t>
      </w:r>
    </w:p>
    <w:p w14:paraId="34C21D01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| 2022-10-27 | 1.1.0 | 1. 调整文档结构，对各行情数据进行归类&lt;br&gt;2. 调整 Level-2 行情快照及 K 线、Level-1 行情快照及 K线的 IOPV 字段精度 |</w:t>
      </w:r>
    </w:p>
    <w:p w14:paraId="15DF829D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| 2023-05-31 | 1.1.1 | 1. 调整 Level-1 行情快照、盘后固定价格交易快照及 K 线的成交金额精度&lt;br&gt;2. 调整 Level-2 行情快照、盘后固定价格交易快照、盘后固定价格交易逐笔成交及 K 线的成交金额精度&lt;br&gt;3. 调整股票期权行情快照及 K 线的成交金额精度 |</w:t>
      </w:r>
    </w:p>
    <w:p w14:paraId="3AA26CF2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| 2023-12-13 | 1.1.2 | **Level-2 行情中增加竞价逐笔合并数据** |</w:t>
      </w:r>
    </w:p>
    <w:p w14:paraId="043A4454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| 2024-06-21 | 1.1.3 | 1. Level-2 行情的逐笔类数据中，竞价逐笔成交（Tick.csv）和逐笔委托（Entrust.csv）文件自 2024 年 7 月 8 日起不再提供；之后竞价逐笔类数据将通过竞价逐笔合并数据文件 sh2\yyyymmdd\StockTick.csv 发布 &lt;br&gt;2. 部分描述调整 |</w:t>
      </w:r>
    </w:p>
    <w:p w14:paraId="4A5BF7C6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453D35AE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## 2. Level-2行情数据重点信息</w:t>
      </w:r>
    </w:p>
    <w:p w14:paraId="58412A61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5703A0BB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Level-2 行情包括快照类数据、逐笔类数据和 K 线数据。</w:t>
      </w:r>
    </w:p>
    <w:p w14:paraId="413A0970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6A88EFEB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### 2.1 快照类数据重点信息</w:t>
      </w:r>
    </w:p>
    <w:p w14:paraId="2268E93C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2DC854A0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- 开盘集合竞价数据仅提供 2018 年 12 月 24 日前全部证券的开盘集合竞价数据，之后通过行情快照文件 sh2\yyyymmdd\Snapshot.csv 发布。</w:t>
      </w:r>
    </w:p>
    <w:p w14:paraId="79634FF2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    </w:t>
      </w:r>
    </w:p>
    <w:p w14:paraId="71FEDE3D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- Level-2 行情快照数据的快照间隔为 3 秒或 5 秒（其中，部分指数快照间隔为 5 秒，个股及部分指数快照间隔为 3 秒，相邻快照如果完全相同就保留第一幅），将全天所有证券的快照保存在同一个文件中。收盘集合竞价数据包含在 Level-2 行情快照中。    </w:t>
      </w:r>
    </w:p>
    <w:p w14:paraId="59A0B695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058945AE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- Level-2 盘后固定价格交易行情快照针对科创板股票，自 2019 年 7 月 22 日启用, 快照间隔为 3 秒。</w:t>
      </w:r>
    </w:p>
    <w:p w14:paraId="7E42C5A0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62A48BC6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### 2.2 逐笔类数据重点信息</w:t>
      </w:r>
    </w:p>
    <w:p w14:paraId="5D93267C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7138510A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- Level-2 逐笔类数据包括竞价逐笔成交、盘后固定价格交易逐笔成交、竞价逐笔委托和债券逐笔类数据。</w:t>
      </w:r>
    </w:p>
    <w:p w14:paraId="1889DF5A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7C4A36C4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- 2021-04-23起，上交所Level-2 行情增加竞价逐笔委托数据</w:t>
      </w:r>
    </w:p>
    <w:p w14:paraId="4623EA73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6AE61152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- 竞价逐笔委托数据与竞价逐笔成交数据将于 2024 年 7 月 8 日起不再提供，合并为竞价逐笔合并数据文件 sh2\yyyymmdd\StockTick.csv 发布</w:t>
      </w:r>
    </w:p>
    <w:p w14:paraId="173364F0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    </w:t>
      </w:r>
    </w:p>
    <w:p w14:paraId="29B3FF44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- 竞价逐笔合并数据包括新增委托订单和删除委托订单（撤单）、产品状态订单及成交，自 2023年 11 月 27 日启用</w:t>
      </w:r>
    </w:p>
    <w:p w14:paraId="79549064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3C34517A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### 2.3 K 线数据重点信息</w:t>
      </w:r>
    </w:p>
    <w:p w14:paraId="3E26869E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6707384F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lastRenderedPageBreak/>
        <w:t>- K 线数据包括日 K 线和分钟 K 线两种，分别保存在独立的文件中。</w:t>
      </w:r>
    </w:p>
    <w:p w14:paraId="1B081188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- 科创板（非必有）日 K线中自 2019 年 7 月22 日启用。</w:t>
      </w:r>
    </w:p>
    <w:p w14:paraId="1F95584A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3F68C61B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## 3. 上交所与深交所逐笔委托数据差异说明</w:t>
      </w:r>
    </w:p>
    <w:p w14:paraId="3184CEA1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4EF7C1A4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上交所的逐笔委托数据中的委托数量不同于深交所。它代表的是经过一次**成交撮合后剩余数量**，具体来说当某一个订单经过一次撮合全部成交的话，是不会有对应逐笔委托数据的，只会有逐笔成交数据。     </w:t>
      </w:r>
    </w:p>
    <w:p w14:paraId="11CC918A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6FF81041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### 3.1 一次撮合成交定义</w:t>
      </w:r>
    </w:p>
    <w:p w14:paraId="1A948580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4ED24AF4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一次撮合成交：订单发送到交易所的撮合平台能立即成交，不需要在订单队列中排队。比如【市价单】，限价单的【主动买入】（大于等于当前盘口的卖一价的买入）或【主动卖出】（小于等于买一价的卖出）。       </w:t>
      </w:r>
    </w:p>
    <w:p w14:paraId="7492491B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2B0B822D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### 3.2 数据识别方法</w:t>
      </w:r>
    </w:p>
    <w:p w14:paraId="738DCB71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21C298C0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一般很容易在逐笔成交中查找到这类订单，连续竞价阶段：     </w:t>
      </w:r>
    </w:p>
    <w:p w14:paraId="416ACA67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38E3A44A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- 若主动买【买方订单号=卖方订单号】或【买卖标志='B'】，将无法在逐笔委托中查找到买方的原始委托；     </w:t>
      </w:r>
    </w:p>
    <w:p w14:paraId="102280AE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- 若主动卖【买方订单号=卖方订单号】或【买卖标志='S'】，将无法在逐笔委托中查找到卖方的原始委托。     </w:t>
      </w:r>
    </w:p>
    <w:p w14:paraId="16AF45DE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5D180108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### 3.3 差异的持续性</w:t>
      </w:r>
    </w:p>
    <w:p w14:paraId="7CEC7043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159BAACF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尽管上交所在2023年12月13日新增了竞价逐笔合并数据，但上述数据差异仍然存在：      </w:t>
      </w:r>
    </w:p>
    <w:p w14:paraId="0FF49368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34C7A5D8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lastRenderedPageBreak/>
        <w:t>- **上交所**：</w:t>
      </w:r>
    </w:p>
    <w:p w14:paraId="6A32179F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  - 逐笔委托数据记录的是经过一次成交撮合后的剩余数量</w:t>
      </w:r>
    </w:p>
    <w:p w14:paraId="1EC12BE5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  - 一次撮合全部成交的订单不会在逐笔委托数据中出现</w:t>
      </w:r>
    </w:p>
    <w:p w14:paraId="73BDB0B4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  - 需要结合逐笔成交数据才能获得完整市场信息      </w:t>
      </w:r>
    </w:p>
    <w:p w14:paraId="4F30D24A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   </w:t>
      </w:r>
    </w:p>
    <w:p w14:paraId="1F00461D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- **深交所**：</w:t>
      </w:r>
    </w:p>
    <w:p w14:paraId="688E8938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  - 记录的是原始委托数量</w:t>
      </w:r>
    </w:p>
    <w:p w14:paraId="3F331C82" w14:textId="77777777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 xml:space="preserve">  - 所有委托都会记录      </w:t>
      </w:r>
    </w:p>
    <w:p w14:paraId="26D98809" w14:textId="77777777" w:rsidR="00620B7D" w:rsidRPr="00620B7D" w:rsidRDefault="00620B7D" w:rsidP="00620B7D">
      <w:pPr>
        <w:rPr>
          <w:rFonts w:hint="eastAsia"/>
          <w:b/>
          <w:bCs/>
        </w:rPr>
      </w:pPr>
    </w:p>
    <w:p w14:paraId="1B27E80E" w14:textId="61FE22CC" w:rsidR="00620B7D" w:rsidRPr="00620B7D" w:rsidRDefault="00620B7D" w:rsidP="00620B7D">
      <w:pPr>
        <w:rPr>
          <w:rFonts w:hint="eastAsia"/>
          <w:b/>
          <w:bCs/>
        </w:rPr>
      </w:pPr>
      <w:r w:rsidRPr="00620B7D">
        <w:rPr>
          <w:rFonts w:hint="eastAsia"/>
          <w:b/>
          <w:bCs/>
        </w:rPr>
        <w:t>### 3.4 数据处理建议</w:t>
      </w:r>
    </w:p>
    <w:p w14:paraId="5ACEA4E2" w14:textId="64FE2BCA" w:rsidR="00074404" w:rsidRDefault="00620B7D" w:rsidP="00620B7D">
      <w:pPr>
        <w:rPr>
          <w:b/>
          <w:bCs/>
        </w:rPr>
      </w:pPr>
      <w:r w:rsidRPr="00620B7D">
        <w:rPr>
          <w:rFonts w:hint="eastAsia"/>
          <w:b/>
          <w:bCs/>
        </w:rPr>
        <w:t>通过上交所成交数据重构委托数据，可以获得更完整的市场信息。在分析上交所数据时，需要注意这一特殊性，并结合逐笔成交数据进行综合分析。</w:t>
      </w:r>
    </w:p>
    <w:p w14:paraId="258E8138" w14:textId="08293DED" w:rsidR="00074404" w:rsidRDefault="00620B7D" w:rsidP="00221C3E">
      <w:pPr>
        <w:rPr>
          <w:b/>
          <w:bCs/>
        </w:rPr>
      </w:pPr>
      <w:r w:rsidRPr="00620B7D">
        <w:rPr>
          <w:rFonts w:hint="eastAsia"/>
          <w:b/>
          <w:bCs/>
        </w:rPr>
        <w:t xml:space="preserve">可参考知乎文章： https://zhuanlan.zhihu.com/p/1932952519044206797  </w:t>
      </w:r>
    </w:p>
    <w:p w14:paraId="69AE7CBA" w14:textId="05A59277" w:rsidR="00074404" w:rsidRDefault="00C5422B" w:rsidP="00221C3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2524B9C5" wp14:editId="138E0A27">
            <wp:simplePos x="0" y="0"/>
            <wp:positionH relativeFrom="column">
              <wp:posOffset>624713</wp:posOffset>
            </wp:positionH>
            <wp:positionV relativeFrom="paragraph">
              <wp:posOffset>125730</wp:posOffset>
            </wp:positionV>
            <wp:extent cx="2932430" cy="3949700"/>
            <wp:effectExtent l="0" t="0" r="1270" b="0"/>
            <wp:wrapTight wrapText="bothSides">
              <wp:wrapPolygon edited="0">
                <wp:start x="0" y="0"/>
                <wp:lineTo x="0" y="21461"/>
                <wp:lineTo x="21469" y="21461"/>
                <wp:lineTo x="21469" y="0"/>
                <wp:lineTo x="0" y="0"/>
              </wp:wrapPolygon>
            </wp:wrapTight>
            <wp:docPr id="15545620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394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58681" w14:textId="6893B577" w:rsidR="00074404" w:rsidRDefault="00074404" w:rsidP="00221C3E">
      <w:pPr>
        <w:rPr>
          <w:b/>
          <w:bCs/>
        </w:rPr>
      </w:pPr>
    </w:p>
    <w:p w14:paraId="53C004C5" w14:textId="523A83B1" w:rsidR="00074404" w:rsidRDefault="00074404" w:rsidP="00221C3E">
      <w:pPr>
        <w:rPr>
          <w:b/>
          <w:bCs/>
        </w:rPr>
      </w:pPr>
    </w:p>
    <w:p w14:paraId="3A4F00B0" w14:textId="5DFBD69F" w:rsidR="00074404" w:rsidRDefault="00074404" w:rsidP="00221C3E">
      <w:pPr>
        <w:rPr>
          <w:rFonts w:hint="eastAsia"/>
          <w:b/>
          <w:bCs/>
        </w:rPr>
      </w:pPr>
    </w:p>
    <w:p w14:paraId="63357800" w14:textId="28146DF1" w:rsidR="00074404" w:rsidRDefault="00074404">
      <w:pPr>
        <w:widowControl/>
        <w:rPr>
          <w:rFonts w:hint="eastAsia"/>
          <w:b/>
          <w:bCs/>
        </w:rPr>
      </w:pPr>
      <w:r>
        <w:rPr>
          <w:rFonts w:hint="eastAsia"/>
          <w:b/>
          <w:bCs/>
        </w:rPr>
        <w:br w:type="page"/>
      </w:r>
    </w:p>
    <w:p w14:paraId="1D34DCB1" w14:textId="5FCBB93B" w:rsidR="00074404" w:rsidRDefault="00B72AF3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数据概览：时间颗粒度上差距不大</w:t>
      </w:r>
    </w:p>
    <w:p w14:paraId="1BB31099" w14:textId="7DCDF04E" w:rsidR="00B72AF3" w:rsidRDefault="00B72AF3">
      <w:pPr>
        <w:widowControl/>
        <w:rPr>
          <w:rFonts w:hint="eastAsia"/>
          <w:b/>
          <w:bCs/>
        </w:rPr>
      </w:pPr>
      <w:r w:rsidRPr="00B72AF3">
        <w:rPr>
          <w:b/>
          <w:bCs/>
        </w:rPr>
        <w:drawing>
          <wp:inline distT="0" distB="0" distL="0" distR="0" wp14:anchorId="6088D632" wp14:editId="6848D2E9">
            <wp:extent cx="5274310" cy="3038475"/>
            <wp:effectExtent l="0" t="0" r="2540" b="9525"/>
            <wp:docPr id="1192439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39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3E87" w14:textId="74D111A5" w:rsidR="00B72AF3" w:rsidRDefault="00B72AF3">
      <w:pPr>
        <w:widowControl/>
        <w:rPr>
          <w:rFonts w:hint="eastAsia"/>
          <w:b/>
          <w:bCs/>
        </w:rPr>
      </w:pPr>
      <w:r w:rsidRPr="00B72AF3">
        <w:rPr>
          <w:b/>
          <w:bCs/>
        </w:rPr>
        <w:drawing>
          <wp:inline distT="0" distB="0" distL="0" distR="0" wp14:anchorId="139EE460" wp14:editId="4FD72175">
            <wp:extent cx="5274310" cy="3168650"/>
            <wp:effectExtent l="0" t="0" r="2540" b="0"/>
            <wp:docPr id="1358478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782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6B95" w14:textId="7E044901" w:rsidR="00221C3E" w:rsidRPr="00221C3E" w:rsidRDefault="00221C3E" w:rsidP="00221C3E">
      <w:pPr>
        <w:rPr>
          <w:rFonts w:hint="eastAsia"/>
          <w:b/>
          <w:bCs/>
        </w:rPr>
      </w:pPr>
    </w:p>
    <w:sectPr w:rsidR="00221C3E" w:rsidRPr="00221C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744"/>
    <w:rsid w:val="00031D36"/>
    <w:rsid w:val="00074404"/>
    <w:rsid w:val="00221C3E"/>
    <w:rsid w:val="0036128B"/>
    <w:rsid w:val="00620B7D"/>
    <w:rsid w:val="00783C21"/>
    <w:rsid w:val="00845244"/>
    <w:rsid w:val="00893203"/>
    <w:rsid w:val="00961037"/>
    <w:rsid w:val="00A57DA2"/>
    <w:rsid w:val="00AC245C"/>
    <w:rsid w:val="00B54F09"/>
    <w:rsid w:val="00B72AF3"/>
    <w:rsid w:val="00C5422B"/>
    <w:rsid w:val="00D30CAE"/>
    <w:rsid w:val="00D83576"/>
    <w:rsid w:val="00DB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EF24C"/>
  <w15:chartTrackingRefBased/>
  <w15:docId w15:val="{5B0A1C5C-D538-4650-B58B-D85821654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B774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77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77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774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774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7744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774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774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774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774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B77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B77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B774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B7744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B774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B774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B774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B774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B77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B7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77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B77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B77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B77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B774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B774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B77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B774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B774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8251</TotalTime>
  <Pages>9</Pages>
  <Words>400</Words>
  <Characters>2284</Characters>
  <Application>Microsoft Office Word</Application>
  <DocSecurity>0</DocSecurity>
  <Lines>19</Lines>
  <Paragraphs>5</Paragraphs>
  <ScaleCrop>false</ScaleCrop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lexuan.chen</dc:creator>
  <cp:keywords/>
  <dc:description/>
  <cp:lastModifiedBy>lexuan.chen</cp:lastModifiedBy>
  <cp:revision>14</cp:revision>
  <dcterms:created xsi:type="dcterms:W3CDTF">2025-07-25T07:31:00Z</dcterms:created>
  <dcterms:modified xsi:type="dcterms:W3CDTF">2025-08-01T01:55:00Z</dcterms:modified>
</cp:coreProperties>
</file>