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D2321" w14:textId="4A2BABB9" w:rsidR="00005782" w:rsidRPr="00B2683F" w:rsidRDefault="00005782" w:rsidP="00005782">
      <w:pPr>
        <w:jc w:val="center"/>
        <w:rPr>
          <w:rFonts w:ascii="Century" w:hAnsi="Century"/>
          <w:b/>
          <w:bCs/>
          <w:sz w:val="24"/>
          <w:szCs w:val="24"/>
        </w:rPr>
      </w:pPr>
      <w:r w:rsidRPr="00B2683F">
        <w:rPr>
          <w:rFonts w:ascii="Century" w:hAnsi="Century"/>
          <w:b/>
          <w:bCs/>
          <w:sz w:val="24"/>
          <w:szCs w:val="24"/>
        </w:rPr>
        <w:t xml:space="preserve">Exercise </w:t>
      </w:r>
      <w:r w:rsidR="00D727A4">
        <w:rPr>
          <w:rFonts w:ascii="Century" w:hAnsi="Century"/>
          <w:b/>
          <w:bCs/>
          <w:sz w:val="24"/>
          <w:szCs w:val="24"/>
        </w:rPr>
        <w:t>3</w:t>
      </w:r>
      <w:r w:rsidRPr="00B2683F">
        <w:rPr>
          <w:rFonts w:ascii="Century" w:hAnsi="Century"/>
          <w:b/>
          <w:bCs/>
          <w:sz w:val="24"/>
          <w:szCs w:val="24"/>
        </w:rPr>
        <w:t xml:space="preserve">: </w:t>
      </w:r>
      <w:r w:rsidR="00D727A4">
        <w:rPr>
          <w:rFonts w:ascii="Century" w:hAnsi="Century"/>
          <w:b/>
          <w:bCs/>
          <w:sz w:val="24"/>
          <w:szCs w:val="24"/>
        </w:rPr>
        <w:t>F</w:t>
      </w:r>
      <w:r w:rsidR="00D727A4">
        <w:rPr>
          <w:rFonts w:ascii="Century" w:hAnsi="Century" w:hint="eastAsia"/>
          <w:b/>
          <w:bCs/>
          <w:sz w:val="24"/>
          <w:szCs w:val="24"/>
        </w:rPr>
        <w:t>ama</w:t>
      </w:r>
      <w:r w:rsidR="00D727A4">
        <w:rPr>
          <w:rFonts w:ascii="Century" w:hAnsi="Century"/>
          <w:b/>
          <w:bCs/>
          <w:sz w:val="24"/>
          <w:szCs w:val="24"/>
        </w:rPr>
        <w:t xml:space="preserve"> French Factors</w:t>
      </w:r>
    </w:p>
    <w:p w14:paraId="3BF985AD" w14:textId="77777777" w:rsidR="00005782" w:rsidRPr="00B2683F" w:rsidRDefault="00005782" w:rsidP="007D6291">
      <w:pPr>
        <w:jc w:val="left"/>
        <w:rPr>
          <w:rFonts w:ascii="Century" w:hAnsi="Century"/>
        </w:rPr>
      </w:pPr>
    </w:p>
    <w:p w14:paraId="6E8A0BC5" w14:textId="77777777" w:rsidR="00005782" w:rsidRPr="00B2683F" w:rsidRDefault="00005782" w:rsidP="007D6291">
      <w:pPr>
        <w:jc w:val="left"/>
        <w:rPr>
          <w:rFonts w:ascii="Century" w:hAnsi="Century"/>
          <w:b/>
          <w:bCs/>
        </w:rPr>
      </w:pPr>
      <w:r w:rsidRPr="00B2683F">
        <w:rPr>
          <w:rFonts w:ascii="Century" w:hAnsi="Century"/>
          <w:b/>
          <w:bCs/>
        </w:rPr>
        <w:t>Learning Objective</w:t>
      </w:r>
    </w:p>
    <w:p w14:paraId="40F2812C" w14:textId="7140D38B" w:rsidR="00005782" w:rsidRPr="00B2683F" w:rsidRDefault="00005782" w:rsidP="007D6291">
      <w:pPr>
        <w:jc w:val="left"/>
        <w:rPr>
          <w:rFonts w:ascii="Century" w:hAnsi="Century"/>
        </w:rPr>
      </w:pPr>
      <w:r w:rsidRPr="00B2683F">
        <w:rPr>
          <w:rFonts w:ascii="Century" w:hAnsi="Century"/>
        </w:rPr>
        <w:t>By the end of this exercise, you should</w:t>
      </w:r>
      <w:r w:rsidR="00D727A4">
        <w:rPr>
          <w:rFonts w:ascii="Century" w:hAnsi="Century"/>
        </w:rPr>
        <w:t xml:space="preserve"> be able to</w:t>
      </w:r>
      <w:r w:rsidRPr="00B2683F">
        <w:rPr>
          <w:rFonts w:ascii="Century" w:hAnsi="Century"/>
        </w:rPr>
        <w:t>:</w:t>
      </w:r>
    </w:p>
    <w:p w14:paraId="32525186" w14:textId="66660EA2" w:rsidR="00005782" w:rsidRPr="00B2683F" w:rsidRDefault="00D727A4" w:rsidP="00005782">
      <w:pPr>
        <w:pStyle w:val="a3"/>
        <w:numPr>
          <w:ilvl w:val="0"/>
          <w:numId w:val="1"/>
        </w:numPr>
        <w:ind w:firstLineChars="0"/>
        <w:jc w:val="left"/>
        <w:rPr>
          <w:rFonts w:ascii="Century" w:hAnsi="Century"/>
        </w:rPr>
      </w:pPr>
      <w:r>
        <w:rPr>
          <w:rFonts w:ascii="Century" w:hAnsi="Century"/>
        </w:rPr>
        <w:t>Work with multiple databases through linking table</w:t>
      </w:r>
    </w:p>
    <w:p w14:paraId="1B0E41AC" w14:textId="1D39F1E5" w:rsidR="00005782" w:rsidRPr="00B2683F" w:rsidRDefault="00D727A4" w:rsidP="00005782">
      <w:pPr>
        <w:pStyle w:val="a3"/>
        <w:numPr>
          <w:ilvl w:val="0"/>
          <w:numId w:val="1"/>
        </w:numPr>
        <w:ind w:firstLineChars="0"/>
        <w:jc w:val="left"/>
        <w:rPr>
          <w:rFonts w:ascii="Century" w:hAnsi="Century"/>
        </w:rPr>
      </w:pPr>
      <w:r>
        <w:rPr>
          <w:rFonts w:ascii="Century" w:hAnsi="Century"/>
        </w:rPr>
        <w:t>Construct SMB/HML style factors</w:t>
      </w:r>
    </w:p>
    <w:p w14:paraId="3A3D4B0D" w14:textId="77777777" w:rsidR="00762451" w:rsidRPr="00762451" w:rsidRDefault="00762451" w:rsidP="007D6291">
      <w:pPr>
        <w:jc w:val="left"/>
        <w:rPr>
          <w:rFonts w:ascii="Century" w:hAnsi="Century"/>
        </w:rPr>
      </w:pPr>
    </w:p>
    <w:p w14:paraId="5C751048" w14:textId="788E348C" w:rsidR="00005782" w:rsidRPr="00D47A7D" w:rsidRDefault="00005782" w:rsidP="007D6291">
      <w:pPr>
        <w:jc w:val="left"/>
        <w:rPr>
          <w:rFonts w:ascii="Century" w:hAnsi="Century"/>
          <w:b/>
          <w:bCs/>
        </w:rPr>
      </w:pPr>
      <w:r w:rsidRPr="00D47A7D">
        <w:rPr>
          <w:rFonts w:ascii="Century" w:hAnsi="Century"/>
          <w:b/>
          <w:bCs/>
        </w:rPr>
        <w:t xml:space="preserve">Part </w:t>
      </w:r>
      <w:r w:rsidR="00D727A4">
        <w:rPr>
          <w:rFonts w:ascii="Century" w:hAnsi="Century"/>
          <w:b/>
          <w:bCs/>
        </w:rPr>
        <w:t>1</w:t>
      </w:r>
      <w:r w:rsidRPr="00D47A7D">
        <w:rPr>
          <w:rFonts w:ascii="Century" w:hAnsi="Century"/>
          <w:b/>
          <w:bCs/>
        </w:rPr>
        <w:t xml:space="preserve">. Learn WRDS sample code </w:t>
      </w:r>
      <w:r w:rsidR="00347273">
        <w:rPr>
          <w:rFonts w:ascii="Century" w:hAnsi="Century"/>
          <w:b/>
          <w:bCs/>
        </w:rPr>
        <w:t>of</w:t>
      </w:r>
      <w:r w:rsidRPr="00D47A7D">
        <w:rPr>
          <w:rFonts w:ascii="Century" w:hAnsi="Century"/>
          <w:b/>
          <w:bCs/>
        </w:rPr>
        <w:t xml:space="preserve"> </w:t>
      </w:r>
      <w:r w:rsidR="00D727A4">
        <w:rPr>
          <w:rFonts w:ascii="Century" w:hAnsi="Century"/>
          <w:b/>
          <w:bCs/>
        </w:rPr>
        <w:t>Fama-French 3-factor</w:t>
      </w:r>
    </w:p>
    <w:p w14:paraId="5937475C" w14:textId="5403215F" w:rsidR="0020504B" w:rsidRDefault="005766A1" w:rsidP="007D6291">
      <w:pPr>
        <w:jc w:val="left"/>
        <w:rPr>
          <w:rFonts w:ascii="Century" w:hAnsi="Century"/>
        </w:rPr>
      </w:pPr>
      <w:r w:rsidRPr="00B2683F">
        <w:rPr>
          <w:rFonts w:ascii="Century" w:hAnsi="Century"/>
        </w:rPr>
        <w:t xml:space="preserve">In this part, </w:t>
      </w:r>
      <w:r w:rsidR="00347273">
        <w:rPr>
          <w:rFonts w:ascii="Century" w:hAnsi="Century"/>
        </w:rPr>
        <w:t xml:space="preserve">you are going to run the </w:t>
      </w:r>
      <w:r w:rsidR="00D727A4">
        <w:rPr>
          <w:rFonts w:ascii="Century" w:hAnsi="Century"/>
        </w:rPr>
        <w:t xml:space="preserve">WRDS </w:t>
      </w:r>
      <w:r w:rsidR="00347273">
        <w:rPr>
          <w:rFonts w:ascii="Century" w:hAnsi="Century"/>
        </w:rPr>
        <w:t xml:space="preserve">sample code of </w:t>
      </w:r>
      <w:r w:rsidR="00D727A4">
        <w:rPr>
          <w:rFonts w:ascii="Century" w:hAnsi="Century"/>
        </w:rPr>
        <w:t xml:space="preserve">constructing two of the Fama-French three factors: SMB, and HML. </w:t>
      </w:r>
      <w:r w:rsidR="0020504B">
        <w:rPr>
          <w:rFonts w:ascii="Century" w:hAnsi="Century"/>
        </w:rPr>
        <w:t xml:space="preserve">The sample </w:t>
      </w:r>
      <w:r w:rsidR="00643A97">
        <w:rPr>
          <w:rFonts w:ascii="Century" w:hAnsi="Century"/>
        </w:rPr>
        <w:t xml:space="preserve">SAS </w:t>
      </w:r>
      <w:r w:rsidR="0020504B">
        <w:rPr>
          <w:rFonts w:ascii="Century" w:hAnsi="Century"/>
        </w:rPr>
        <w:t>code is from:</w:t>
      </w:r>
    </w:p>
    <w:p w14:paraId="6E92501C" w14:textId="401DA6CE" w:rsidR="0020504B" w:rsidRDefault="0020504B" w:rsidP="007D6291">
      <w:pPr>
        <w:jc w:val="left"/>
        <w:rPr>
          <w:rFonts w:ascii="Century" w:hAnsi="Century"/>
        </w:rPr>
      </w:pPr>
      <w:r w:rsidRPr="0020504B">
        <w:rPr>
          <w:rFonts w:ascii="Century" w:hAnsi="Century"/>
        </w:rPr>
        <w:t>https://wrds-www.wharton.upenn.edu/pages/support/applications/risk-factors-and-industry-benchmarks/fama-french-factors/</w:t>
      </w:r>
    </w:p>
    <w:p w14:paraId="3C8B74BA" w14:textId="709B87A4" w:rsidR="0020504B" w:rsidRDefault="00643A97" w:rsidP="007D6291">
      <w:pPr>
        <w:jc w:val="left"/>
        <w:rPr>
          <w:rFonts w:ascii="Century" w:hAnsi="Century"/>
        </w:rPr>
      </w:pPr>
      <w:r>
        <w:rPr>
          <w:rFonts w:ascii="Century" w:hAnsi="Century"/>
        </w:rPr>
        <w:t>For Python users: see ff3_v</w:t>
      </w:r>
      <w:proofErr w:type="gramStart"/>
      <w:r>
        <w:rPr>
          <w:rFonts w:ascii="Century" w:hAnsi="Century"/>
        </w:rPr>
        <w:t>2.ipynb</w:t>
      </w:r>
      <w:proofErr w:type="gramEnd"/>
    </w:p>
    <w:p w14:paraId="72C33F27" w14:textId="77777777" w:rsidR="00A835C9" w:rsidRDefault="00A835C9" w:rsidP="007D6291">
      <w:pPr>
        <w:jc w:val="left"/>
        <w:rPr>
          <w:rFonts w:ascii="Century" w:hAnsi="Century"/>
        </w:rPr>
      </w:pPr>
    </w:p>
    <w:p w14:paraId="7A8BCE74" w14:textId="2E96FAF6" w:rsidR="00A835C9" w:rsidRDefault="00A835C9" w:rsidP="007D6291">
      <w:pPr>
        <w:jc w:val="left"/>
        <w:rPr>
          <w:rFonts w:ascii="Century" w:hAnsi="Century"/>
        </w:rPr>
      </w:pPr>
      <w:r>
        <w:rPr>
          <w:rFonts w:ascii="Century" w:hAnsi="Century" w:hint="eastAsia"/>
        </w:rPr>
        <w:t>WRDS</w:t>
      </w:r>
      <w:r>
        <w:rPr>
          <w:rFonts w:ascii="Century" w:hAnsi="Century" w:hint="eastAsia"/>
        </w:rPr>
        <w:t>要点摘要</w:t>
      </w:r>
    </w:p>
    <w:p w14:paraId="0451FFBE" w14:textId="046EA35D" w:rsidR="00A835C9" w:rsidRDefault="004D0253" w:rsidP="007D6291">
      <w:pPr>
        <w:jc w:val="left"/>
        <w:rPr>
          <w:rFonts w:ascii="Helvetica Neue" w:hAnsi="Helvetica Neue"/>
          <w:color w:val="212529"/>
          <w:sz w:val="18"/>
          <w:szCs w:val="20"/>
          <w:shd w:val="clear" w:color="auto" w:fill="FFFFFF"/>
        </w:rPr>
      </w:pPr>
      <w:r w:rsidRPr="004D0253">
        <w:rPr>
          <w:rFonts w:ascii="Century" w:hAnsi="Century"/>
          <w:sz w:val="18"/>
          <w:szCs w:val="20"/>
        </w:rPr>
        <w:drawing>
          <wp:anchor distT="0" distB="0" distL="114300" distR="114300" simplePos="0" relativeHeight="251659264" behindDoc="0" locked="0" layoutInCell="1" allowOverlap="1" wp14:anchorId="255F137B" wp14:editId="632EE669">
            <wp:simplePos x="0" y="0"/>
            <wp:positionH relativeFrom="column">
              <wp:posOffset>-74930</wp:posOffset>
            </wp:positionH>
            <wp:positionV relativeFrom="paragraph">
              <wp:posOffset>808355</wp:posOffset>
            </wp:positionV>
            <wp:extent cx="5274310" cy="3331845"/>
            <wp:effectExtent l="0" t="0" r="0" b="0"/>
            <wp:wrapSquare wrapText="bothSides"/>
            <wp:docPr id="571200730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00730" name="图片 1" descr="文本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835C9" w:rsidRPr="00A835C9">
        <w:rPr>
          <w:rFonts w:ascii="Helvetica Neue" w:hAnsi="Helvetica Neue"/>
          <w:color w:val="212529"/>
          <w:sz w:val="18"/>
          <w:szCs w:val="20"/>
          <w:shd w:val="clear" w:color="auto" w:fill="FFFFFF"/>
        </w:rPr>
        <w:t>Futhermore</w:t>
      </w:r>
      <w:proofErr w:type="spellEnd"/>
      <w:r w:rsidR="00A835C9" w:rsidRPr="00A835C9">
        <w:rPr>
          <w:rFonts w:ascii="Helvetica Neue" w:hAnsi="Helvetica Neue"/>
          <w:color w:val="212529"/>
          <w:sz w:val="18"/>
          <w:szCs w:val="20"/>
          <w:shd w:val="clear" w:color="auto" w:fill="FFFFFF"/>
        </w:rPr>
        <w:t xml:space="preserve">, to be included in the sample for any period July t through June t +1 the firm must have a CRSP stock price for December of year t -1 and June of year </w:t>
      </w:r>
      <w:proofErr w:type="gramStart"/>
      <w:r w:rsidR="00A835C9" w:rsidRPr="00A835C9">
        <w:rPr>
          <w:rFonts w:ascii="Helvetica Neue" w:hAnsi="Helvetica Neue"/>
          <w:color w:val="212529"/>
          <w:sz w:val="18"/>
          <w:szCs w:val="20"/>
          <w:shd w:val="clear" w:color="auto" w:fill="FFFFFF"/>
        </w:rPr>
        <w:t>t ,</w:t>
      </w:r>
      <w:proofErr w:type="gramEnd"/>
      <w:r w:rsidR="00A835C9" w:rsidRPr="00A835C9">
        <w:rPr>
          <w:rFonts w:ascii="Helvetica Neue" w:hAnsi="Helvetica Neue"/>
          <w:color w:val="212529"/>
          <w:sz w:val="18"/>
          <w:szCs w:val="20"/>
          <w:shd w:val="clear" w:color="auto" w:fill="FFFFFF"/>
        </w:rPr>
        <w:t xml:space="preserve"> plus its book value of common equity for year t -1 based on </w:t>
      </w:r>
      <w:proofErr w:type="spellStart"/>
      <w:r w:rsidR="00A835C9" w:rsidRPr="00A835C9">
        <w:rPr>
          <w:rFonts w:ascii="Helvetica Neue" w:hAnsi="Helvetica Neue"/>
          <w:color w:val="212529"/>
          <w:sz w:val="18"/>
          <w:szCs w:val="20"/>
          <w:shd w:val="clear" w:color="auto" w:fill="FFFFFF"/>
        </w:rPr>
        <w:t>Compustat</w:t>
      </w:r>
      <w:proofErr w:type="spellEnd"/>
      <w:r w:rsidR="00A835C9" w:rsidRPr="00A835C9">
        <w:rPr>
          <w:rFonts w:ascii="Helvetica Neue" w:hAnsi="Helvetica Neue"/>
          <w:color w:val="212529"/>
          <w:sz w:val="18"/>
          <w:szCs w:val="20"/>
          <w:shd w:val="clear" w:color="auto" w:fill="FFFFFF"/>
        </w:rPr>
        <w:t xml:space="preserve"> data. Below we detail the procedure to recreate monthly SMB and HML factors.</w:t>
      </w:r>
    </w:p>
    <w:p w14:paraId="2E7C7451" w14:textId="79390B00" w:rsidR="00F32195" w:rsidRDefault="00F32195" w:rsidP="007D6291">
      <w:pPr>
        <w:jc w:val="left"/>
        <w:rPr>
          <w:rFonts w:ascii="Century" w:hAnsi="Century"/>
          <w:sz w:val="18"/>
          <w:szCs w:val="20"/>
        </w:rPr>
      </w:pPr>
      <w:r w:rsidRPr="00F32195">
        <w:rPr>
          <w:rFonts w:ascii="Century" w:hAnsi="Century"/>
          <w:b/>
          <w:bCs/>
          <w:sz w:val="18"/>
          <w:szCs w:val="20"/>
        </w:rPr>
        <w:t>Book Equity</w:t>
      </w:r>
      <w:r w:rsidRPr="00F32195">
        <w:rPr>
          <w:rFonts w:ascii="Century" w:hAnsi="Century"/>
          <w:sz w:val="18"/>
          <w:szCs w:val="20"/>
        </w:rPr>
        <w:t xml:space="preserve"> is defined as the </w:t>
      </w:r>
      <w:proofErr w:type="spellStart"/>
      <w:r w:rsidRPr="00F32195">
        <w:rPr>
          <w:rFonts w:ascii="Century" w:hAnsi="Century"/>
          <w:sz w:val="18"/>
          <w:szCs w:val="20"/>
        </w:rPr>
        <w:t>Compustat</w:t>
      </w:r>
      <w:proofErr w:type="spellEnd"/>
      <w:r w:rsidRPr="00F32195">
        <w:rPr>
          <w:rFonts w:ascii="Century" w:hAnsi="Century"/>
          <w:sz w:val="18"/>
          <w:szCs w:val="20"/>
        </w:rPr>
        <w:t xml:space="preserve"> book value of stockholders' equity plus balance sheet deferred taxes and investment tax credit (if available) minus book value of preferred stock.</w:t>
      </w:r>
    </w:p>
    <w:p w14:paraId="186382A8" w14:textId="7FBCAE10" w:rsidR="00AC1841" w:rsidRDefault="00AC1841" w:rsidP="007D6291">
      <w:pPr>
        <w:jc w:val="left"/>
        <w:rPr>
          <w:rFonts w:ascii="Century" w:hAnsi="Century"/>
          <w:sz w:val="18"/>
          <w:szCs w:val="20"/>
        </w:rPr>
      </w:pPr>
    </w:p>
    <w:p w14:paraId="1B54F164" w14:textId="6E397E65" w:rsidR="00AC1841" w:rsidRPr="00A835C9" w:rsidRDefault="00AC1841" w:rsidP="007D6291">
      <w:pPr>
        <w:jc w:val="left"/>
        <w:rPr>
          <w:rFonts w:ascii="Century" w:hAnsi="Century" w:hint="eastAsia"/>
          <w:sz w:val="18"/>
          <w:szCs w:val="20"/>
        </w:rPr>
      </w:pPr>
      <w:r w:rsidRPr="00AC1841">
        <w:rPr>
          <w:rFonts w:ascii="Century" w:hAnsi="Century"/>
          <w:sz w:val="18"/>
          <w:szCs w:val="20"/>
        </w:rPr>
        <w:t>There were cases when the same firm (</w:t>
      </w:r>
      <w:proofErr w:type="spellStart"/>
      <w:r w:rsidRPr="00AC1841">
        <w:rPr>
          <w:rFonts w:ascii="Century" w:hAnsi="Century"/>
          <w:sz w:val="18"/>
          <w:szCs w:val="20"/>
        </w:rPr>
        <w:t>permco</w:t>
      </w:r>
      <w:proofErr w:type="spellEnd"/>
      <w:r w:rsidRPr="00AC1841">
        <w:rPr>
          <w:rFonts w:ascii="Century" w:hAnsi="Century"/>
          <w:sz w:val="18"/>
          <w:szCs w:val="20"/>
        </w:rPr>
        <w:t>) had two or more securities (</w:t>
      </w:r>
      <w:proofErr w:type="spellStart"/>
      <w:r w:rsidRPr="00AC1841">
        <w:rPr>
          <w:rFonts w:ascii="Century" w:hAnsi="Century"/>
          <w:sz w:val="18"/>
          <w:szCs w:val="20"/>
        </w:rPr>
        <w:t>permno</w:t>
      </w:r>
      <w:proofErr w:type="spellEnd"/>
      <w:r w:rsidRPr="00AC1841">
        <w:rPr>
          <w:rFonts w:ascii="Century" w:hAnsi="Century"/>
          <w:sz w:val="18"/>
          <w:szCs w:val="20"/>
        </w:rPr>
        <w:t>) on the same date.</w:t>
      </w:r>
      <w:r w:rsidRPr="00AC1841">
        <w:t xml:space="preserve"> </w:t>
      </w:r>
      <w:proofErr w:type="gramStart"/>
      <w:r w:rsidRPr="00AC1841">
        <w:rPr>
          <w:rFonts w:ascii="Century" w:hAnsi="Century"/>
          <w:sz w:val="18"/>
          <w:szCs w:val="20"/>
        </w:rPr>
        <w:t>For the purpose of</w:t>
      </w:r>
      <w:proofErr w:type="gramEnd"/>
      <w:r w:rsidRPr="00AC1841">
        <w:rPr>
          <w:rFonts w:ascii="Century" w:hAnsi="Century"/>
          <w:sz w:val="18"/>
          <w:szCs w:val="20"/>
        </w:rPr>
        <w:t xml:space="preserve"> ME for the firm, we aggregated all ME for a given </w:t>
      </w:r>
      <w:proofErr w:type="spellStart"/>
      <w:r w:rsidRPr="00AC1841">
        <w:rPr>
          <w:rFonts w:ascii="Century" w:hAnsi="Century"/>
          <w:sz w:val="18"/>
          <w:szCs w:val="20"/>
        </w:rPr>
        <w:t>permco</w:t>
      </w:r>
      <w:proofErr w:type="spellEnd"/>
      <w:r w:rsidRPr="00AC1841">
        <w:rPr>
          <w:rFonts w:ascii="Century" w:hAnsi="Century"/>
          <w:sz w:val="18"/>
          <w:szCs w:val="20"/>
        </w:rPr>
        <w:t xml:space="preserve">, date. This aggregated ME was assigned to the CRSP </w:t>
      </w:r>
      <w:proofErr w:type="spellStart"/>
      <w:r w:rsidRPr="00AC1841">
        <w:rPr>
          <w:rFonts w:ascii="Century" w:hAnsi="Century"/>
          <w:sz w:val="18"/>
          <w:szCs w:val="20"/>
        </w:rPr>
        <w:t>permno</w:t>
      </w:r>
      <w:proofErr w:type="spellEnd"/>
      <w:r w:rsidRPr="00AC1841">
        <w:rPr>
          <w:rFonts w:ascii="Century" w:hAnsi="Century"/>
          <w:sz w:val="18"/>
          <w:szCs w:val="20"/>
        </w:rPr>
        <w:t xml:space="preserve"> that has the largest ME</w:t>
      </w:r>
      <w:r>
        <w:rPr>
          <w:rFonts w:ascii="Century" w:hAnsi="Century"/>
          <w:sz w:val="18"/>
          <w:szCs w:val="20"/>
        </w:rPr>
        <w:t>.</w:t>
      </w:r>
    </w:p>
    <w:p w14:paraId="616E2E2E" w14:textId="77777777" w:rsidR="00643A97" w:rsidRDefault="00643A97" w:rsidP="007D6291">
      <w:pPr>
        <w:jc w:val="left"/>
        <w:rPr>
          <w:rFonts w:ascii="Century" w:hAnsi="Century"/>
        </w:rPr>
      </w:pPr>
    </w:p>
    <w:p w14:paraId="11FE7CD7" w14:textId="38B96CB0" w:rsidR="00005782" w:rsidRDefault="00D727A4" w:rsidP="007D6291">
      <w:pPr>
        <w:jc w:val="left"/>
        <w:rPr>
          <w:rFonts w:ascii="Century" w:hAnsi="Century"/>
        </w:rPr>
      </w:pPr>
      <w:r>
        <w:rPr>
          <w:rFonts w:ascii="Century" w:hAnsi="Century"/>
        </w:rPr>
        <w:t xml:space="preserve">SMB is a size factor that is constructed solely based on </w:t>
      </w:r>
      <w:r w:rsidRPr="00A835C9">
        <w:rPr>
          <w:rFonts w:ascii="Century" w:hAnsi="Century"/>
          <w:highlight w:val="yellow"/>
        </w:rPr>
        <w:t>firms’ market capitalization.</w:t>
      </w:r>
      <w:r>
        <w:rPr>
          <w:rFonts w:ascii="Century" w:hAnsi="Century"/>
        </w:rPr>
        <w:t xml:space="preserve"> </w:t>
      </w:r>
      <w:r>
        <w:rPr>
          <w:rFonts w:ascii="Century" w:hAnsi="Century"/>
        </w:rPr>
        <w:lastRenderedPageBreak/>
        <w:t xml:space="preserve">HML is a value factor </w:t>
      </w:r>
      <w:r w:rsidR="003E3ABA">
        <w:rPr>
          <w:rFonts w:ascii="Century" w:hAnsi="Century"/>
        </w:rPr>
        <w:t xml:space="preserve">constructed using firms’ </w:t>
      </w:r>
      <w:r w:rsidR="003E3ABA" w:rsidRPr="00A835C9">
        <w:rPr>
          <w:rFonts w:ascii="Century" w:hAnsi="Century"/>
          <w:highlight w:val="yellow"/>
        </w:rPr>
        <w:t>book-to-market ratio</w:t>
      </w:r>
      <w:r w:rsidR="003E3ABA">
        <w:rPr>
          <w:rFonts w:ascii="Century" w:hAnsi="Century"/>
        </w:rPr>
        <w:t xml:space="preserve"> where the </w:t>
      </w:r>
      <w:r w:rsidR="003E3ABA" w:rsidRPr="00A835C9">
        <w:rPr>
          <w:rFonts w:ascii="Century" w:hAnsi="Century"/>
          <w:u w:val="single"/>
        </w:rPr>
        <w:t>“book” refers to book value of equity and the “market” refers to the market value of equity (market capitalization)</w:t>
      </w:r>
      <w:r w:rsidR="003E3ABA">
        <w:rPr>
          <w:rFonts w:ascii="Century" w:hAnsi="Century"/>
        </w:rPr>
        <w:t xml:space="preserve">. </w:t>
      </w:r>
      <w:r w:rsidR="009334B8">
        <w:rPr>
          <w:rFonts w:ascii="Century" w:hAnsi="Century"/>
        </w:rPr>
        <w:t>We often use the Fama-French three</w:t>
      </w:r>
      <w:r w:rsidR="0020504B">
        <w:rPr>
          <w:rFonts w:ascii="Century" w:hAnsi="Century"/>
        </w:rPr>
        <w:t xml:space="preserve"> </w:t>
      </w:r>
      <w:r w:rsidR="009334B8">
        <w:rPr>
          <w:rFonts w:ascii="Century" w:hAnsi="Century"/>
        </w:rPr>
        <w:t>factors</w:t>
      </w:r>
      <w:r w:rsidR="0020504B">
        <w:rPr>
          <w:rFonts w:ascii="Century" w:hAnsi="Century"/>
        </w:rPr>
        <w:t xml:space="preserve"> as benchmark</w:t>
      </w:r>
      <w:r w:rsidR="009334B8">
        <w:rPr>
          <w:rFonts w:ascii="Century" w:hAnsi="Century"/>
        </w:rPr>
        <w:t xml:space="preserve"> to compute </w:t>
      </w:r>
      <w:r w:rsidR="009334B8" w:rsidRPr="00A835C9">
        <w:rPr>
          <w:rFonts w:ascii="Century" w:hAnsi="Century"/>
          <w:color w:val="FF0000"/>
        </w:rPr>
        <w:t>risk-adjusted returns for assets</w:t>
      </w:r>
      <w:r w:rsidR="009334B8">
        <w:rPr>
          <w:rFonts w:ascii="Century" w:hAnsi="Century"/>
        </w:rPr>
        <w:t>.</w:t>
      </w:r>
      <w:r w:rsidR="0020504B">
        <w:rPr>
          <w:rFonts w:ascii="Century" w:hAnsi="Century"/>
        </w:rPr>
        <w:t xml:space="preserve"> At this stage, we only </w:t>
      </w:r>
      <w:r w:rsidR="0020504B" w:rsidRPr="00A835C9">
        <w:rPr>
          <w:rFonts w:ascii="Century" w:hAnsi="Century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calculate these factors</w:t>
      </w:r>
      <w:r w:rsidR="0020504B">
        <w:rPr>
          <w:rFonts w:ascii="Century" w:hAnsi="Century"/>
        </w:rPr>
        <w:t xml:space="preserve">, and we will learn how to use the factor model to conduct risk-adjustment for portfolio-performance in later exercise. </w:t>
      </w:r>
    </w:p>
    <w:p w14:paraId="60120D3E" w14:textId="2F92E754" w:rsidR="003E3ABA" w:rsidRDefault="003E3ABA" w:rsidP="007D6291">
      <w:pPr>
        <w:jc w:val="left"/>
        <w:rPr>
          <w:rFonts w:ascii="Century" w:hAnsi="Century"/>
        </w:rPr>
      </w:pPr>
    </w:p>
    <w:p w14:paraId="49F1D19F" w14:textId="77777777" w:rsidR="003E3ABA" w:rsidRDefault="003E3ABA" w:rsidP="007D6291">
      <w:pPr>
        <w:jc w:val="left"/>
        <w:rPr>
          <w:rFonts w:ascii="Century" w:hAnsi="Century"/>
        </w:rPr>
      </w:pPr>
      <w:r>
        <w:rPr>
          <w:rFonts w:ascii="Century" w:hAnsi="Century" w:hint="eastAsia"/>
        </w:rPr>
        <w:t>T</w:t>
      </w:r>
      <w:r>
        <w:rPr>
          <w:rFonts w:ascii="Century" w:hAnsi="Century"/>
        </w:rPr>
        <w:t xml:space="preserve">o calculate book-to-market ratio, you need book equity computed based on firms’ accounting data from </w:t>
      </w:r>
      <w:proofErr w:type="spellStart"/>
      <w:r>
        <w:rPr>
          <w:rFonts w:ascii="Century" w:hAnsi="Century"/>
        </w:rPr>
        <w:t>Compustat</w:t>
      </w:r>
      <w:proofErr w:type="spellEnd"/>
      <w:r>
        <w:rPr>
          <w:rFonts w:ascii="Century" w:hAnsi="Century"/>
        </w:rPr>
        <w:t xml:space="preserve"> database. This is another important database you will often use in the empirical works. </w:t>
      </w:r>
      <w:r w:rsidRPr="00A835C9">
        <w:rPr>
          <w:rFonts w:ascii="Century" w:hAnsi="Century"/>
          <w:highlight w:val="yellow"/>
        </w:rPr>
        <w:t xml:space="preserve">An important note is that firm identifiers are different in </w:t>
      </w:r>
      <w:proofErr w:type="spellStart"/>
      <w:r w:rsidRPr="00A835C9">
        <w:rPr>
          <w:rFonts w:ascii="Century" w:hAnsi="Century"/>
          <w:highlight w:val="yellow"/>
        </w:rPr>
        <w:t>Compustat</w:t>
      </w:r>
      <w:proofErr w:type="spellEnd"/>
      <w:r w:rsidRPr="00A835C9">
        <w:rPr>
          <w:rFonts w:ascii="Century" w:hAnsi="Century"/>
          <w:highlight w:val="yellow"/>
        </w:rPr>
        <w:t xml:space="preserve"> and CRSP database.</w:t>
      </w:r>
      <w:r>
        <w:rPr>
          <w:rFonts w:ascii="Century" w:hAnsi="Century"/>
        </w:rPr>
        <w:t xml:space="preserve"> Specifically, firm identifier is PERMNO in CRSP database and it is GVKEY in </w:t>
      </w:r>
      <w:proofErr w:type="spellStart"/>
      <w:r>
        <w:rPr>
          <w:rFonts w:ascii="Century" w:hAnsi="Century"/>
        </w:rPr>
        <w:t>Compustat</w:t>
      </w:r>
      <w:proofErr w:type="spellEnd"/>
      <w:r>
        <w:rPr>
          <w:rFonts w:ascii="Century" w:hAnsi="Century"/>
        </w:rPr>
        <w:t xml:space="preserve"> database. In order to use CRSP and </w:t>
      </w:r>
      <w:proofErr w:type="spellStart"/>
      <w:r>
        <w:rPr>
          <w:rFonts w:ascii="Century" w:hAnsi="Century"/>
        </w:rPr>
        <w:t>Compustat</w:t>
      </w:r>
      <w:proofErr w:type="spellEnd"/>
      <w:r>
        <w:rPr>
          <w:rFonts w:ascii="Century" w:hAnsi="Century"/>
        </w:rPr>
        <w:t xml:space="preserve"> data collectively, </w:t>
      </w:r>
      <w:r w:rsidRPr="00A835C9">
        <w:rPr>
          <w:rFonts w:ascii="Century" w:hAnsi="Century"/>
          <w:color w:val="0070C0"/>
        </w:rPr>
        <w:t>you need to know the corresponding GVKEY for each PERMNO (in other words, to link PERMNO with GVKEY).</w:t>
      </w:r>
      <w:r>
        <w:rPr>
          <w:rFonts w:ascii="Century" w:hAnsi="Century"/>
        </w:rPr>
        <w:t xml:space="preserve"> </w:t>
      </w:r>
    </w:p>
    <w:p w14:paraId="6E9C741F" w14:textId="77777777" w:rsidR="003E3ABA" w:rsidRDefault="003E3ABA" w:rsidP="007D6291">
      <w:pPr>
        <w:jc w:val="left"/>
        <w:rPr>
          <w:rFonts w:ascii="Century" w:hAnsi="Century" w:hint="eastAsia"/>
        </w:rPr>
      </w:pPr>
    </w:p>
    <w:p w14:paraId="75E158E1" w14:textId="1B0D64B3" w:rsidR="00005782" w:rsidRDefault="003E3ABA" w:rsidP="00E954D5">
      <w:pPr>
        <w:jc w:val="left"/>
        <w:rPr>
          <w:rFonts w:ascii="Century" w:hAnsi="Century"/>
        </w:rPr>
      </w:pPr>
      <w:r>
        <w:rPr>
          <w:rFonts w:ascii="Century" w:hAnsi="Century"/>
        </w:rPr>
        <w:t>WRDS provide a linking table for PERMNO-</w:t>
      </w:r>
      <w:proofErr w:type="gramStart"/>
      <w:r>
        <w:rPr>
          <w:rFonts w:ascii="Century" w:hAnsi="Century"/>
        </w:rPr>
        <w:t>GVKEY</w:t>
      </w:r>
      <w:proofErr w:type="gramEnd"/>
      <w:r>
        <w:rPr>
          <w:rFonts w:ascii="Century" w:hAnsi="Century"/>
        </w:rPr>
        <w:t xml:space="preserve"> and you can find it on WRDS website following “Get Data” -&gt; “CRSP” </w:t>
      </w:r>
      <w:r>
        <w:rPr>
          <w:rFonts w:ascii="Century" w:hAnsi="Century" w:hint="eastAsia"/>
        </w:rPr>
        <w:t>-&gt;</w:t>
      </w:r>
      <w:r>
        <w:rPr>
          <w:rFonts w:ascii="Century" w:hAnsi="Century"/>
        </w:rPr>
        <w:t xml:space="preserve"> “CRSP/</w:t>
      </w:r>
      <w:proofErr w:type="spellStart"/>
      <w:r>
        <w:rPr>
          <w:rFonts w:ascii="Century" w:hAnsi="Century"/>
        </w:rPr>
        <w:t>Compustat</w:t>
      </w:r>
      <w:proofErr w:type="spellEnd"/>
      <w:r>
        <w:rPr>
          <w:rFonts w:ascii="Century" w:hAnsi="Century"/>
        </w:rPr>
        <w:t xml:space="preserve"> Merged” -&gt; “Linking Table”. You will find the </w:t>
      </w:r>
      <w:r w:rsidRPr="00A835C9">
        <w:rPr>
          <w:rFonts w:ascii="Century" w:hAnsi="Century"/>
          <w:color w:val="0070C0"/>
        </w:rPr>
        <w:t xml:space="preserve">usage of the linking table </w:t>
      </w:r>
      <w:r>
        <w:rPr>
          <w:rFonts w:ascii="Century" w:hAnsi="Century"/>
        </w:rPr>
        <w:t>in the WRDS sample code of Fama-French 3-factor. Please note that, in CRSP/</w:t>
      </w:r>
      <w:proofErr w:type="spellStart"/>
      <w:r>
        <w:rPr>
          <w:rFonts w:ascii="Century" w:hAnsi="Century"/>
        </w:rPr>
        <w:t>Compustat</w:t>
      </w:r>
      <w:proofErr w:type="spellEnd"/>
      <w:r>
        <w:rPr>
          <w:rFonts w:ascii="Century" w:hAnsi="Century"/>
        </w:rPr>
        <w:t xml:space="preserve"> Merged database, PERMNO is already linked with </w:t>
      </w:r>
      <w:r w:rsidR="009334B8">
        <w:rPr>
          <w:rFonts w:ascii="Century" w:hAnsi="Century"/>
        </w:rPr>
        <w:t xml:space="preserve">GVKEY. </w:t>
      </w:r>
      <w:r w:rsidR="009334B8" w:rsidRPr="00A835C9">
        <w:rPr>
          <w:rFonts w:ascii="Century" w:hAnsi="Century"/>
          <w:color w:val="0070C0"/>
        </w:rPr>
        <w:t>Using this database, you can download firm accounting data with PERMNO as firm identifier.</w:t>
      </w:r>
      <w:r w:rsidR="009334B8">
        <w:rPr>
          <w:rFonts w:ascii="Century" w:hAnsi="Century"/>
        </w:rPr>
        <w:t xml:space="preserve"> However, I still suggest downloading accounting data from “</w:t>
      </w:r>
      <w:proofErr w:type="spellStart"/>
      <w:r w:rsidR="009334B8">
        <w:rPr>
          <w:rFonts w:ascii="Century" w:hAnsi="Century"/>
        </w:rPr>
        <w:t>Compustat</w:t>
      </w:r>
      <w:proofErr w:type="spellEnd"/>
      <w:r w:rsidR="009334B8">
        <w:rPr>
          <w:rFonts w:ascii="Century" w:hAnsi="Century"/>
        </w:rPr>
        <w:t xml:space="preserve">-North America-Annual Updates” and merge with CRSP MSF through linking table. The benefit is that once you are familiar with linking firms in CRSP and </w:t>
      </w:r>
      <w:proofErr w:type="spellStart"/>
      <w:r w:rsidR="009334B8">
        <w:rPr>
          <w:rFonts w:ascii="Century" w:hAnsi="Century"/>
        </w:rPr>
        <w:t>Compustat</w:t>
      </w:r>
      <w:proofErr w:type="spellEnd"/>
      <w:r w:rsidR="009334B8">
        <w:rPr>
          <w:rFonts w:ascii="Century" w:hAnsi="Century"/>
        </w:rPr>
        <w:t xml:space="preserve">, you will be able to link other databases as well since the linking procedure is similar. For example, if you do some research with analyst data from I/B/E/S database, you will encounter another firm identifier named IBES-TICKER, and you will link IBES-TICKER with CRSP PERMNO in a similar manner.  </w:t>
      </w:r>
    </w:p>
    <w:p w14:paraId="573F08B5" w14:textId="1A95E468" w:rsidR="00E512DB" w:rsidRDefault="00E512DB" w:rsidP="00E512DB">
      <w:pPr>
        <w:rPr>
          <w:rFonts w:ascii="Century" w:hAnsi="Century"/>
        </w:rPr>
      </w:pPr>
    </w:p>
    <w:p w14:paraId="03682906" w14:textId="2CCF3B58" w:rsidR="0020504B" w:rsidRDefault="00551866" w:rsidP="00E512DB">
      <w:pPr>
        <w:rPr>
          <w:rFonts w:ascii="Century" w:hAnsi="Century"/>
        </w:rPr>
      </w:pPr>
      <w:r>
        <w:rPr>
          <w:rFonts w:ascii="Century" w:hAnsi="Century"/>
        </w:rPr>
        <w:t xml:space="preserve">An additional note in </w:t>
      </w:r>
      <w:r w:rsidRPr="00A835C9">
        <w:rPr>
          <w:rFonts w:ascii="Century" w:hAnsi="Century"/>
          <w:highlight w:val="yellow"/>
        </w:rPr>
        <w:t>the calculation of HML factor</w:t>
      </w:r>
      <w:r>
        <w:rPr>
          <w:rFonts w:ascii="Century" w:hAnsi="Century"/>
        </w:rPr>
        <w:t xml:space="preserve"> is </w:t>
      </w:r>
      <w:proofErr w:type="gramStart"/>
      <w:r>
        <w:rPr>
          <w:rFonts w:ascii="Century" w:hAnsi="Century"/>
        </w:rPr>
        <w:t>that,</w:t>
      </w:r>
      <w:proofErr w:type="gramEnd"/>
      <w:r>
        <w:rPr>
          <w:rFonts w:ascii="Century" w:hAnsi="Century"/>
        </w:rPr>
        <w:t xml:space="preserve"> Fama and French impose </w:t>
      </w:r>
      <w:r w:rsidRPr="00C04A51">
        <w:rPr>
          <w:rFonts w:ascii="Century" w:hAnsi="Century"/>
          <w:b/>
          <w:bCs/>
          <w:color w:val="FF0000"/>
        </w:rPr>
        <w:t>a six-month gap</w:t>
      </w:r>
      <w:r w:rsidRPr="00A835C9">
        <w:rPr>
          <w:rFonts w:ascii="Century" w:hAnsi="Century"/>
          <w:color w:val="FF0000"/>
        </w:rPr>
        <w:t xml:space="preserve"> between the accounting data (book equity) and the HML portfolio formation.</w:t>
      </w:r>
      <w:r>
        <w:rPr>
          <w:rFonts w:ascii="Century" w:hAnsi="Century"/>
        </w:rPr>
        <w:t xml:space="preserve"> In particular, </w:t>
      </w:r>
      <w:r w:rsidR="00C04A51" w:rsidRPr="00C04A51">
        <w:rPr>
          <w:rFonts w:ascii="Century" w:hAnsi="Century" w:hint="eastAsia"/>
          <w:b/>
          <w:bCs/>
        </w:rPr>
        <w:t>形成期</w:t>
      </w:r>
      <w:proofErr w:type="spellStart"/>
      <w:r w:rsidRPr="00A835C9">
        <w:rPr>
          <w:rFonts w:ascii="Century" w:hAnsi="Century"/>
          <w:color w:val="5B9BD5" w:themeColor="accent1"/>
        </w:rPr>
        <w:t>Fama</w:t>
      </w:r>
      <w:proofErr w:type="spellEnd"/>
      <w:r w:rsidRPr="00A835C9">
        <w:rPr>
          <w:rFonts w:ascii="Century" w:hAnsi="Century"/>
          <w:color w:val="5B9BD5" w:themeColor="accent1"/>
        </w:rPr>
        <w:t xml:space="preserve"> and French form portfolios at the end of June in year </w:t>
      </w:r>
      <w:r w:rsidRPr="00A835C9">
        <w:rPr>
          <w:rFonts w:ascii="Century" w:hAnsi="Century"/>
          <w:i/>
          <w:iCs/>
          <w:color w:val="5B9BD5" w:themeColor="accent1"/>
        </w:rPr>
        <w:t>t</w:t>
      </w:r>
      <w:r w:rsidRPr="00A835C9">
        <w:rPr>
          <w:rFonts w:ascii="Century" w:hAnsi="Century"/>
          <w:color w:val="5B9BD5" w:themeColor="accent1"/>
        </w:rPr>
        <w:t>, with the accounting data from year t-1 end</w:t>
      </w:r>
      <w:r>
        <w:rPr>
          <w:rFonts w:ascii="Century" w:hAnsi="Century"/>
        </w:rPr>
        <w:t xml:space="preserve"> (more precisely, fiscal year ending in the calendar year t-1)</w:t>
      </w:r>
      <w:r w:rsidR="00CC12B1">
        <w:rPr>
          <w:rFonts w:ascii="Century" w:hAnsi="Century"/>
        </w:rPr>
        <w:t xml:space="preserve">. </w:t>
      </w:r>
      <w:r w:rsidR="004E7950">
        <w:rPr>
          <w:rFonts w:ascii="Century" w:hAnsi="Century" w:hint="eastAsia"/>
        </w:rPr>
        <w:t>在每年六月底利用去年年底的财会数据</w:t>
      </w:r>
      <w:r w:rsidR="00C04A51" w:rsidRPr="00C04A51">
        <w:rPr>
          <w:rFonts w:ascii="Century" w:hAnsi="Century" w:hint="eastAsia"/>
          <w:b/>
          <w:bCs/>
        </w:rPr>
        <w:t>持有期</w:t>
      </w:r>
      <w:r w:rsidR="00CC12B1" w:rsidRPr="00A835C9">
        <w:rPr>
          <w:rFonts w:ascii="Century" w:hAnsi="Century"/>
          <w:color w:val="5B9BD5" w:themeColor="accent1"/>
        </w:rPr>
        <w:t>The portfolios are held from July year t to June year t+1</w:t>
      </w:r>
      <w:r w:rsidR="00CC12B1" w:rsidRPr="00C04A51">
        <w:rPr>
          <w:rFonts w:ascii="Century" w:hAnsi="Century"/>
        </w:rPr>
        <w:t>, and are</w:t>
      </w:r>
      <w:r w:rsidR="00CC12B1" w:rsidRPr="00A835C9">
        <w:rPr>
          <w:rFonts w:ascii="Century" w:hAnsi="Century"/>
          <w:color w:val="5B9BD5" w:themeColor="accent1"/>
        </w:rPr>
        <w:t xml:space="preserve"> </w:t>
      </w:r>
      <w:r w:rsidR="00CC12B1" w:rsidRPr="00C04A51">
        <w:rPr>
          <w:rFonts w:ascii="Century" w:hAnsi="Century"/>
          <w:b/>
          <w:bCs/>
        </w:rPr>
        <w:t>rebalanced annually at the end of each June</w:t>
      </w:r>
      <w:r w:rsidR="00CC12B1" w:rsidRPr="00A835C9">
        <w:rPr>
          <w:rFonts w:ascii="Century" w:hAnsi="Century"/>
          <w:color w:val="5B9BD5" w:themeColor="accent1"/>
        </w:rPr>
        <w:t xml:space="preserve">. </w:t>
      </w:r>
      <w:r w:rsidR="00CC12B1">
        <w:rPr>
          <w:rFonts w:ascii="Century" w:hAnsi="Century"/>
        </w:rPr>
        <w:t xml:space="preserve">Why not form portfolios at the beginning of each January? </w:t>
      </w:r>
      <w:r w:rsidR="00CC12B1" w:rsidRPr="00C04A51">
        <w:rPr>
          <w:rFonts w:ascii="Century" w:hAnsi="Century"/>
          <w:u w:val="single"/>
        </w:rPr>
        <w:t xml:space="preserve">This is because firms’ accounting information is not readily available in January. </w:t>
      </w:r>
      <w:r w:rsidR="00CC12B1">
        <w:rPr>
          <w:rFonts w:ascii="Century" w:hAnsi="Century"/>
        </w:rPr>
        <w:t xml:space="preserve">It is important to note that our portfolios (especially for trading strategies) should be formed with public information. </w:t>
      </w:r>
      <w:r w:rsidR="00AB7853">
        <w:rPr>
          <w:rFonts w:ascii="Century" w:hAnsi="Century"/>
        </w:rPr>
        <w:t xml:space="preserve">By imposing a six-month gap between accounting data from annual report and portfolio formation, </w:t>
      </w:r>
      <w:r w:rsidR="00AB7853" w:rsidRPr="00C04A51">
        <w:rPr>
          <w:rFonts w:ascii="Century" w:hAnsi="Century"/>
          <w:u w:val="single"/>
        </w:rPr>
        <w:t>we can ensure that the book-to-market ratio is publicly available</w:t>
      </w:r>
      <w:r w:rsidR="00AB7853">
        <w:rPr>
          <w:rFonts w:ascii="Century" w:hAnsi="Century"/>
        </w:rPr>
        <w:t xml:space="preserve">. Similarly, when we are constructing trading strategies based on firms’ accounting data from </w:t>
      </w:r>
      <w:r w:rsidR="00AB7853" w:rsidRPr="00C04A51">
        <w:rPr>
          <w:rFonts w:ascii="Century" w:hAnsi="Century"/>
          <w:b/>
          <w:bCs/>
        </w:rPr>
        <w:t>Quarterly Report</w:t>
      </w:r>
      <w:r w:rsidR="00AB7853">
        <w:rPr>
          <w:rFonts w:ascii="Century" w:hAnsi="Century"/>
        </w:rPr>
        <w:t xml:space="preserve">, it is standard to impose a </w:t>
      </w:r>
      <w:r w:rsidR="00AB7853" w:rsidRPr="00C04A51">
        <w:rPr>
          <w:rFonts w:ascii="Century" w:hAnsi="Century"/>
          <w:u w:val="single"/>
        </w:rPr>
        <w:t>one-quarter gap</w:t>
      </w:r>
      <w:r w:rsidR="00AB7853">
        <w:rPr>
          <w:rFonts w:ascii="Century" w:hAnsi="Century"/>
        </w:rPr>
        <w:t xml:space="preserve"> between accounting data and portfolio formation.</w:t>
      </w:r>
    </w:p>
    <w:p w14:paraId="3A3DA4E3" w14:textId="09DCDD58" w:rsidR="0020504B" w:rsidRDefault="00EE47C9" w:rsidP="00E512DB">
      <w:pPr>
        <w:rPr>
          <w:rFonts w:ascii="Century" w:hAnsi="Century"/>
        </w:rPr>
      </w:pPr>
      <w:r>
        <w:rPr>
          <w:rFonts w:ascii="Century" w:hAnsi="Century" w:hint="eastAsia"/>
        </w:rPr>
        <w:t>阅读文档和基本信息花费</w:t>
      </w:r>
      <w:r>
        <w:rPr>
          <w:rFonts w:ascii="Century" w:hAnsi="Century" w:hint="eastAsia"/>
        </w:rPr>
        <w:t>20min</w:t>
      </w:r>
    </w:p>
    <w:p w14:paraId="7E36C726" w14:textId="5E1BC5A0" w:rsidR="00064777" w:rsidRDefault="00064777" w:rsidP="00E512DB">
      <w:pPr>
        <w:rPr>
          <w:rFonts w:ascii="Century" w:hAnsi="Century"/>
        </w:rPr>
      </w:pPr>
      <w:r>
        <w:rPr>
          <w:rFonts w:ascii="Century" w:hAnsi="Century" w:hint="eastAsia"/>
        </w:rPr>
        <w:lastRenderedPageBreak/>
        <w:t>正式开始跑代码</w:t>
      </w:r>
      <w:r>
        <w:rPr>
          <w:rFonts w:ascii="Century" w:hAnsi="Century" w:hint="eastAsia"/>
        </w:rPr>
        <w:t>30min</w:t>
      </w:r>
      <w:r w:rsidR="00EA3FFA">
        <w:rPr>
          <w:rFonts w:ascii="Century" w:hAnsi="Century" w:hint="eastAsia"/>
        </w:rPr>
        <w:t>网太烂了跑不了</w:t>
      </w:r>
      <w:r w:rsidR="00EA3FFA">
        <w:rPr>
          <mc:AlternateContent>
            <mc:Choice Requires="w16se">
              <w:rFonts w:ascii="Century" w:hAnsi="Century"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5"/>
          </mc:Choice>
          <mc:Fallback>
            <w:t>😅</w:t>
          </mc:Fallback>
        </mc:AlternateContent>
      </w:r>
    </w:p>
    <w:p w14:paraId="07F5C9E4" w14:textId="77777777" w:rsidR="004D0253" w:rsidRDefault="004D0253" w:rsidP="00E512DB">
      <w:pPr>
        <w:rPr>
          <w:rFonts w:ascii="Century" w:hAnsi="Century"/>
        </w:rPr>
      </w:pPr>
    </w:p>
    <w:p w14:paraId="43D13ED9" w14:textId="6057160D" w:rsidR="004D0253" w:rsidRDefault="004D0253" w:rsidP="00E512DB">
      <w:pPr>
        <w:rPr>
          <w:rFonts w:ascii="Century" w:hAnsi="Century"/>
        </w:rPr>
      </w:pPr>
      <w:r>
        <w:rPr>
          <w:rFonts w:ascii="Century" w:hAnsi="Century" w:hint="eastAsia"/>
        </w:rPr>
        <w:t>逻辑：</w:t>
      </w:r>
    </w:p>
    <w:p w14:paraId="5AB955D5" w14:textId="3DFB14E0" w:rsidR="004D0253" w:rsidRPr="00064777" w:rsidRDefault="004D0253" w:rsidP="00E512DB">
      <w:pPr>
        <w:rPr>
          <w:rFonts w:ascii="Century" w:hAnsi="Century" w:hint="eastAsia"/>
        </w:rPr>
      </w:pPr>
      <w:r>
        <w:rPr>
          <w:rFonts w:ascii="Century" w:hAnsi="Century" w:hint="eastAsia"/>
        </w:rPr>
        <w:t>SMB</w:t>
      </w:r>
      <w:r>
        <w:rPr>
          <w:rFonts w:ascii="Century" w:hAnsi="Century" w:hint="eastAsia"/>
        </w:rPr>
        <w:t>需要</w:t>
      </w:r>
      <w:r>
        <w:rPr>
          <w:rFonts w:ascii="Century" w:hAnsi="Century" w:hint="eastAsia"/>
        </w:rPr>
        <w:t xml:space="preserve"> firm</w:t>
      </w:r>
      <w:r>
        <w:rPr>
          <w:rFonts w:ascii="Century" w:hAnsi="Century"/>
        </w:rPr>
        <w:t xml:space="preserve">’s </w:t>
      </w:r>
      <w:r>
        <w:rPr>
          <w:rFonts w:ascii="Century" w:hAnsi="Century" w:hint="eastAsia"/>
        </w:rPr>
        <w:t xml:space="preserve">market </w:t>
      </w:r>
      <w:r>
        <w:rPr>
          <w:rFonts w:ascii="Century" w:hAnsi="Century"/>
        </w:rPr>
        <w:t xml:space="preserve">value of equity, HML </w:t>
      </w:r>
      <w:r>
        <w:rPr>
          <w:rFonts w:ascii="Century" w:hAnsi="Century" w:hint="eastAsia"/>
        </w:rPr>
        <w:t>需要</w:t>
      </w:r>
      <w:r w:rsidR="00634BBC">
        <w:rPr>
          <w:rFonts w:ascii="Century" w:hAnsi="Century" w:hint="eastAsia"/>
        </w:rPr>
        <w:t>firm</w:t>
      </w:r>
      <w:r w:rsidR="00634BBC">
        <w:rPr>
          <w:rFonts w:ascii="Century" w:hAnsi="Century"/>
        </w:rPr>
        <w:t>’s book</w:t>
      </w:r>
      <w:r w:rsidR="00634BBC">
        <w:rPr>
          <w:rFonts w:ascii="Century" w:hAnsi="Century" w:hint="eastAsia"/>
        </w:rPr>
        <w:t xml:space="preserve"> </w:t>
      </w:r>
      <w:r w:rsidR="00634BBC">
        <w:rPr>
          <w:rFonts w:ascii="Century" w:hAnsi="Century"/>
        </w:rPr>
        <w:t>value of equity</w:t>
      </w:r>
      <w:r w:rsidR="00634BBC">
        <w:rPr>
          <w:rFonts w:ascii="Century" w:hAnsi="Century"/>
        </w:rPr>
        <w:t>/</w:t>
      </w:r>
      <w:r w:rsidR="00634BBC" w:rsidRPr="00634BBC">
        <w:rPr>
          <w:rFonts w:ascii="Century" w:hAnsi="Century" w:hint="eastAsia"/>
        </w:rPr>
        <w:t xml:space="preserve"> </w:t>
      </w:r>
      <w:r w:rsidR="00634BBC">
        <w:rPr>
          <w:rFonts w:ascii="Century" w:hAnsi="Century" w:hint="eastAsia"/>
        </w:rPr>
        <w:t>firm</w:t>
      </w:r>
      <w:r w:rsidR="00634BBC">
        <w:rPr>
          <w:rFonts w:ascii="Century" w:hAnsi="Century"/>
        </w:rPr>
        <w:t xml:space="preserve">’s </w:t>
      </w:r>
      <w:r w:rsidR="00634BBC">
        <w:rPr>
          <w:rFonts w:ascii="Century" w:hAnsi="Century" w:hint="eastAsia"/>
        </w:rPr>
        <w:t xml:space="preserve">market </w:t>
      </w:r>
      <w:r w:rsidR="00634BBC">
        <w:rPr>
          <w:rFonts w:ascii="Century" w:hAnsi="Century"/>
        </w:rPr>
        <w:t>value of equity</w:t>
      </w:r>
      <w:r w:rsidR="00634BBC">
        <w:rPr>
          <w:rFonts w:ascii="Century" w:hAnsi="Century" w:hint="eastAsia"/>
        </w:rPr>
        <w:t>。</w:t>
      </w:r>
      <w:r w:rsidR="00634BBC">
        <w:rPr>
          <w:rFonts w:ascii="Century" w:hAnsi="Century" w:hint="eastAsia"/>
        </w:rPr>
        <w:t>BE</w:t>
      </w:r>
      <w:r w:rsidR="00634BBC">
        <w:rPr>
          <w:rFonts w:ascii="Century" w:hAnsi="Century" w:hint="eastAsia"/>
        </w:rPr>
        <w:t>需要用到年度财务报表数据，年度财报数据涉及</w:t>
      </w:r>
      <w:r w:rsidR="00634BBC">
        <w:rPr>
          <w:rFonts w:ascii="Century" w:hAnsi="Century"/>
        </w:rPr>
        <w:t>t-1</w:t>
      </w:r>
      <w:r w:rsidR="00634BBC">
        <w:rPr>
          <w:rFonts w:ascii="Century" w:hAnsi="Century" w:hint="eastAsia"/>
        </w:rPr>
        <w:t>的问题，今年内都用去年年末的数据。</w:t>
      </w:r>
    </w:p>
    <w:p w14:paraId="1D532EEC" w14:textId="77777777" w:rsidR="004D0253" w:rsidRDefault="004D0253" w:rsidP="008F7EF3">
      <w:pPr>
        <w:jc w:val="left"/>
        <w:rPr>
          <w:rFonts w:ascii="Century" w:hAnsi="Century"/>
          <w:b/>
          <w:bCs/>
        </w:rPr>
      </w:pPr>
    </w:p>
    <w:p w14:paraId="0DE11C76" w14:textId="7B4EE925" w:rsidR="002D46C4" w:rsidRDefault="00E512DB" w:rsidP="008F7EF3">
      <w:pPr>
        <w:jc w:val="left"/>
        <w:rPr>
          <w:rFonts w:ascii="Century" w:hAnsi="Century"/>
          <w:b/>
          <w:bCs/>
        </w:rPr>
      </w:pPr>
      <w:r w:rsidRPr="007F333A">
        <w:rPr>
          <w:rFonts w:ascii="Century" w:hAnsi="Century"/>
          <w:b/>
          <w:bCs/>
        </w:rPr>
        <w:t xml:space="preserve">Part </w:t>
      </w:r>
      <w:r w:rsidR="0020504B">
        <w:rPr>
          <w:rFonts w:ascii="Century" w:hAnsi="Century"/>
          <w:b/>
          <w:bCs/>
        </w:rPr>
        <w:t>2</w:t>
      </w:r>
      <w:r w:rsidRPr="007F333A">
        <w:rPr>
          <w:rFonts w:ascii="Century" w:hAnsi="Century"/>
          <w:b/>
          <w:bCs/>
        </w:rPr>
        <w:t xml:space="preserve">. </w:t>
      </w:r>
      <w:r w:rsidR="008F7EF3">
        <w:rPr>
          <w:rFonts w:ascii="Century" w:hAnsi="Century"/>
          <w:b/>
          <w:bCs/>
        </w:rPr>
        <w:t>Replication</w:t>
      </w:r>
    </w:p>
    <w:p w14:paraId="741F8259" w14:textId="7F6352EA" w:rsidR="00E512DB" w:rsidRDefault="00597960" w:rsidP="0020504B">
      <w:pPr>
        <w:jc w:val="left"/>
        <w:rPr>
          <w:rFonts w:ascii="Century" w:hAnsi="Century"/>
        </w:rPr>
      </w:pPr>
      <w:r>
        <w:rPr>
          <w:rFonts w:ascii="Century" w:hAnsi="Century"/>
        </w:rPr>
        <w:t>F</w:t>
      </w:r>
      <w:r w:rsidR="0020504B">
        <w:rPr>
          <w:rFonts w:ascii="Century" w:hAnsi="Century"/>
        </w:rPr>
        <w:t>irst</w:t>
      </w:r>
      <w:r>
        <w:rPr>
          <w:rFonts w:ascii="Century" w:hAnsi="Century"/>
        </w:rPr>
        <w:t>, you need to</w:t>
      </w:r>
      <w:r w:rsidR="0020504B" w:rsidRPr="00C04A51">
        <w:rPr>
          <w:rFonts w:ascii="Century" w:hAnsi="Century"/>
          <w:b/>
          <w:bCs/>
        </w:rPr>
        <w:t xml:space="preserve"> replicate monthly returns of SMB and HML factors during January 1970-December 20</w:t>
      </w:r>
      <w:r w:rsidR="00FA7383" w:rsidRPr="00C04A51">
        <w:rPr>
          <w:rFonts w:ascii="Century" w:hAnsi="Century" w:hint="eastAsia"/>
          <w:b/>
          <w:bCs/>
        </w:rPr>
        <w:t>23</w:t>
      </w:r>
      <w:r w:rsidR="0020504B" w:rsidRPr="00C04A51">
        <w:rPr>
          <w:rFonts w:ascii="Century" w:hAnsi="Century"/>
          <w:b/>
          <w:bCs/>
        </w:rPr>
        <w:t>.</w:t>
      </w:r>
      <w:r w:rsidR="0020504B">
        <w:rPr>
          <w:rFonts w:ascii="Century" w:hAnsi="Century"/>
        </w:rPr>
        <w:t xml:space="preserve"> </w:t>
      </w:r>
      <w:r w:rsidR="00551866">
        <w:rPr>
          <w:rFonts w:ascii="Century" w:hAnsi="Century"/>
        </w:rPr>
        <w:t>To assess your replication work</w:t>
      </w:r>
      <w:r w:rsidR="0020504B">
        <w:rPr>
          <w:rFonts w:ascii="Century" w:hAnsi="Century"/>
        </w:rPr>
        <w:t xml:space="preserve">, download the Fama French three factors from Professor French’s website and </w:t>
      </w:r>
      <w:r w:rsidR="0020504B" w:rsidRPr="00C04A51">
        <w:rPr>
          <w:rFonts w:ascii="Century" w:hAnsi="Century"/>
          <w:b/>
          <w:bCs/>
        </w:rPr>
        <w:t xml:space="preserve">check the correlation </w:t>
      </w:r>
      <w:r w:rsidR="0020504B">
        <w:rPr>
          <w:rFonts w:ascii="Century" w:hAnsi="Century"/>
        </w:rPr>
        <w:t xml:space="preserve">between your SMB/HML with </w:t>
      </w:r>
      <w:r w:rsidR="00551866">
        <w:rPr>
          <w:rFonts w:ascii="Century" w:hAnsi="Century"/>
        </w:rPr>
        <w:t>French’s</w:t>
      </w:r>
      <w:r w:rsidR="0020504B">
        <w:rPr>
          <w:rFonts w:ascii="Century" w:hAnsi="Century"/>
        </w:rPr>
        <w:t xml:space="preserve"> SMB/HML during January 1970-December 20</w:t>
      </w:r>
      <w:r w:rsidR="00FA7383">
        <w:rPr>
          <w:rFonts w:ascii="Century" w:hAnsi="Century" w:hint="eastAsia"/>
        </w:rPr>
        <w:t>23</w:t>
      </w:r>
      <w:r w:rsidR="0020504B">
        <w:rPr>
          <w:rFonts w:ascii="Century" w:hAnsi="Century"/>
        </w:rPr>
        <w:t xml:space="preserve">. </w:t>
      </w:r>
      <w:r w:rsidR="0020504B" w:rsidRPr="00C04A51">
        <w:rPr>
          <w:rFonts w:ascii="Century" w:hAnsi="Century"/>
          <w:u w:val="single"/>
        </w:rPr>
        <w:t>Finally, you</w:t>
      </w:r>
      <w:r w:rsidR="00A40EFC" w:rsidRPr="00C04A51">
        <w:rPr>
          <w:rFonts w:ascii="Century" w:hAnsi="Century"/>
          <w:u w:val="single"/>
        </w:rPr>
        <w:t xml:space="preserve"> should</w:t>
      </w:r>
      <w:r w:rsidR="0020504B" w:rsidRPr="00C04A51">
        <w:rPr>
          <w:rFonts w:ascii="Century" w:hAnsi="Century"/>
          <w:u w:val="single"/>
        </w:rPr>
        <w:t xml:space="preserve"> put your </w:t>
      </w:r>
      <w:r w:rsidR="00A40EFC" w:rsidRPr="00C04A51">
        <w:rPr>
          <w:rFonts w:ascii="Century" w:hAnsi="Century"/>
          <w:u w:val="single"/>
        </w:rPr>
        <w:t xml:space="preserve">monthly </w:t>
      </w:r>
      <w:r w:rsidR="0020504B" w:rsidRPr="00C04A51">
        <w:rPr>
          <w:rFonts w:ascii="Century" w:hAnsi="Century"/>
          <w:u w:val="single"/>
        </w:rPr>
        <w:t>SMB/HML together with SMB/HML</w:t>
      </w:r>
      <w:r w:rsidR="00A40EFC" w:rsidRPr="00C04A51">
        <w:rPr>
          <w:rFonts w:ascii="Century" w:hAnsi="Century"/>
          <w:u w:val="single"/>
        </w:rPr>
        <w:t xml:space="preserve"> from French’s data library in a excel file and show me the correlation coefficient</w:t>
      </w:r>
      <w:r w:rsidR="00A40EFC">
        <w:rPr>
          <w:rFonts w:ascii="Century" w:hAnsi="Century"/>
        </w:rPr>
        <w:t xml:space="preserve">. </w:t>
      </w:r>
      <w:r w:rsidR="0020504B">
        <w:rPr>
          <w:rFonts w:ascii="Century" w:hAnsi="Century"/>
        </w:rPr>
        <w:t xml:space="preserve">Make sure the correlation is </w:t>
      </w:r>
      <w:r w:rsidR="0020504B" w:rsidRPr="00C04A51">
        <w:rPr>
          <w:rFonts w:ascii="Century" w:hAnsi="Century"/>
          <w:b/>
          <w:bCs/>
        </w:rPr>
        <w:t>at least 0.9</w:t>
      </w:r>
      <w:r w:rsidR="00551866" w:rsidRPr="00C04A51">
        <w:rPr>
          <w:rFonts w:ascii="Century" w:hAnsi="Century"/>
          <w:b/>
          <w:bCs/>
        </w:rPr>
        <w:t xml:space="preserve">5/0.9 </w:t>
      </w:r>
      <w:r w:rsidR="00551866">
        <w:rPr>
          <w:rFonts w:ascii="Century" w:hAnsi="Century"/>
        </w:rPr>
        <w:t>for SMB/HML factors</w:t>
      </w:r>
      <w:r w:rsidR="0020504B">
        <w:rPr>
          <w:rFonts w:ascii="Century" w:hAnsi="Century"/>
        </w:rPr>
        <w:t xml:space="preserve"> before submitting the results</w:t>
      </w:r>
      <w:r w:rsidR="00551866">
        <w:rPr>
          <w:rFonts w:ascii="Century" w:hAnsi="Century"/>
        </w:rPr>
        <w:t xml:space="preserve"> (Ideally you could replicate both factors with correlation above 0.99)</w:t>
      </w:r>
      <w:r w:rsidR="0020504B">
        <w:rPr>
          <w:rFonts w:ascii="Century" w:hAnsi="Century"/>
        </w:rPr>
        <w:t>.</w:t>
      </w:r>
    </w:p>
    <w:p w14:paraId="77D89793" w14:textId="12568DDB" w:rsidR="00E512DB" w:rsidRDefault="00E512DB" w:rsidP="00E512DB">
      <w:pPr>
        <w:jc w:val="left"/>
        <w:rPr>
          <w:rFonts w:ascii="Century" w:hAnsi="Century"/>
        </w:rPr>
      </w:pPr>
    </w:p>
    <w:p w14:paraId="7F8874A2" w14:textId="2BED8D63" w:rsidR="00B840BC" w:rsidRDefault="00B840BC" w:rsidP="00B840BC">
      <w:pPr>
        <w:jc w:val="left"/>
        <w:rPr>
          <w:rFonts w:ascii="Century" w:hAnsi="Century"/>
          <w:b/>
          <w:bCs/>
        </w:rPr>
      </w:pPr>
      <w:r w:rsidRPr="007F333A">
        <w:rPr>
          <w:rFonts w:ascii="Century" w:hAnsi="Century"/>
          <w:b/>
          <w:bCs/>
        </w:rPr>
        <w:t xml:space="preserve">Part </w:t>
      </w:r>
      <w:r>
        <w:rPr>
          <w:rFonts w:ascii="Century" w:hAnsi="Century"/>
          <w:b/>
          <w:bCs/>
        </w:rPr>
        <w:t>3</w:t>
      </w:r>
      <w:r w:rsidRPr="007F333A">
        <w:rPr>
          <w:rFonts w:ascii="Century" w:hAnsi="Century"/>
          <w:b/>
          <w:bCs/>
        </w:rPr>
        <w:t xml:space="preserve">. </w:t>
      </w:r>
      <w:r>
        <w:rPr>
          <w:rFonts w:ascii="Century" w:hAnsi="Century"/>
          <w:b/>
          <w:bCs/>
        </w:rPr>
        <w:t>E</w:t>
      </w:r>
      <w:r>
        <w:rPr>
          <w:rFonts w:ascii="Century" w:hAnsi="Century" w:hint="eastAsia"/>
          <w:b/>
          <w:bCs/>
        </w:rPr>
        <w:t>xte</w:t>
      </w:r>
      <w:r>
        <w:rPr>
          <w:rFonts w:ascii="Century" w:hAnsi="Century"/>
          <w:b/>
          <w:bCs/>
        </w:rPr>
        <w:t>nd to Fama-French (2015) five factors</w:t>
      </w:r>
    </w:p>
    <w:p w14:paraId="31C22169" w14:textId="61D3CBEE" w:rsidR="00B840BC" w:rsidRDefault="00B840BC" w:rsidP="00B840BC">
      <w:pPr>
        <w:jc w:val="left"/>
        <w:rPr>
          <w:rFonts w:ascii="Century" w:hAnsi="Century"/>
        </w:rPr>
      </w:pPr>
      <w:r>
        <w:rPr>
          <w:rFonts w:ascii="Century" w:hAnsi="Century"/>
        </w:rPr>
        <w:t>As an additional exercise, please try to replicate Fama-French (2015) five factors (</w:t>
      </w:r>
      <w:r w:rsidRPr="00C04A51">
        <w:rPr>
          <w:rFonts w:ascii="Century" w:hAnsi="Century"/>
          <w:b/>
          <w:bCs/>
        </w:rPr>
        <w:t>monthly</w:t>
      </w:r>
      <w:r>
        <w:rPr>
          <w:rFonts w:ascii="Century" w:hAnsi="Century"/>
        </w:rPr>
        <w:t xml:space="preserve"> time-series). You can find download the original five factor data from WRDS or Prof. French’s website and check the correlation with your replication.</w:t>
      </w:r>
    </w:p>
    <w:p w14:paraId="288B3C54" w14:textId="77777777" w:rsidR="002306FA" w:rsidRPr="00E512DB" w:rsidRDefault="002306FA" w:rsidP="007D6291">
      <w:pPr>
        <w:jc w:val="left"/>
        <w:rPr>
          <w:rFonts w:ascii="Century" w:hAnsi="Century"/>
        </w:rPr>
      </w:pPr>
    </w:p>
    <w:sectPr w:rsidR="002306FA" w:rsidRPr="00E51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71F3B"/>
    <w:multiLevelType w:val="hybridMultilevel"/>
    <w:tmpl w:val="C42412B0"/>
    <w:lvl w:ilvl="0" w:tplc="0B8C41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432644"/>
    <w:multiLevelType w:val="hybridMultilevel"/>
    <w:tmpl w:val="9056BF10"/>
    <w:lvl w:ilvl="0" w:tplc="0B8C41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7555DD"/>
    <w:multiLevelType w:val="hybridMultilevel"/>
    <w:tmpl w:val="0CBAA740"/>
    <w:lvl w:ilvl="0" w:tplc="2B826AA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8815B3"/>
    <w:multiLevelType w:val="hybridMultilevel"/>
    <w:tmpl w:val="4B16DE06"/>
    <w:lvl w:ilvl="0" w:tplc="0B8C41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070319"/>
    <w:multiLevelType w:val="hybridMultilevel"/>
    <w:tmpl w:val="436A9FD2"/>
    <w:lvl w:ilvl="0" w:tplc="2B826AA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8EB58D6"/>
    <w:multiLevelType w:val="hybridMultilevel"/>
    <w:tmpl w:val="DC80CBA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0E12CF0"/>
    <w:multiLevelType w:val="hybridMultilevel"/>
    <w:tmpl w:val="B95A4FFE"/>
    <w:lvl w:ilvl="0" w:tplc="2B826AA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86E6ED5"/>
    <w:multiLevelType w:val="hybridMultilevel"/>
    <w:tmpl w:val="365E0B54"/>
    <w:lvl w:ilvl="0" w:tplc="2B826AA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06391094">
    <w:abstractNumId w:val="5"/>
  </w:num>
  <w:num w:numId="2" w16cid:durableId="900560381">
    <w:abstractNumId w:val="7"/>
  </w:num>
  <w:num w:numId="3" w16cid:durableId="1211965841">
    <w:abstractNumId w:val="6"/>
  </w:num>
  <w:num w:numId="4" w16cid:durableId="2074962735">
    <w:abstractNumId w:val="2"/>
  </w:num>
  <w:num w:numId="5" w16cid:durableId="1740209056">
    <w:abstractNumId w:val="4"/>
  </w:num>
  <w:num w:numId="6" w16cid:durableId="842667561">
    <w:abstractNumId w:val="3"/>
  </w:num>
  <w:num w:numId="7" w16cid:durableId="524370876">
    <w:abstractNumId w:val="0"/>
  </w:num>
  <w:num w:numId="8" w16cid:durableId="1156461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8B6"/>
    <w:rsid w:val="00005782"/>
    <w:rsid w:val="00064777"/>
    <w:rsid w:val="00087893"/>
    <w:rsid w:val="000A7C4E"/>
    <w:rsid w:val="00151F97"/>
    <w:rsid w:val="00157628"/>
    <w:rsid w:val="00191B1A"/>
    <w:rsid w:val="001B2855"/>
    <w:rsid w:val="0020504B"/>
    <w:rsid w:val="002306FA"/>
    <w:rsid w:val="002938B6"/>
    <w:rsid w:val="002D46C4"/>
    <w:rsid w:val="003409E5"/>
    <w:rsid w:val="00347273"/>
    <w:rsid w:val="003641C7"/>
    <w:rsid w:val="00385CAF"/>
    <w:rsid w:val="003C3FB4"/>
    <w:rsid w:val="003E3ABA"/>
    <w:rsid w:val="00400057"/>
    <w:rsid w:val="00460755"/>
    <w:rsid w:val="004D0253"/>
    <w:rsid w:val="004E7950"/>
    <w:rsid w:val="00551866"/>
    <w:rsid w:val="005766A1"/>
    <w:rsid w:val="00597960"/>
    <w:rsid w:val="00634BBC"/>
    <w:rsid w:val="00643A97"/>
    <w:rsid w:val="00643AD3"/>
    <w:rsid w:val="00712F2E"/>
    <w:rsid w:val="00762451"/>
    <w:rsid w:val="007749AB"/>
    <w:rsid w:val="00792292"/>
    <w:rsid w:val="007D6291"/>
    <w:rsid w:val="007F1464"/>
    <w:rsid w:val="007F333A"/>
    <w:rsid w:val="00824079"/>
    <w:rsid w:val="008B61BB"/>
    <w:rsid w:val="008F7EF3"/>
    <w:rsid w:val="009334B8"/>
    <w:rsid w:val="009A3A93"/>
    <w:rsid w:val="009C6454"/>
    <w:rsid w:val="009E67A7"/>
    <w:rsid w:val="00A1355D"/>
    <w:rsid w:val="00A40EFC"/>
    <w:rsid w:val="00A835C9"/>
    <w:rsid w:val="00AB7853"/>
    <w:rsid w:val="00AC1841"/>
    <w:rsid w:val="00B2683F"/>
    <w:rsid w:val="00B840BC"/>
    <w:rsid w:val="00C04A51"/>
    <w:rsid w:val="00CC12B1"/>
    <w:rsid w:val="00CE7D97"/>
    <w:rsid w:val="00D34E4C"/>
    <w:rsid w:val="00D47A7D"/>
    <w:rsid w:val="00D727A4"/>
    <w:rsid w:val="00E512DB"/>
    <w:rsid w:val="00E56379"/>
    <w:rsid w:val="00E954D5"/>
    <w:rsid w:val="00EA3FFA"/>
    <w:rsid w:val="00EE47C9"/>
    <w:rsid w:val="00F32195"/>
    <w:rsid w:val="00FA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E4ED"/>
  <w15:chartTrackingRefBased/>
  <w15:docId w15:val="{2C6379B0-DCC7-4581-BFEB-DFE279FC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7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683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2683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268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3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841</Words>
  <Characters>4798</Characters>
  <Application>Microsoft Office Word</Application>
  <DocSecurity>0</DocSecurity>
  <Lines>39</Lines>
  <Paragraphs>11</Paragraphs>
  <ScaleCrop>false</ScaleCrop>
  <Company>Microsoft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rbs</dc:creator>
  <cp:keywords/>
  <dc:description/>
  <cp:lastModifiedBy>chlexuan_amy@outlook.com</cp:lastModifiedBy>
  <cp:revision>25</cp:revision>
  <cp:lastPrinted>2019-10-28T07:31:00Z</cp:lastPrinted>
  <dcterms:created xsi:type="dcterms:W3CDTF">2017-09-01T10:47:00Z</dcterms:created>
  <dcterms:modified xsi:type="dcterms:W3CDTF">2024-10-26T04:32:00Z</dcterms:modified>
</cp:coreProperties>
</file>