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0" w:lineRule="auto" w:before="0" w:after="28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120"/>
        <w:gridCol w:w="3120"/>
        <w:gridCol w:w="3120"/>
      </w:tblGrid>
      <w:tr>
        <w:trPr>
          <w:trHeight w:hRule="exact" w:val="37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the appraisal problem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Purpose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Intended user of appraisal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Legal description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38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Type of appraisal report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4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Definition of market value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  <w:tr>
        <w:trPr>
          <w:trHeight w:hRule="exact" w:val="40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9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Property rights appraised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5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......................................................................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240" w:lineRule="auto" w:before="1002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1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8" w:right="1440" w:bottom="612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998720" cy="868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4" w:after="0"/>
        <w:ind w:left="2880" w:right="288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APPRAISAL REPORT OF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VACANT LAND LOCATED AT</w:t>
      </w:r>
    </w:p>
    <w:p>
      <w:pPr>
        <w:autoSpaceDN w:val="0"/>
        <w:autoSpaceDE w:val="0"/>
        <w:widowControl/>
        <w:spacing w:line="245" w:lineRule="auto" w:before="238" w:after="0"/>
        <w:ind w:left="2880" w:right="288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V/L QUEEN STREET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ESSEX (HARROW), ONTARIO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41320" cy="22021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9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PREPARED FOR:</w:t>
      </w:r>
    </w:p>
    <w:p>
      <w:pPr>
        <w:autoSpaceDN w:val="0"/>
        <w:autoSpaceDE w:val="0"/>
        <w:widowControl/>
        <w:spacing w:line="245" w:lineRule="auto" w:before="238" w:after="0"/>
        <w:ind w:left="3456" w:right="345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230" w:lineRule="auto" w:before="4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DATE OF VALUATION:</w:t>
      </w:r>
    </w:p>
    <w:p>
      <w:pPr>
        <w:autoSpaceDN w:val="0"/>
        <w:autoSpaceDE w:val="0"/>
        <w:widowControl/>
        <w:spacing w:line="230" w:lineRule="auto" w:before="2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January 9, 2023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PREPARED BY:</w:t>
      </w:r>
    </w:p>
    <w:p>
      <w:pPr>
        <w:autoSpaceDN w:val="0"/>
        <w:autoSpaceDE w:val="0"/>
        <w:widowControl/>
        <w:spacing w:line="230" w:lineRule="auto" w:before="4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Ryan Mancini, B.Comm, Msc., AACI, P.App.</w:t>
      </w:r>
    </w:p>
    <w:p>
      <w:pPr>
        <w:autoSpaceDN w:val="0"/>
        <w:autoSpaceDE w:val="0"/>
        <w:widowControl/>
        <w:spacing w:line="240" w:lineRule="auto" w:before="242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2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4" w:right="1440" w:bottom="612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96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Renaissance Valuations Limited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5060 Tecumseh Rd East, Suite 700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N8T 1C1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January 20, 2023</w:t>
      </w:r>
    </w:p>
    <w:p>
      <w:pPr>
        <w:autoSpaceDN w:val="0"/>
        <w:autoSpaceDE w:val="0"/>
        <w:widowControl/>
        <w:spacing w:line="245" w:lineRule="auto" w:before="238" w:after="0"/>
        <w:ind w:left="96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BMO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200 Ouellette Avenue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Windsor, 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N9A 1A5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Attention:  Jimmy Wong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Email:  jimmy1.wong@bmo.com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Re: V/L Queen Street, Essex (Harrow), Ontario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Reference/File No.: #2023-WE-002</w:t>
      </w:r>
    </w:p>
    <w:p>
      <w:pPr>
        <w:autoSpaceDN w:val="0"/>
        <w:autoSpaceDE w:val="0"/>
        <w:widowControl/>
        <w:spacing w:line="230" w:lineRule="auto" w:before="20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_____________________________________________________________________________</w:t>
      </w:r>
    </w:p>
    <w:p>
      <w:pPr>
        <w:autoSpaceDN w:val="0"/>
        <w:autoSpaceDE w:val="0"/>
        <w:widowControl/>
        <w:spacing w:line="245" w:lineRule="auto" w:before="202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Dear Mr. Wong: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accordance with the confirmed engagement dated January 9, 2023, we have appraised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above referenced property and provide an: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of Current Market Value of: $2,380,000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an Effective date as of: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Inspection Date:  January 9, 2023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purpose of the report is to develop an estimate of current market value of the subject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property for the intended use of a private current estimate of land value.</w:t>
      </w:r>
    </w:p>
    <w:p>
      <w:pPr>
        <w:autoSpaceDN w:val="0"/>
        <w:autoSpaceDE w:val="0"/>
        <w:widowControl/>
        <w:spacing w:line="245" w:lineRule="auto" w:before="10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estimate of value is as of the effective date and is subject to the authorized intended use,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assumptions and limiting conditions included in the report to which the reader’s attention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specifically directed.  The report is enclosed and must be read in its entirety. </w:t>
      </w:r>
    </w:p>
    <w:p>
      <w:pPr>
        <w:autoSpaceDN w:val="0"/>
        <w:autoSpaceDE w:val="0"/>
        <w:widowControl/>
        <w:spacing w:line="245" w:lineRule="auto" w:before="1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person or party other than the authorized intended user specifically identified herein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rely on this report without first obtaining written authorization from the author(s)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Such authorization is at the discretion of the author(s), and may only be issued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permission from the client of this report.</w:t>
      </w:r>
    </w:p>
    <w:p>
      <w:pPr>
        <w:autoSpaceDN w:val="0"/>
        <w:autoSpaceDE w:val="0"/>
        <w:widowControl/>
        <w:spacing w:line="245" w:lineRule="auto" w:before="10" w:after="0"/>
        <w:ind w:left="9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report is prepared in accordance with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Appraisal Practice (CUSPAP).</w:t>
      </w:r>
    </w:p>
    <w:p>
      <w:pPr>
        <w:autoSpaceDN w:val="0"/>
        <w:autoSpaceDE w:val="0"/>
        <w:widowControl/>
        <w:spacing w:line="240" w:lineRule="auto" w:before="32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96" w:right="48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Yours truly,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RENAISSANCE VALUATIONS LIMITED</w:t>
      </w:r>
    </w:p>
    <w:p>
      <w:pPr>
        <w:autoSpaceDN w:val="0"/>
        <w:autoSpaceDE w:val="0"/>
        <w:widowControl/>
        <w:spacing w:line="240" w:lineRule="auto" w:before="20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4560" cy="883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94" w:after="0"/>
        <w:ind w:left="96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Ryan Mancini, B.Comm, Msc., AACI, P.App.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AIC Membership #: 909678</w:t>
      </w:r>
    </w:p>
    <w:p>
      <w:pPr>
        <w:autoSpaceDN w:val="0"/>
        <w:autoSpaceDE w:val="0"/>
        <w:widowControl/>
        <w:spacing w:line="240" w:lineRule="auto" w:before="1014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4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DEFINITION OF THE APPRAISAL PROBLEM</w:t>
      </w:r>
    </w:p>
    <w:p>
      <w:pPr>
        <w:autoSpaceDN w:val="0"/>
        <w:autoSpaceDE w:val="0"/>
        <w:widowControl/>
        <w:spacing w:line="230" w:lineRule="auto" w:before="262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Purpose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estimate the current market value of the fee simple estate on a free and clear basis as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January 9, 2023.    The only intended use of this report is to provide a current market value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estimate for conventional primary financing not to exceed 75% loan to value ratio for BMO.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All other uses are denied without written permission.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Intended User of Appraisal</w:t>
      </w:r>
    </w:p>
    <w:p>
      <w:pPr>
        <w:autoSpaceDN w:val="0"/>
        <w:autoSpaceDE w:val="0"/>
        <w:widowControl/>
        <w:spacing w:line="245" w:lineRule="auto" w:before="238" w:after="0"/>
        <w:ind w:left="9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intended user is BMO.  The use of this report by any lender or any other user or party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not permitted without a Letter of Reliance.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Legal Description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PART LOTS 7 AND 8, PLAN 202, PARTS 1 AND 2, PLAN 12R-28780 TOWN OF ESSEX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Type of Appraisal Report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types include: </w:t>
      </w:r>
    </w:p>
    <w:p>
      <w:pPr>
        <w:autoSpaceDN w:val="0"/>
        <w:autoSpaceDE w:val="0"/>
        <w:widowControl/>
        <w:spacing w:line="230" w:lineRule="auto" w:before="62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Full Narrative - comprehensive and detailed;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Short Narrative - concise and briefly descriptive.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• Form - a standardized format combining check-off boxes and narrative comments. </w:t>
      </w:r>
    </w:p>
    <w:p>
      <w:pPr>
        <w:autoSpaceDN w:val="0"/>
        <w:autoSpaceDE w:val="0"/>
        <w:widowControl/>
        <w:spacing w:line="245" w:lineRule="auto" w:before="622" w:after="0"/>
        <w:ind w:left="96" w:right="9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instance, the report is a Short Narrative that is intended to comply with the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set forth under Definitions of the Canadian Uniform Standards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Appraisal Practice. Supporting documentation concerning the data, reasoning, and analyses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retained in the appraiser's file. The information contained in this report is specific to the needs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client and for the stated intended use. </w:t>
      </w:r>
    </w:p>
    <w:p>
      <w:pPr>
        <w:autoSpaceDN w:val="0"/>
        <w:autoSpaceDE w:val="0"/>
        <w:widowControl/>
        <w:spacing w:line="230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See “Scope” regarding the procedures and data collected to undertake this report</w:t>
      </w:r>
    </w:p>
    <w:p>
      <w:pPr>
        <w:autoSpaceDN w:val="0"/>
        <w:autoSpaceDE w:val="0"/>
        <w:widowControl/>
        <w:spacing w:line="240" w:lineRule="auto" w:before="368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5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Definition of Market Value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following is the definition of “Market Value” according to CUSPAP 2022:</w:t>
      </w:r>
    </w:p>
    <w:p>
      <w:pPr>
        <w:autoSpaceDN w:val="0"/>
        <w:autoSpaceDE w:val="0"/>
        <w:widowControl/>
        <w:spacing w:line="245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The most probable price, as of a specified date, in cash, or in terms equivalent to cash, or in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precisely revealed terms, for which the specified property rights should sell after reasonable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exposure in a competitive market under all conditions requisite to a fair sale, with the buyer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and the seller each acting prudently, knowledgeably, and for self-interest, assuming that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neither is under duress.</w:t>
      </w:r>
    </w:p>
    <w:p>
      <w:pPr>
        <w:autoSpaceDN w:val="0"/>
        <w:autoSpaceDE w:val="0"/>
        <w:widowControl/>
        <w:spacing w:line="245" w:lineRule="auto" w:before="430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 in this definition are the consummation of a sale as of a specified date and the passing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title from seller to buyer under conditions under which: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20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Buyer and seller are typically motivated;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parties are well informed or well advised, and each acting in what he considers his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own best interests;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reasonable time is allowed for exposure in the open market;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Payment is made in terms of cash in Canadian dollars or in terms of financial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arrangements comparable thereto; and </w:t>
      </w:r>
    </w:p>
    <w:p>
      <w:pPr>
        <w:autoSpaceDN w:val="0"/>
        <w:tabs>
          <w:tab w:pos="576" w:val="left"/>
        </w:tabs>
        <w:autoSpaceDE w:val="0"/>
        <w:widowControl/>
        <w:spacing w:line="240" w:lineRule="auto" w:before="1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price represents the normal consideration for the property sold unaffected by special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 creative financing or sales concessions granted by anyone associated with the sale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Property Rights Appraised</w:t>
      </w:r>
    </w:p>
    <w:p>
      <w:pPr>
        <w:autoSpaceDN w:val="0"/>
        <w:autoSpaceDE w:val="0"/>
        <w:widowControl/>
        <w:spacing w:line="230" w:lineRule="auto" w:before="238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Fee Simple is defined as: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 absolute fee; a fee without limitations to any particular class of heirs or restrictions, but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subject to the limitations of eminent domain, eschet, plice power and taxation.</w:t>
      </w:r>
    </w:p>
    <w:p>
      <w:pPr>
        <w:autoSpaceDN w:val="0"/>
        <w:autoSpaceDE w:val="0"/>
        <w:widowControl/>
        <w:spacing w:line="245" w:lineRule="auto" w:before="20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ownership interest being appraised is 100% of the fee simple estate or interest. There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no fractionla interests being considered or valued in this assignment.</w:t>
      </w:r>
    </w:p>
    <w:p>
      <w:pPr>
        <w:autoSpaceDN w:val="0"/>
        <w:autoSpaceDE w:val="0"/>
        <w:widowControl/>
        <w:spacing w:line="230" w:lineRule="auto" w:before="622" w:after="0"/>
        <w:ind w:left="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k;alksjdf;lsjdf;lksdjf;slkdfs;ldfkjsd;lfjsdf;lsjdf;sldfkjdfasdfsdfsadfsdfsdfsdfsdfsdfsdfsdf</w:t>
      </w:r>
    </w:p>
    <w:p>
      <w:pPr>
        <w:autoSpaceDN w:val="0"/>
        <w:autoSpaceDE w:val="0"/>
        <w:widowControl/>
        <w:spacing w:line="240" w:lineRule="auto" w:before="4260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6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67" w:lineRule="auto" w:before="0" w:after="0"/>
        <w:ind w:left="96" w:right="8928" w:firstLine="0"/>
        <w:jc w:val="left"/>
      </w:pP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19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22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23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24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25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26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27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28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29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30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31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>32</w:t>
      </w:r>
    </w:p>
    <w:p>
      <w:pPr>
        <w:autoSpaceDN w:val="0"/>
        <w:autoSpaceDE w:val="0"/>
        <w:widowControl/>
        <w:spacing w:line="240" w:lineRule="auto" w:before="2454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7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6" w:right="1440" w:bottom="61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312" w:lineRule="auto" w:before="0" w:after="0"/>
        <w:ind w:left="96" w:right="5904" w:firstLine="0"/>
        <w:jc w:val="left"/>
      </w:pP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This is the first paragraph asdfsdf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 xml:space="preserve">Normal enter </w:t>
      </w:r>
      <w:r>
        <w:br/>
      </w:r>
      <w:r>
        <w:rPr>
          <w:w w:val="101.05263559441818"/>
          <w:rFonts w:ascii="DejaVu Sans" w:hAnsi="DejaVu Sans" w:eastAsia="DejaVu Sans"/>
          <w:b w:val="0"/>
          <w:i w:val="0"/>
          <w:color w:val="000000"/>
          <w:sz w:val="19"/>
        </w:rPr>
        <w:t>This is a shif enter</w:t>
      </w:r>
    </w:p>
    <w:p>
      <w:pPr>
        <w:autoSpaceDN w:val="0"/>
        <w:autoSpaceDE w:val="0"/>
        <w:widowControl/>
        <w:spacing w:line="240" w:lineRule="auto" w:before="12522" w:after="0"/>
        <w:ind w:left="0" w:right="0" w:firstLine="0"/>
        <w:jc w:val="center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8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4459" cy="266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59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6" w:right="1440" w:bottom="612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