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Data organisation</w:t>
      </w:r>
    </w:p>
    <w:p w:rsidR="00000000" w:rsidDel="00000000" w:rsidP="00000000" w:rsidRDefault="00000000" w:rsidRPr="00000000" w14:paraId="0000000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open datasets will be organised into a structured project repository with clear folders for raw data, processed data, scripts, reference documents, and outputs. Each dataset will be given a consistent file naming convention, version label, source link, access date, and metadata summary. This helps the team track where each dataset comes from, what it contains, and how it is used in the system.</w:t>
      </w:r>
    </w:p>
    <w:p w:rsidR="00000000" w:rsidDel="00000000" w:rsidP="00000000" w:rsidRDefault="00000000" w:rsidRPr="00000000" w14:paraId="00000003">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Data cleaning</w:t>
      </w:r>
      <w:r w:rsidDel="00000000" w:rsidR="00000000" w:rsidRPr="00000000">
        <w:rPr>
          <w:rtl w:val="0"/>
        </w:rPr>
      </w:r>
    </w:p>
    <w:p w:rsidR="00000000" w:rsidDel="00000000" w:rsidP="00000000" w:rsidRDefault="00000000" w:rsidRPr="00000000" w14:paraId="0000000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use, datasets will be cleaned to improve consistency and usability. This includes checking missing values, removing duplicate records where necessary, correcting attribute mismatches, standardising field names, and confirming spatial layers use a consistent coordinate reference system. For example, building, rooftop, and solar-related datasets will be aligned so they can be joined correctly for analysis and system display.</w:t>
      </w:r>
    </w:p>
    <w:p w:rsidR="00000000" w:rsidDel="00000000" w:rsidP="00000000" w:rsidRDefault="00000000" w:rsidRPr="00000000" w14:paraId="00000006">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Data transformation</w:t>
      </w:r>
      <w:r w:rsidDel="00000000" w:rsidR="00000000" w:rsidRPr="00000000">
        <w:rPr>
          <w:rtl w:val="0"/>
        </w:rPr>
      </w:r>
    </w:p>
    <w:p w:rsidR="00000000" w:rsidDel="00000000" w:rsidP="00000000" w:rsidRDefault="00000000" w:rsidRPr="00000000" w14:paraId="00000008">
      <w:pPr>
        <w:spacing w:after="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After cleaning, datasets will be transformed into a format suitable for modelling and application use. Spatial datasets will be converted into unified GIS-ready formats such as GeoJSON or database-ready spatial tables. Building-level and rooftop-level attributes will be derived for the detail panel, 3D map display, and solar yield calculation. External benchmark datasets, such as APVI and SunSPOT, will be transformed into reference tables to support validation and comparison.</w:t>
      </w:r>
      <w:r w:rsidDel="00000000" w:rsidR="00000000" w:rsidRPr="00000000">
        <w:rPr>
          <w:rtl w:val="0"/>
        </w:rPr>
      </w:r>
    </w:p>
    <w:p w:rsidR="00000000" w:rsidDel="00000000" w:rsidP="00000000" w:rsidRDefault="00000000" w:rsidRPr="00000000" w14:paraId="00000009">
      <w:pPr>
        <w:spacing w:after="20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Data Sources (Open Datasets)</w:t>
      </w:r>
      <w:r w:rsidDel="00000000" w:rsidR="00000000" w:rsidRPr="00000000">
        <w:rPr>
          <w:rtl w:val="0"/>
        </w:rPr>
      </w:r>
    </w:p>
    <w:tbl>
      <w:tblPr>
        <w:tblStyle w:val="Table1"/>
        <w:tblW w:w="11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4"/>
        <w:gridCol w:w="1382"/>
        <w:gridCol w:w="1350"/>
        <w:gridCol w:w="1413"/>
        <w:gridCol w:w="1437"/>
        <w:gridCol w:w="2184"/>
        <w:tblGridChange w:id="0">
          <w:tblGrid>
            <w:gridCol w:w="3274"/>
            <w:gridCol w:w="1382"/>
            <w:gridCol w:w="1350"/>
            <w:gridCol w:w="1413"/>
            <w:gridCol w:w="1437"/>
            <w:gridCol w:w="218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Physical access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Frequency of source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Frequency of iteration system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Granularity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dd7ee" w:val="clear"/>
            <w:tcMar>
              <w:top w:w="100.0" w:type="dxa"/>
              <w:left w:w="120.0" w:type="dxa"/>
              <w:bottom w:w="100.0" w:type="dxa"/>
              <w:right w:w="120.0" w:type="dxa"/>
            </w:tcMar>
            <w:vAlign w:val="center"/>
          </w:tcPr>
          <w:p w:rsidR="00000000" w:rsidDel="00000000" w:rsidP="00000000" w:rsidRDefault="00000000" w:rsidRPr="00000000" w14:paraId="000000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Copyright / License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2023 Building Footprints — City of Melbourne</w:t>
            </w: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563c1"/>
                  <w:sz w:val="18"/>
                  <w:szCs w:val="18"/>
                  <w:u w:val="single"/>
                  <w:rtl w:val="0"/>
                </w:rPr>
                <w:t xml:space="preserve">https://data.melbourne.vic.gov.au/explore/dataset/2023-building-footprints/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API</w:t>
            </w:r>
            <w:r w:rsidDel="00000000" w:rsidR="00000000" w:rsidRPr="00000000">
              <w:rPr>
                <w:rtl w:val="0"/>
              </w:rPr>
            </w:r>
          </w:p>
          <w:p w:rsidR="00000000" w:rsidDel="00000000" w:rsidP="00000000" w:rsidRDefault="00000000" w:rsidRPr="00000000" w14:paraId="0000001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CSV / GeoJSON / Shapefile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Annual updates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Annual or per project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Per-building polygon with height &amp; floor count attributes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City of Melbourne — CC BY 4.0</w:t>
            </w: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City of Melbourne — Rooftop Project Open Data</w:t>
            </w: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sz w:val="20"/>
                <w:szCs w:val="20"/>
              </w:rPr>
            </w:pPr>
            <w:hyperlink r:id="rId9">
              <w:r w:rsidDel="00000000" w:rsidR="00000000" w:rsidRPr="00000000">
                <w:rPr>
                  <w:rFonts w:ascii="Times New Roman" w:cs="Times New Roman" w:eastAsia="Times New Roman" w:hAnsi="Times New Roman"/>
                  <w:color w:val="0563c1"/>
                  <w:sz w:val="18"/>
                  <w:szCs w:val="18"/>
                  <w:u w:val="single"/>
                  <w:rtl w:val="0"/>
                </w:rPr>
                <w:t xml:space="preserve">https://www.melbourne.vic.gov.au/mapping-our-roofs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download</w:t>
            </w: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GeoJSON / 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1E">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Static baseline (updated on new survey)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1F">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As needed / project 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20">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Per-rooftop polygon: usable/unusable classification, area (m²)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City of Melbourne — CC BY 4.0</w:t>
            </w: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BOM Daily Global Solar Exposure Grids</w:t>
            </w: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563c1"/>
                  <w:sz w:val="18"/>
                  <w:szCs w:val="18"/>
                  <w:u w:val="single"/>
                  <w:rtl w:val="0"/>
                </w:rPr>
                <w:t xml:space="preserve">http://www.bom.gov.au/climate/austmaps/about-solar-maps.shtml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download</w:t>
            </w: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(NetCDF / ASCII 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Daily updates; monthly climatology grids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Monthly refresh for modelling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5 km grid cells; daily MJ/m² across Australia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Commonwealth of Australia represented by the Bureau of Meteorology — Copyright Notice / Terms of Use</w:t>
            </w: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563c1"/>
                  <w:sz w:val="18"/>
                  <w:szCs w:val="18"/>
                  <w:u w:val="single"/>
                  <w:rtl w:val="0"/>
                </w:rPr>
                <w:t xml:space="preserve">www.bom.gov.au/copyright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APVI Solar Map — Rooftop PV Potential</w:t>
            </w: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563c1"/>
                  <w:sz w:val="18"/>
                  <w:szCs w:val="18"/>
                  <w:u w:val="single"/>
                  <w:rtl w:val="0"/>
                </w:rPr>
                <w:t xml:space="preserve">https://pv-map.apvi.org.au/</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Interactive web map</w:t>
            </w: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Postcode-level 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Quarterly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Quarterly system update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Postcode-level installed capacity (kW); monthly generation by orientation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APVI / UNSW — CC BY 3.0 AU</w:t>
            </w: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563c1"/>
                  <w:sz w:val="18"/>
                  <w:szCs w:val="18"/>
                  <w:u w:val="single"/>
                  <w:rtl w:val="0"/>
                </w:rPr>
                <w:t xml:space="preserve">creativecommons.org/licenses/by/3.0/au/</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SunSPOT — UNSW/APVI Rooftop Solar Calculator</w:t>
            </w: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563c1"/>
                  <w:sz w:val="18"/>
                  <w:szCs w:val="18"/>
                  <w:u w:val="single"/>
                  <w:rtl w:val="0"/>
                </w:rPr>
                <w:t xml:space="preserve">https://pv-map.apvi.org.au/sunspot/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Web application</w:t>
            </w: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(reference benchmark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Updated with APVI releases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Quarterly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Per-address annual kWh estimate with shading loss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APVI / UNSW — CC BY 3.0 AU</w:t>
            </w: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0563c1"/>
                  <w:sz w:val="18"/>
                  <w:szCs w:val="18"/>
                  <w:u w:val="single"/>
                  <w:rtl w:val="0"/>
                </w:rPr>
                <w:t xml:space="preserve">creativecommons.org/licenses/by/3.0/au/</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City of Melbourne 3D Point Cloud 2018</w:t>
            </w: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0"/>
                <w:szCs w:val="20"/>
              </w:rPr>
            </w:pPr>
            <w:hyperlink r:id="rId17">
              <w:r w:rsidDel="00000000" w:rsidR="00000000" w:rsidRPr="00000000">
                <w:rPr>
                  <w:rFonts w:ascii="Times New Roman" w:cs="Times New Roman" w:eastAsia="Times New Roman" w:hAnsi="Times New Roman"/>
                  <w:color w:val="0563c1"/>
                  <w:sz w:val="18"/>
                  <w:szCs w:val="18"/>
                  <w:u w:val="single"/>
                  <w:rtl w:val="0"/>
                </w:rPr>
                <w:t xml:space="preserve">https://data.melbourne.vic.gov.au/explore/dataset/city-of-melbourne-3d-point-cloud-2018/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download</w:t>
            </w: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(.las / .laz files)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2">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Static (2018 capture)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3">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As needed / project 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4">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7.5 cm resolution LiDAR; per-building point 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City of Melbourne — CC BY 4.0</w:t>
            </w: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sz w:val="20"/>
                <w:szCs w:val="20"/>
              </w:rPr>
            </w:pPr>
            <w:hyperlink r:id="rId18">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City of Melbourne 3D Textured Mesh (Photomesh) 2018</w:t>
            </w: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sz w:val="20"/>
                <w:szCs w:val="20"/>
              </w:rPr>
            </w:pPr>
            <w:hyperlink r:id="rId19">
              <w:r w:rsidDel="00000000" w:rsidR="00000000" w:rsidRPr="00000000">
                <w:rPr>
                  <w:rFonts w:ascii="Times New Roman" w:cs="Times New Roman" w:eastAsia="Times New Roman" w:hAnsi="Times New Roman"/>
                  <w:color w:val="0563c1"/>
                  <w:sz w:val="18"/>
                  <w:szCs w:val="18"/>
                  <w:u w:val="single"/>
                  <w:rtl w:val="0"/>
                </w:rPr>
                <w:t xml:space="preserve">https://data.melbourne.vic.gov.au/explore/dataset/city-of-melbourne-3d-textured-mesh-photomesh-2018/</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Direct download</w:t>
            </w: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(.obj multi-LOD mesh)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Static (2018 capture)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C">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As needed / project 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D">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Per-building mesh; detail levels L13–L20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City of Melbourne — CC BY 4.0</w:t>
            </w: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sz w:val="20"/>
                <w:szCs w:val="20"/>
              </w:rPr>
            </w:pPr>
            <w:hyperlink r:id="rId20">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Property Level Energy Consumption (CSIRO Model)</w:t>
            </w: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0563c1"/>
                  <w:sz w:val="18"/>
                  <w:szCs w:val="18"/>
                  <w:u w:val="single"/>
                  <w:rtl w:val="0"/>
                </w:rPr>
                <w:t xml:space="preserve">https://data.melbourne.vic.gov.au/explore/dataset/property-level-energy-consumption-modelled-on-building-attributes-baseline-2011-/</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API</w:t>
            </w: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CSV download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Static (2011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As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Per-building annual energy consumption (MJ); building age, use, floor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City of Melbourne / CSIRO — CC BY 4.0</w:t>
            </w: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Clean Energy Regulator — PV Installation by Postcode (via APVI)</w:t>
            </w: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0563c1"/>
                  <w:sz w:val="18"/>
                  <w:szCs w:val="18"/>
                  <w:u w:val="single"/>
                  <w:rtl w:val="0"/>
                </w:rPr>
                <w:t xml:space="preserve">https://pv-map.apvi.org.au/historical</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CSV download</w:t>
            </w: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(postcode-level via APVI)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Monthly updates from 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Quarterly system refresh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Monthly installed capacity (kW) per postcode; system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Commonwealth of Australia — CC BY 4.0</w:t>
            </w: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color w:val="0563c1"/>
                  <w:sz w:val="18"/>
                  <w:szCs w:val="18"/>
                  <w:u w:val="single"/>
                  <w:rtl w:val="0"/>
                </w:rPr>
                <w:t xml:space="preserve">creativecommons.org/licenses/by/4.0/</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APVI — Solar Potential of Australian Housing Stock (2024)</w:t>
            </w: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0563c1"/>
                  <w:sz w:val="18"/>
                  <w:szCs w:val="18"/>
                  <w:u w:val="single"/>
                  <w:rtl w:val="0"/>
                </w:rPr>
                <w:t xml:space="preserve">https://apvi.org.au/wp-content/uploads/2024/04/Solar-potential-of-Australian-housing-stock-published-16-4-24.pdf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PDF download</w:t>
            </w: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(public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One-off (April 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Static reference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State-level scenario data (50%/100% rooftop penetration by 2050)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APVI — All rights reserved</w:t>
            </w: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rPr>
            </w:pPr>
            <w:hyperlink r:id="rId26">
              <w:r w:rsidDel="00000000" w:rsidR="00000000" w:rsidRPr="00000000">
                <w:rPr>
                  <w:rFonts w:ascii="Times New Roman" w:cs="Times New Roman" w:eastAsia="Times New Roman" w:hAnsi="Times New Roman"/>
                  <w:color w:val="0563c1"/>
                  <w:sz w:val="18"/>
                  <w:szCs w:val="18"/>
                  <w:u w:val="single"/>
                  <w:rtl w:val="0"/>
                </w:rPr>
                <w:t xml:space="preserve">apvi.org.au/</w:t>
              </w:r>
            </w:hyperlink>
            <w:r w:rsidDel="00000000" w:rsidR="00000000" w:rsidRPr="00000000">
              <w:rPr>
                <w:rtl w:val="0"/>
              </w:rPr>
            </w:r>
          </w:p>
        </w:tc>
      </w:tr>
    </w:tbl>
    <w:p w:rsidR="00000000" w:rsidDel="00000000" w:rsidP="00000000" w:rsidRDefault="00000000" w:rsidRPr="00000000" w14:paraId="0000006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Iteration 1 Feature: 3D City Map, Building Solar Details &amp; Annual Yield Estimate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an MVP that enables users to explore Melbourne’s 3D cityscape, inspect building-level rooftop solar information, and view an estimated annual solar energy yield.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Datasets &amp; Fields Used:</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 Building Footprints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geometry, structure_id, structure_extrusion, address/basic building attributes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base building geometry and simplified 3D extrusion.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City of Melbourne — Rooftop Project Open Data</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rooftop usability class, usable roof area, roof polygon attributes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rooftop highlight and building-level usable area display.</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BOM Solar Irradiance Data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PSH / solar exposure related values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solar exposure score and annual kWh calculation.</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APVI Solar Map — Rooftop PV Potential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Rooftop PV potential / installed solar reference values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support solar potential interpretation and kWh estimate benchmarking.</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SunSPOT — UNSW/APVI Rooftop Solar Calculator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Per-address annual kWh benchmark values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validate E3 annual kWh calculation results3D Textured Mesh (optional visual layer)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both"/>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Data Processing Steps:</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Standardise all spatial datasets into a unified coordinate system for web map display and attribute joins.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 2023 Building Footprints as the base building layer for map interaction and simplified 3D extrusion.</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Join Rooftop Project data to buildings using spatial or building-level matching to retrieve usable/unusable rooftop classification and usable roof area.</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 building-level attributes for the detail panel, including address, roof type, floor/storey information, and usable roof area.</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or assign Melbourne PSH values from BOM solar irradiance datasets for use in solar exposure scoring and annual kWh calculation.</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annual solar yield using the formula defined in E3 and store the output as building-level attributes for panel display.</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425" w:right="0" w:hanging="4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Publish processed building-level outputs to the application database or API for E1 map rendering and E2/E3 detail panel display.</w:t>
      </w:r>
    </w:p>
    <w:p w:rsidR="00000000" w:rsidDel="00000000" w:rsidP="00000000" w:rsidRDefault="00000000" w:rsidRPr="00000000" w14:paraId="0000008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E1: </w:t>
      </w:r>
    </w:p>
    <w:p w:rsidR="00000000" w:rsidDel="00000000" w:rsidP="00000000" w:rsidRDefault="00000000" w:rsidRPr="00000000" w14:paraId="000000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Building Footprints; </w:t>
      </w:r>
    </w:p>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Melbourne Rooftop Project Open Data</w:t>
      </w:r>
    </w:p>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E2: </w:t>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2023 Building Footprints;</w:t>
      </w:r>
    </w:p>
    <w:p w:rsidR="00000000" w:rsidDel="00000000" w:rsidP="00000000" w:rsidRDefault="00000000" w:rsidRPr="00000000" w14:paraId="0000008E">
      <w:pPr>
        <w:jc w:val="left"/>
        <w:rPr>
          <w:rFonts w:ascii="Times New Roman" w:cs="Times New Roman" w:eastAsia="Times New Roman" w:hAnsi="Times New Roman"/>
          <w:sz w:val="24"/>
          <w:szCs w:val="24"/>
        </w:rPr>
      </w:pPr>
      <w:bookmarkStart w:colFirst="0" w:colLast="0" w:name="_heading=h.iw9q9mj9jw2b" w:id="0"/>
      <w:bookmarkEnd w:id="0"/>
      <w:r w:rsidDel="00000000" w:rsidR="00000000" w:rsidRPr="00000000">
        <w:rPr>
          <w:rFonts w:ascii="Times New Roman" w:cs="Times New Roman" w:eastAsia="Times New Roman" w:hAnsi="Times New Roman"/>
          <w:sz w:val="24"/>
          <w:szCs w:val="24"/>
          <w:rtl w:val="0"/>
        </w:rPr>
        <w:t xml:space="preserve">City of Melbourne-Rooftop Project Open Data; </w:t>
      </w:r>
    </w:p>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 Solar Irradiance Data</w:t>
      </w:r>
    </w:p>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E3: </w:t>
      </w:r>
    </w:p>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of Melbourne -Rooftop Project Open Data; </w:t>
      </w:r>
    </w:p>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 Solar Irradiance Data; </w:t>
      </w:r>
    </w:p>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APVI Solar Map-Rooftop PV Potential; </w:t>
      </w:r>
    </w:p>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SunSPOT -UNSW/APVI Rooftop Solar Calculator</w:t>
      </w:r>
    </w:p>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Ethical Issues</w:t>
      </w:r>
    </w:p>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uses public open data rather than personal user-submitted data, so the ethical risk is lower than in many AI systems. However, ethical responsibility is still important. The system should not overstate the accuracy of rooftop usability or solar yield estimates, because these outputs are intended to support early decision-making rather than replace a professional solar assessment. Results should therefore be presented as indicative estimates, with clear explanation of assumptions, limitations, and benchmark comparisons.</w:t>
      </w:r>
    </w:p>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ethical issue is fairness in interpretation. Some buildings may appear less suitable for solar installation due to data limitations, simplified modelling, or outdated source data. To reduce this risk, the project should communicate uncertainty clearly and avoid framing system outputs as final judgments. This is especially important if the outputs influence financial or environmental decisions by property owners.</w:t>
      </w:r>
    </w:p>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AI-based methods are introduced in later stages, the team should also consider algorithmic bias, model transparency, and explainability. Any AI-supported recommendation should be understandable, reviewable, and justifiable to users.</w:t>
      </w:r>
    </w:p>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Legal Issues</w:t>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project relies on multiple open datasets, legal compliance mainly relates to licensing, attribution, and permitted reuse. Each dataset must be used according to its published copyright or licence conditions. For this reason, source ownership, licence type, and attribution requirements are recorded in the DMP tables. Datasets released under Creative Commons licences can generally be reused with attribution, while benchmark reports or web tools may have more limited reuse conditions.</w:t>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must also ensure that data use does not misrepresent the original providers. Government and institutional datasets should be cited accurately, and derived outputs should not imply official endorsement by the source organisations. In addition, if the application is later deployed publicly, the team should verify that all visualisations, downloads, and derived calculations remain within the allowed terms of use.</w:t>
      </w:r>
    </w:p>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Privacy Issues</w:t>
      </w: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mainly uses building-level, rooftop-level, postcode-level, and environmental open data, so it does not directly process sensitive personal information. However, some datasets may still be linked to specific addresses or identifiable properties, especially when annual energy estimates are shown at address level. For this reason, the system should be careful not to expose unnecessary identifying detail or create the impression of profiling individual households.</w:t>
      </w:r>
    </w:p>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can be protected by limiting the display of non-essential attributes, using the data only for the stated project purpose, and avoiding the combination of open datasets in ways that reveal information beyond their original intention. If any future version of the project includes user accounts, user location, or personalised recommendations, then stronger privacy protections, consent processes, and access controls would be required.</w:t>
      </w:r>
    </w:p>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Critical reflection on modelling and analysis</w:t>
      </w:r>
    </w:p>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modelling approach in this project is useful for rapid comparison and early-stage planning, but it also has clear limitations. For example, the solar yield calculation depends on simplified assumptions about rooftop suitability, solar exposure, and benchmark calibration. It does not capture every real-world factor, such as temporary shading, equipment placement, maintenance issues, or detailed engineering constraints.</w:t>
      </w:r>
    </w:p>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use of multiple datasets with different scales and update frequencies may introduce inconsistency. Building footprints are detailed at the polygon level, while some solar datasets are only available at postcode or grid level. This means the final estimate is partly a combination of precise spatial data and broader reference data. A critical interpretation of the outputs is therefore necessary. The system is most valuable as a planning and exploration tool, not as a substitute for formal technical assessment.</w:t>
      </w:r>
    </w:p>
    <w:sectPr>
      <w:pgSz w:h="15840" w:w="12240"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12" w:default="1">
    <w:name w:val="Default Paragraph Font"/>
    <w:uiPriority w:val="0"/>
    <w:semiHidden w:val="1"/>
  </w:style>
  <w:style w:type="table" w:styleId="11" w:default="1">
    <w:name w:val="Normal Table"/>
    <w:uiPriority w:val="0"/>
    <w:semiHidden w:val="1"/>
    <w:qFormat w:val="1"/>
    <w:tblPr>
      <w:tblCellMar>
        <w:top w:w="0.0" w:type="dxa"/>
        <w:left w:w="108.0" w:type="dxa"/>
        <w:bottom w:w="0.0" w:type="dxa"/>
        <w:right w:w="108.0" w:type="dxa"/>
      </w:tblCellMar>
    </w:tblPr>
  </w:style>
  <w:style w:type="paragraph" w:styleId="8">
    <w:name w:val="footnote text"/>
    <w:link w:val="18"/>
    <w:uiPriority w:val="99"/>
    <w:semiHidden w:val="1"/>
    <w:unhideWhenUsed w:val="1"/>
    <w:pPr>
      <w:spacing w:after="0" w:line="240" w:lineRule="auto"/>
    </w:pPr>
    <w:rPr>
      <w:rFonts w:ascii="Arial" w:cs="Arial" w:eastAsia="Arial" w:hAnsi="Arial"/>
      <w:sz w:val="20"/>
      <w:szCs w:val="20"/>
    </w:rPr>
  </w:style>
  <w:style w:type="paragraph" w:styleId="9">
    <w:name w:val="Normal (Web)"/>
    <w:basedOn w:val="1"/>
    <w:uiPriority w:val="0"/>
    <w:rPr>
      <w:sz w:val="24"/>
    </w:rPr>
  </w:style>
  <w:style w:type="character" w:styleId="13">
    <w:name w:val="Strong"/>
    <w:basedOn w:val="12"/>
    <w:uiPriority w:val="0"/>
    <w:qFormat w:val="1"/>
    <w:rPr>
      <w:b w:val="1"/>
    </w:rPr>
  </w:style>
  <w:style w:type="character" w:styleId="14">
    <w:name w:val="Hyperlink"/>
    <w:uiPriority w:val="99"/>
    <w:unhideWhenUsed w:val="1"/>
    <w:rPr>
      <w:color w:val="0563c1"/>
      <w:u w:val="single"/>
    </w:rPr>
  </w:style>
  <w:style w:type="character" w:styleId="15">
    <w:name w:val="HTML Code"/>
    <w:basedOn w:val="12"/>
    <w:uiPriority w:val="0"/>
    <w:rPr>
      <w:rFonts w:ascii="Courier New" w:hAnsi="Courier New"/>
      <w:sz w:val="20"/>
    </w:rPr>
  </w:style>
  <w:style w:type="character" w:styleId="16">
    <w:name w:val="footnote reference"/>
    <w:uiPriority w:val="99"/>
    <w:semiHidden w:val="1"/>
    <w:unhideWhenUsed w:val="1"/>
    <w:rPr>
      <w:vertAlign w:val="superscript"/>
    </w:rPr>
  </w:style>
  <w:style w:type="paragraph" w:styleId="17">
    <w:name w:val="List Paragraph"/>
    <w:uiPriority w:val="0"/>
    <w:qFormat w:val="1"/>
    <w:rPr>
      <w:rFonts w:ascii="Arial" w:cs="Arial" w:eastAsia="Arial" w:hAnsi="Arial"/>
      <w:sz w:val="20"/>
      <w:szCs w:val="20"/>
    </w:rPr>
  </w:style>
  <w:style w:type="character" w:styleId="18" w:customStyle="1">
    <w:name w:val="Footnote Text Char"/>
    <w:link w:val="8"/>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creativecommons.org/licenses/by/4.0/" TargetMode="External"/><Relationship Id="rId22" Type="http://schemas.openxmlformats.org/officeDocument/2006/relationships/hyperlink" Target="http://creativecommons.org/licenses/by/4.0/" TargetMode="External"/><Relationship Id="rId21" Type="http://schemas.openxmlformats.org/officeDocument/2006/relationships/hyperlink" Target="https://data.melbourne.vic.gov.au/explore/dataset/property-level-energy-consumption-modelled-on-building-attributes-baseline-2011-/" TargetMode="External"/><Relationship Id="rId24" Type="http://schemas.openxmlformats.org/officeDocument/2006/relationships/hyperlink" Target="http://creativecommons.org/licenses/by/4.0/" TargetMode="External"/><Relationship Id="rId23" Type="http://schemas.openxmlformats.org/officeDocument/2006/relationships/hyperlink" Target="https://pv-map.apvi.org.au/historic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elbourne.vic.gov.au/mapping-our-roofs" TargetMode="External"/><Relationship Id="rId26" Type="http://schemas.openxmlformats.org/officeDocument/2006/relationships/hyperlink" Target="http://apvi.org.au/" TargetMode="External"/><Relationship Id="rId25" Type="http://schemas.openxmlformats.org/officeDocument/2006/relationships/hyperlink" Target="https://apvi.org.au/wp-content/uploads/2024/04/Solar-potential-of-Australian-housing-stock-published-16-4-24.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melbourne.vic.gov.au/explore/dataset/2023-building-footprints/" TargetMode="External"/><Relationship Id="rId8" Type="http://schemas.openxmlformats.org/officeDocument/2006/relationships/hyperlink" Target="http://creativecommons.org/licenses/by/4.0/" TargetMode="External"/><Relationship Id="rId11" Type="http://schemas.openxmlformats.org/officeDocument/2006/relationships/hyperlink" Target="http://www.bom.gov.au/climate/austmaps/about-solar-maps.shtml" TargetMode="External"/><Relationship Id="rId10" Type="http://schemas.openxmlformats.org/officeDocument/2006/relationships/hyperlink" Target="http://creativecommons.org/licenses/by/4.0/" TargetMode="External"/><Relationship Id="rId13" Type="http://schemas.openxmlformats.org/officeDocument/2006/relationships/hyperlink" Target="https://pv-map.apvi.org.au/" TargetMode="External"/><Relationship Id="rId12" Type="http://schemas.openxmlformats.org/officeDocument/2006/relationships/hyperlink" Target="http://www.bom.gov.au/copyright" TargetMode="External"/><Relationship Id="rId15" Type="http://schemas.openxmlformats.org/officeDocument/2006/relationships/hyperlink" Target="https://pv-map.apvi.org.au/sunspot/" TargetMode="External"/><Relationship Id="rId14" Type="http://schemas.openxmlformats.org/officeDocument/2006/relationships/hyperlink" Target="http://creativecommons.org/licenses/by/3.0/au/" TargetMode="External"/><Relationship Id="rId17" Type="http://schemas.openxmlformats.org/officeDocument/2006/relationships/hyperlink" Target="https://data.melbourne.vic.gov.au/explore/dataset/city-of-melbourne-3d-point-cloud-2018/" TargetMode="External"/><Relationship Id="rId16" Type="http://schemas.openxmlformats.org/officeDocument/2006/relationships/hyperlink" Target="http://creativecommons.org/licenses/by/3.0/au/" TargetMode="External"/><Relationship Id="rId19" Type="http://schemas.openxmlformats.org/officeDocument/2006/relationships/hyperlink" Target="https://data.melbourne.vic.gov.au/explore/dataset/city-of-melbourne-3d-textured-mesh-photomesh-2018/" TargetMode="External"/><Relationship Id="rId18" Type="http://schemas.openxmlformats.org/officeDocument/2006/relationships/hyperlink" Target="http://creativecommons.org/licenses/by/4.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3Y0fYE+i8IzByjQ+m4oSjNo9/w==">CgMxLjAyDmguaXc5cTltajlqdzJiOAByITFqNTNIUkR5Q3dmbzlFUnpfZVdXUjJHck10TU5saGQxaw==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2026-03-29T12:26:00Z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eyJoZGlkIjoiM2NjYzNiYzk2OTQxNzdhMzg4NzIyNDE1YzVjY2RhOWQiLCJ1c2VySWQiOiIyOTcxMTczODYifQ==</vt:lpwstr>
  </property>
  <property fmtid="{D5CDD505-2E9C-101B-9397-08002B2CF9AE}" pid="3" name="KSOProductBuildVer">
    <vt:lpwstr>2052-12.1.0.25225</vt:lpwstr>
  </property>
  <property fmtid="{D5CDD505-2E9C-101B-9397-08002B2CF9AE}" pid="4" name="ICV">
    <vt:lpwstr>BEB5CF63B21C412A9ED81028A56FE41F_13</vt:lpwstr>
  </property>
</Properties>
</file>