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95FC" w14:textId="42CCEEBD" w:rsidR="00D1474C" w:rsidRDefault="004625FE">
      <w:r>
        <w:t xml:space="preserve"> </w:t>
      </w:r>
      <w:r>
        <w:rPr>
          <w:noProof/>
        </w:rPr>
        <w:drawing>
          <wp:inline distT="0" distB="0" distL="0" distR="0" wp14:anchorId="350AE827" wp14:editId="7E78F702">
            <wp:extent cx="3222172" cy="2020363"/>
            <wp:effectExtent l="0" t="0" r="0" b="0"/>
            <wp:docPr id="2" name="Picture 2" descr="Image result for kicksta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ickstarte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4867" cy="2053404"/>
                    </a:xfrm>
                    <a:prstGeom prst="rect">
                      <a:avLst/>
                    </a:prstGeom>
                    <a:noFill/>
                    <a:ln>
                      <a:noFill/>
                    </a:ln>
                  </pic:spPr>
                </pic:pic>
              </a:graphicData>
            </a:graphic>
          </wp:inline>
        </w:drawing>
      </w:r>
      <w:r w:rsidR="009D5A04">
        <w:t xml:space="preserve"> </w:t>
      </w:r>
    </w:p>
    <w:p w14:paraId="4AEFA6EB" w14:textId="263B751C" w:rsidR="009D5A04" w:rsidRPr="009D5A04" w:rsidRDefault="009D5A04">
      <w:pPr>
        <w:rPr>
          <w:rFonts w:ascii="Georgia" w:hAnsi="Georgia"/>
        </w:rPr>
      </w:pPr>
      <w:r w:rsidRPr="009D5A04">
        <w:rPr>
          <w:rFonts w:ascii="Georgia" w:hAnsi="Georgia"/>
        </w:rPr>
        <w:t>By Alexis Fox</w:t>
      </w:r>
    </w:p>
    <w:p w14:paraId="34BBCC19" w14:textId="77777777" w:rsidR="004625FE" w:rsidRDefault="004625FE"/>
    <w:p w14:paraId="2391B5F9" w14:textId="77777777" w:rsidR="004625FE" w:rsidRDefault="004625FE">
      <w:pPr>
        <w:rPr>
          <w:rFonts w:ascii="Georgia" w:hAnsi="Georgia"/>
        </w:rPr>
      </w:pPr>
      <w:r w:rsidRPr="00530F72">
        <w:rPr>
          <w:rFonts w:ascii="Georgia" w:hAnsi="Georgia"/>
        </w:rPr>
        <w:t xml:space="preserve">Kickstarter is </w:t>
      </w:r>
      <w:r w:rsidR="002515C8">
        <w:rPr>
          <w:rFonts w:ascii="Georgia" w:hAnsi="Georgia"/>
        </w:rPr>
        <w:t>one of many crowdfunding platforms that allow people or companies go get the funding they need to get their projects off the ground.  This report is the result of data analysis on a small sampling of the projects on Kickstarter and whether they’ve been successful or not.</w:t>
      </w:r>
    </w:p>
    <w:p w14:paraId="27FED199" w14:textId="77777777" w:rsidR="002515C8" w:rsidRDefault="00A12AC7">
      <w:pPr>
        <w:rPr>
          <w:rFonts w:ascii="Georgia" w:hAnsi="Georgia"/>
        </w:rPr>
      </w:pPr>
      <w:r>
        <w:rPr>
          <w:noProof/>
        </w:rPr>
        <w:drawing>
          <wp:inline distT="0" distB="0" distL="0" distR="0" wp14:anchorId="01A8F593" wp14:editId="49E1C6F8">
            <wp:extent cx="5943600" cy="3379470"/>
            <wp:effectExtent l="0" t="0" r="0" b="11430"/>
            <wp:docPr id="1" name="Chart 1">
              <a:extLst xmlns:a="http://schemas.openxmlformats.org/drawingml/2006/main">
                <a:ext uri="{FF2B5EF4-FFF2-40B4-BE49-F238E27FC236}">
                  <a16:creationId xmlns:a16="http://schemas.microsoft.com/office/drawing/2014/main" id="{DFDE89F6-B690-40A1-9D37-83A3FDA70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0E870D" w14:textId="77777777" w:rsidR="002515C8" w:rsidRDefault="002515C8">
      <w:pPr>
        <w:rPr>
          <w:rFonts w:ascii="Georgia" w:hAnsi="Georgia"/>
        </w:rPr>
      </w:pPr>
      <w:bookmarkStart w:id="0" w:name="_GoBack"/>
      <w:bookmarkEnd w:id="0"/>
    </w:p>
    <w:p w14:paraId="5A5FBEAF" w14:textId="77777777" w:rsidR="002515C8" w:rsidRDefault="002515C8">
      <w:pPr>
        <w:rPr>
          <w:rFonts w:ascii="Georgia" w:hAnsi="Georgia"/>
        </w:rPr>
      </w:pPr>
      <w:r>
        <w:rPr>
          <w:rFonts w:ascii="Georgia" w:hAnsi="Georgia"/>
        </w:rPr>
        <w:t>Conclusions</w:t>
      </w:r>
      <w:r w:rsidR="00A12AC7">
        <w:rPr>
          <w:rFonts w:ascii="Georgia" w:hAnsi="Georgia"/>
        </w:rPr>
        <w:t>:</w:t>
      </w:r>
    </w:p>
    <w:p w14:paraId="26232BEC" w14:textId="77777777" w:rsidR="002515C8" w:rsidRDefault="002515C8" w:rsidP="002515C8">
      <w:pPr>
        <w:pStyle w:val="ListParagraph"/>
        <w:numPr>
          <w:ilvl w:val="0"/>
          <w:numId w:val="1"/>
        </w:numPr>
        <w:rPr>
          <w:rFonts w:ascii="Georgia" w:hAnsi="Georgia"/>
        </w:rPr>
      </w:pPr>
      <w:r>
        <w:rPr>
          <w:rFonts w:ascii="Georgia" w:hAnsi="Georgia"/>
        </w:rPr>
        <w:t>Most of the Kickstarter campaigns originate in the United States, even though the platform is available in many countries.</w:t>
      </w:r>
    </w:p>
    <w:p w14:paraId="2E58C93D" w14:textId="77777777" w:rsidR="002515C8" w:rsidRDefault="002515C8" w:rsidP="002515C8">
      <w:pPr>
        <w:pStyle w:val="ListParagraph"/>
        <w:numPr>
          <w:ilvl w:val="0"/>
          <w:numId w:val="1"/>
        </w:numPr>
        <w:rPr>
          <w:rFonts w:ascii="Georgia" w:hAnsi="Georgia"/>
        </w:rPr>
      </w:pPr>
      <w:r>
        <w:rPr>
          <w:rFonts w:ascii="Georgia" w:hAnsi="Georgia"/>
        </w:rPr>
        <w:t>The more money the project requires, the less likely it is to succeed.</w:t>
      </w:r>
    </w:p>
    <w:p w14:paraId="1F2CEE19" w14:textId="17C4287C" w:rsidR="00A12AC7" w:rsidRDefault="007F0388" w:rsidP="002515C8">
      <w:pPr>
        <w:pStyle w:val="ListParagraph"/>
        <w:numPr>
          <w:ilvl w:val="0"/>
          <w:numId w:val="1"/>
        </w:numPr>
        <w:rPr>
          <w:rFonts w:ascii="Georgia" w:hAnsi="Georgia"/>
        </w:rPr>
      </w:pPr>
      <w:r>
        <w:rPr>
          <w:rFonts w:ascii="Georgia" w:hAnsi="Georgia"/>
        </w:rPr>
        <w:t>Theater projects had the most requests and the most success.</w:t>
      </w:r>
    </w:p>
    <w:p w14:paraId="19B6ECC2" w14:textId="77777777" w:rsidR="00A12AC7" w:rsidRDefault="00A12AC7" w:rsidP="00A12AC7">
      <w:pPr>
        <w:rPr>
          <w:rFonts w:ascii="Georgia" w:hAnsi="Georgia"/>
        </w:rPr>
      </w:pPr>
      <w:r>
        <w:rPr>
          <w:rFonts w:ascii="Georgia" w:hAnsi="Georgia"/>
        </w:rPr>
        <w:lastRenderedPageBreak/>
        <w:t>Limitations:</w:t>
      </w:r>
    </w:p>
    <w:p w14:paraId="19A58062" w14:textId="77777777" w:rsidR="00A12AC7" w:rsidRDefault="00A12AC7" w:rsidP="00A12AC7">
      <w:pPr>
        <w:rPr>
          <w:rFonts w:ascii="Georgia" w:hAnsi="Georgia"/>
        </w:rPr>
      </w:pPr>
      <w:r>
        <w:rPr>
          <w:rFonts w:ascii="Georgia" w:hAnsi="Georgia"/>
        </w:rPr>
        <w:tab/>
        <w:t>A major limitation to the conclusions in this sampling is the size of the sample.  It appears that we only have data from approximately 1% of the actual projects started on Kickstarter, which means that the conclusions derived from this sampling may be skewed.</w:t>
      </w:r>
    </w:p>
    <w:p w14:paraId="7D3AE206" w14:textId="77777777" w:rsidR="00A12AC7" w:rsidRDefault="00A12AC7" w:rsidP="00A12AC7">
      <w:pPr>
        <w:rPr>
          <w:rFonts w:ascii="Georgia" w:hAnsi="Georgia"/>
        </w:rPr>
      </w:pPr>
    </w:p>
    <w:p w14:paraId="56FE09BF" w14:textId="77777777" w:rsidR="00A12AC7" w:rsidRDefault="00A12AC7" w:rsidP="00A12AC7">
      <w:pPr>
        <w:rPr>
          <w:rFonts w:ascii="Georgia" w:hAnsi="Georgia"/>
        </w:rPr>
      </w:pPr>
      <w:r>
        <w:rPr>
          <w:rFonts w:ascii="Georgia" w:hAnsi="Georgia"/>
        </w:rPr>
        <w:t>Other Tables or Graphs:</w:t>
      </w:r>
    </w:p>
    <w:p w14:paraId="6AC8D11B" w14:textId="607205C0" w:rsidR="00A12AC7" w:rsidRDefault="00095D0F" w:rsidP="00095D0F">
      <w:pPr>
        <w:pStyle w:val="ListParagraph"/>
        <w:numPr>
          <w:ilvl w:val="0"/>
          <w:numId w:val="2"/>
        </w:numPr>
        <w:rPr>
          <w:rFonts w:ascii="Georgia" w:hAnsi="Georgia"/>
        </w:rPr>
      </w:pPr>
      <w:r>
        <w:rPr>
          <w:rFonts w:ascii="Georgia" w:hAnsi="Georgia"/>
        </w:rPr>
        <w:t>Which sub-categories had 100% fa</w:t>
      </w:r>
      <w:r w:rsidR="00A34B25">
        <w:rPr>
          <w:rFonts w:ascii="Georgia" w:hAnsi="Georgia"/>
        </w:rPr>
        <w:t>ilure rate.</w:t>
      </w:r>
    </w:p>
    <w:p w14:paraId="11538546" w14:textId="1059AF52" w:rsidR="00A34B25" w:rsidRPr="00095D0F" w:rsidRDefault="00E52EB4" w:rsidP="00095D0F">
      <w:pPr>
        <w:pStyle w:val="ListParagraph"/>
        <w:numPr>
          <w:ilvl w:val="0"/>
          <w:numId w:val="2"/>
        </w:numPr>
        <w:rPr>
          <w:rFonts w:ascii="Georgia" w:hAnsi="Georgia"/>
        </w:rPr>
      </w:pPr>
      <w:r>
        <w:rPr>
          <w:rFonts w:ascii="Georgia" w:hAnsi="Georgia"/>
        </w:rPr>
        <w:t xml:space="preserve">Percentages of success, failure or cancellation based on </w:t>
      </w:r>
      <w:r w:rsidR="009D5A04">
        <w:rPr>
          <w:rFonts w:ascii="Georgia" w:hAnsi="Georgia"/>
        </w:rPr>
        <w:t xml:space="preserve">goal </w:t>
      </w:r>
      <w:r>
        <w:rPr>
          <w:rFonts w:ascii="Georgia" w:hAnsi="Georgia"/>
        </w:rPr>
        <w:t>amount</w:t>
      </w:r>
      <w:r w:rsidR="009D5A04">
        <w:rPr>
          <w:rFonts w:ascii="Georgia" w:hAnsi="Georgia"/>
        </w:rPr>
        <w:t xml:space="preserve"> range</w:t>
      </w:r>
      <w:r>
        <w:rPr>
          <w:rFonts w:ascii="Georgia" w:hAnsi="Georgia"/>
        </w:rPr>
        <w:t xml:space="preserve"> and category or sub-category.</w:t>
      </w:r>
    </w:p>
    <w:sectPr w:rsidR="00A34B25" w:rsidRPr="0009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02F9"/>
    <w:multiLevelType w:val="hybridMultilevel"/>
    <w:tmpl w:val="3F94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54F35"/>
    <w:multiLevelType w:val="hybridMultilevel"/>
    <w:tmpl w:val="C8C83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FE"/>
    <w:rsid w:val="00095D0F"/>
    <w:rsid w:val="002515C8"/>
    <w:rsid w:val="004625FE"/>
    <w:rsid w:val="004F0771"/>
    <w:rsid w:val="00530F72"/>
    <w:rsid w:val="007F0388"/>
    <w:rsid w:val="009D5A04"/>
    <w:rsid w:val="00A12AC7"/>
    <w:rsid w:val="00A34B25"/>
    <w:rsid w:val="00A518E5"/>
    <w:rsid w:val="00D1474C"/>
    <w:rsid w:val="00E52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671C"/>
  <w15:chartTrackingRefBased/>
  <w15:docId w15:val="{4E0D5562-6C0C-4057-A233-03CCD531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754363cf97862ca/Documents/PREWORK_AEF/MODULE-1/Homework/StarterBook_Solv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7801163582232782E-2"/>
          <c:y val="8.6789211169420427E-2"/>
          <c:w val="0.79829004639067325"/>
          <c:h val="0.76940228210504924"/>
        </c:manualLayout>
      </c:layout>
      <c:lineChart>
        <c:grouping val="standard"/>
        <c:varyColors val="0"/>
        <c:ser>
          <c:idx val="4"/>
          <c:order val="4"/>
          <c:tx>
            <c:strRef>
              <c:f>Percentages!$F$1</c:f>
              <c:strCache>
                <c:ptCount val="1"/>
                <c:pt idx="0">
                  <c:v>Percentage Successful</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Percentages!$A$2:$A$13</c:f>
              <c:strCache>
                <c:ptCount val="12"/>
                <c:pt idx="0">
                  <c:v>Less than 1000</c:v>
                </c:pt>
                <c:pt idx="1">
                  <c:v>1000-4999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that or equal to 50000</c:v>
                </c:pt>
              </c:strCache>
            </c:strRef>
          </c:cat>
          <c:val>
            <c:numRef>
              <c:f>Percentages!$F$2:$F$13</c:f>
              <c:numCache>
                <c:formatCode>0%</c:formatCode>
                <c:ptCount val="12"/>
                <c:pt idx="0">
                  <c:v>0.69848156182212584</c:v>
                </c:pt>
                <c:pt idx="1">
                  <c:v>0.65403508771929819</c:v>
                </c:pt>
                <c:pt idx="2">
                  <c:v>0.52770083102493071</c:v>
                </c:pt>
                <c:pt idx="3">
                  <c:v>0.46537396121883656</c:v>
                </c:pt>
                <c:pt idx="4">
                  <c:v>0.45853658536585368</c:v>
                </c:pt>
                <c:pt idx="5">
                  <c:v>0.41610738255033558</c:v>
                </c:pt>
                <c:pt idx="6">
                  <c:v>0.39855072463768115</c:v>
                </c:pt>
                <c:pt idx="7">
                  <c:v>0.38095238095238093</c:v>
                </c:pt>
                <c:pt idx="8">
                  <c:v>0.47272727272727272</c:v>
                </c:pt>
                <c:pt idx="9">
                  <c:v>0.47727272727272729</c:v>
                </c:pt>
                <c:pt idx="10">
                  <c:v>0.2857142857142857</c:v>
                </c:pt>
                <c:pt idx="11">
                  <c:v>0.19153674832962139</c:v>
                </c:pt>
              </c:numCache>
            </c:numRef>
          </c:val>
          <c:smooth val="0"/>
          <c:extLst>
            <c:ext xmlns:c16="http://schemas.microsoft.com/office/drawing/2014/chart" uri="{C3380CC4-5D6E-409C-BE32-E72D297353CC}">
              <c16:uniqueId val="{00000000-6870-40D4-98BE-E44C53D723F1}"/>
            </c:ext>
          </c:extLst>
        </c:ser>
        <c:ser>
          <c:idx val="5"/>
          <c:order val="5"/>
          <c:tx>
            <c:strRef>
              <c:f>Percentages!$G$1</c:f>
              <c:strCache>
                <c:ptCount val="1"/>
                <c:pt idx="0">
                  <c:v>Percentage Failed</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Percentages!$A$2:$A$13</c:f>
              <c:strCache>
                <c:ptCount val="12"/>
                <c:pt idx="0">
                  <c:v>Less than 1000</c:v>
                </c:pt>
                <c:pt idx="1">
                  <c:v>1000-4999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that or equal to 50000</c:v>
                </c:pt>
              </c:strCache>
            </c:strRef>
          </c:cat>
          <c:val>
            <c:numRef>
              <c:f>Percentages!$G$2:$G$13</c:f>
              <c:numCache>
                <c:formatCode>0%</c:formatCode>
                <c:ptCount val="12"/>
                <c:pt idx="0">
                  <c:v>0.24511930585683298</c:v>
                </c:pt>
                <c:pt idx="1">
                  <c:v>0.29473684210526313</c:v>
                </c:pt>
                <c:pt idx="2">
                  <c:v>0.39196675900277006</c:v>
                </c:pt>
                <c:pt idx="3">
                  <c:v>0.39889196675900279</c:v>
                </c:pt>
                <c:pt idx="4">
                  <c:v>0.43902439024390244</c:v>
                </c:pt>
                <c:pt idx="5">
                  <c:v>0.48322147651006714</c:v>
                </c:pt>
                <c:pt idx="6">
                  <c:v>0.46376811594202899</c:v>
                </c:pt>
                <c:pt idx="7">
                  <c:v>0.44047619047619047</c:v>
                </c:pt>
                <c:pt idx="8">
                  <c:v>0.4</c:v>
                </c:pt>
                <c:pt idx="9">
                  <c:v>0.36363636363636365</c:v>
                </c:pt>
                <c:pt idx="10">
                  <c:v>0.52380952380952384</c:v>
                </c:pt>
                <c:pt idx="11">
                  <c:v>0.57461024498886415</c:v>
                </c:pt>
              </c:numCache>
            </c:numRef>
          </c:val>
          <c:smooth val="0"/>
          <c:extLst>
            <c:ext xmlns:c16="http://schemas.microsoft.com/office/drawing/2014/chart" uri="{C3380CC4-5D6E-409C-BE32-E72D297353CC}">
              <c16:uniqueId val="{00000001-6870-40D4-98BE-E44C53D723F1}"/>
            </c:ext>
          </c:extLst>
        </c:ser>
        <c:ser>
          <c:idx val="6"/>
          <c:order val="6"/>
          <c:tx>
            <c:strRef>
              <c:f>Percentages!$H$1</c:f>
              <c:strCache>
                <c:ptCount val="1"/>
                <c:pt idx="0">
                  <c:v>Percentage Canceled</c:v>
                </c:pt>
              </c:strCache>
            </c:strRef>
          </c:tx>
          <c:spPr>
            <a:ln w="28575"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cat>
            <c:strRef>
              <c:f>Percentages!$A$2:$A$13</c:f>
              <c:strCache>
                <c:ptCount val="12"/>
                <c:pt idx="0">
                  <c:v>Less than 1000</c:v>
                </c:pt>
                <c:pt idx="1">
                  <c:v>1000-4999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that or equal to 50000</c:v>
                </c:pt>
              </c:strCache>
            </c:strRef>
          </c:cat>
          <c:val>
            <c:numRef>
              <c:f>Percentages!$H$2:$H$13</c:f>
              <c:numCache>
                <c:formatCode>0%</c:formatCode>
                <c:ptCount val="12"/>
                <c:pt idx="0">
                  <c:v>3.9045553145336226E-2</c:v>
                </c:pt>
                <c:pt idx="1">
                  <c:v>4.2105263157894736E-2</c:v>
                </c:pt>
                <c:pt idx="2">
                  <c:v>7.2022160664819951E-2</c:v>
                </c:pt>
                <c:pt idx="3">
                  <c:v>0.11080332409972299</c:v>
                </c:pt>
                <c:pt idx="4">
                  <c:v>8.2926829268292687E-2</c:v>
                </c:pt>
                <c:pt idx="5">
                  <c:v>9.3959731543624164E-2</c:v>
                </c:pt>
                <c:pt idx="6">
                  <c:v>0.13043478260869565</c:v>
                </c:pt>
                <c:pt idx="7">
                  <c:v>0.15476190476190477</c:v>
                </c:pt>
                <c:pt idx="8">
                  <c:v>0.12727272727272726</c:v>
                </c:pt>
                <c:pt idx="9">
                  <c:v>0.13636363636363635</c:v>
                </c:pt>
                <c:pt idx="10">
                  <c:v>0.19047619047619047</c:v>
                </c:pt>
                <c:pt idx="11">
                  <c:v>0.22271714922048999</c:v>
                </c:pt>
              </c:numCache>
            </c:numRef>
          </c:val>
          <c:smooth val="0"/>
          <c:extLst>
            <c:ext xmlns:c16="http://schemas.microsoft.com/office/drawing/2014/chart" uri="{C3380CC4-5D6E-409C-BE32-E72D297353CC}">
              <c16:uniqueId val="{00000002-6870-40D4-98BE-E44C53D723F1}"/>
            </c:ext>
          </c:extLst>
        </c:ser>
        <c:dLbls>
          <c:showLegendKey val="0"/>
          <c:showVal val="0"/>
          <c:showCatName val="0"/>
          <c:showSerName val="0"/>
          <c:showPercent val="0"/>
          <c:showBubbleSize val="0"/>
        </c:dLbls>
        <c:marker val="1"/>
        <c:smooth val="0"/>
        <c:axId val="804732256"/>
        <c:axId val="804732584"/>
        <c:extLst>
          <c:ext xmlns:c15="http://schemas.microsoft.com/office/drawing/2012/chart" uri="{02D57815-91ED-43cb-92C2-25804820EDAC}">
            <c15:filteredLineSeries>
              <c15:ser>
                <c:idx val="0"/>
                <c:order val="0"/>
                <c:tx>
                  <c:strRef>
                    <c:extLst>
                      <c:ext uri="{02D57815-91ED-43cb-92C2-25804820EDAC}">
                        <c15:formulaRef>
                          <c15:sqref>Percentages!$B$1</c15:sqref>
                        </c15:formulaRef>
                      </c:ext>
                    </c:extLst>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extLst>
                      <c:ext uri="{02D57815-91ED-43cb-92C2-25804820EDAC}">
                        <c15:formulaRef>
                          <c15:sqref>Percentages!$A$2:$A$13</c15:sqref>
                        </c15:formulaRef>
                      </c:ext>
                    </c:extLst>
                    <c:strCache>
                      <c:ptCount val="12"/>
                      <c:pt idx="0">
                        <c:v>Less than 1000</c:v>
                      </c:pt>
                      <c:pt idx="1">
                        <c:v>1000-4999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that or equal to 50000</c:v>
                      </c:pt>
                    </c:strCache>
                  </c:strRef>
                </c:cat>
                <c:val>
                  <c:numRef>
                    <c:extLst>
                      <c:ext uri="{02D57815-91ED-43cb-92C2-25804820EDAC}">
                        <c15:formulaRef>
                          <c15:sqref>Percentages!$B$2:$B$13</c15:sqref>
                        </c15:formulaRef>
                      </c:ext>
                    </c:extLst>
                    <c:numCache>
                      <c:formatCode>General</c:formatCode>
                      <c:ptCount val="12"/>
                      <c:pt idx="0">
                        <c:v>322</c:v>
                      </c:pt>
                      <c:pt idx="1">
                        <c:v>932</c:v>
                      </c:pt>
                      <c:pt idx="2">
                        <c:v>381</c:v>
                      </c:pt>
                      <c:pt idx="3">
                        <c:v>168</c:v>
                      </c:pt>
                      <c:pt idx="4">
                        <c:v>94</c:v>
                      </c:pt>
                      <c:pt idx="5">
                        <c:v>62</c:v>
                      </c:pt>
                      <c:pt idx="6">
                        <c:v>55</c:v>
                      </c:pt>
                      <c:pt idx="7">
                        <c:v>32</c:v>
                      </c:pt>
                      <c:pt idx="8">
                        <c:v>26</c:v>
                      </c:pt>
                      <c:pt idx="9">
                        <c:v>21</c:v>
                      </c:pt>
                      <c:pt idx="10">
                        <c:v>6</c:v>
                      </c:pt>
                      <c:pt idx="11">
                        <c:v>86</c:v>
                      </c:pt>
                    </c:numCache>
                  </c:numRef>
                </c:val>
                <c:smooth val="0"/>
                <c:extLst>
                  <c:ext xmlns:c16="http://schemas.microsoft.com/office/drawing/2014/chart" uri="{C3380CC4-5D6E-409C-BE32-E72D297353CC}">
                    <c16:uniqueId val="{00000003-6870-40D4-98BE-E44C53D723F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Percentages!$C$1</c15:sqref>
                        </c15:formulaRef>
                      </c:ext>
                    </c:extLst>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extLst xmlns:c15="http://schemas.microsoft.com/office/drawing/2012/chart">
                      <c:ext xmlns:c15="http://schemas.microsoft.com/office/drawing/2012/chart" uri="{02D57815-91ED-43cb-92C2-25804820EDAC}">
                        <c15:formulaRef>
                          <c15:sqref>Percentages!$A$2:$A$13</c15:sqref>
                        </c15:formulaRef>
                      </c:ext>
                    </c:extLst>
                    <c:strCache>
                      <c:ptCount val="12"/>
                      <c:pt idx="0">
                        <c:v>Less than 1000</c:v>
                      </c:pt>
                      <c:pt idx="1">
                        <c:v>1000-4999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that or equal to 50000</c:v>
                      </c:pt>
                    </c:strCache>
                  </c:strRef>
                </c:cat>
                <c:val>
                  <c:numRef>
                    <c:extLst xmlns:c15="http://schemas.microsoft.com/office/drawing/2012/chart">
                      <c:ext xmlns:c15="http://schemas.microsoft.com/office/drawing/2012/chart" uri="{02D57815-91ED-43cb-92C2-25804820EDAC}">
                        <c15:formulaRef>
                          <c15:sqref>Percentages!$C$2:$C$13</c15:sqref>
                        </c15:formulaRef>
                      </c:ext>
                    </c:extLst>
                    <c:numCache>
                      <c:formatCode>General</c:formatCode>
                      <c:ptCount val="12"/>
                      <c:pt idx="0">
                        <c:v>113</c:v>
                      </c:pt>
                      <c:pt idx="1">
                        <c:v>420</c:v>
                      </c:pt>
                      <c:pt idx="2">
                        <c:v>283</c:v>
                      </c:pt>
                      <c:pt idx="3">
                        <c:v>144</c:v>
                      </c:pt>
                      <c:pt idx="4">
                        <c:v>90</c:v>
                      </c:pt>
                      <c:pt idx="5">
                        <c:v>72</c:v>
                      </c:pt>
                      <c:pt idx="6">
                        <c:v>64</c:v>
                      </c:pt>
                      <c:pt idx="7">
                        <c:v>37</c:v>
                      </c:pt>
                      <c:pt idx="8">
                        <c:v>22</c:v>
                      </c:pt>
                      <c:pt idx="9">
                        <c:v>16</c:v>
                      </c:pt>
                      <c:pt idx="10">
                        <c:v>11</c:v>
                      </c:pt>
                      <c:pt idx="11">
                        <c:v>258</c:v>
                      </c:pt>
                    </c:numCache>
                  </c:numRef>
                </c:val>
                <c:smooth val="0"/>
                <c:extLst xmlns:c15="http://schemas.microsoft.com/office/drawing/2012/chart">
                  <c:ext xmlns:c16="http://schemas.microsoft.com/office/drawing/2014/chart" uri="{C3380CC4-5D6E-409C-BE32-E72D297353CC}">
                    <c16:uniqueId val="{00000004-6870-40D4-98BE-E44C53D723F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Percentages!$D$1</c15:sqref>
                        </c15:formulaRef>
                      </c:ext>
                    </c:extLst>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xmlns:c15="http://schemas.microsoft.com/office/drawing/2012/chart">
                      <c:ext xmlns:c15="http://schemas.microsoft.com/office/drawing/2012/chart" uri="{02D57815-91ED-43cb-92C2-25804820EDAC}">
                        <c15:formulaRef>
                          <c15:sqref>Percentages!$A$2:$A$13</c15:sqref>
                        </c15:formulaRef>
                      </c:ext>
                    </c:extLst>
                    <c:strCache>
                      <c:ptCount val="12"/>
                      <c:pt idx="0">
                        <c:v>Less than 1000</c:v>
                      </c:pt>
                      <c:pt idx="1">
                        <c:v>1000-4999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that or equal to 50000</c:v>
                      </c:pt>
                    </c:strCache>
                  </c:strRef>
                </c:cat>
                <c:val>
                  <c:numRef>
                    <c:extLst xmlns:c15="http://schemas.microsoft.com/office/drawing/2012/chart">
                      <c:ext xmlns:c15="http://schemas.microsoft.com/office/drawing/2012/chart" uri="{02D57815-91ED-43cb-92C2-25804820EDAC}">
                        <c15:formulaRef>
                          <c15:sqref>Percentages!$D$2:$D$13</c15:sqref>
                        </c15:formulaRef>
                      </c:ext>
                    </c:extLst>
                    <c:numCache>
                      <c:formatCode>General</c:formatCode>
                      <c:ptCount val="12"/>
                      <c:pt idx="0">
                        <c:v>18</c:v>
                      </c:pt>
                      <c:pt idx="1">
                        <c:v>60</c:v>
                      </c:pt>
                      <c:pt idx="2">
                        <c:v>52</c:v>
                      </c:pt>
                      <c:pt idx="3">
                        <c:v>40</c:v>
                      </c:pt>
                      <c:pt idx="4">
                        <c:v>17</c:v>
                      </c:pt>
                      <c:pt idx="5">
                        <c:v>14</c:v>
                      </c:pt>
                      <c:pt idx="6">
                        <c:v>18</c:v>
                      </c:pt>
                      <c:pt idx="7">
                        <c:v>13</c:v>
                      </c:pt>
                      <c:pt idx="8">
                        <c:v>7</c:v>
                      </c:pt>
                      <c:pt idx="9">
                        <c:v>6</c:v>
                      </c:pt>
                      <c:pt idx="10">
                        <c:v>4</c:v>
                      </c:pt>
                      <c:pt idx="11">
                        <c:v>100</c:v>
                      </c:pt>
                    </c:numCache>
                  </c:numRef>
                </c:val>
                <c:smooth val="0"/>
                <c:extLst xmlns:c15="http://schemas.microsoft.com/office/drawing/2012/chart">
                  <c:ext xmlns:c16="http://schemas.microsoft.com/office/drawing/2014/chart" uri="{C3380CC4-5D6E-409C-BE32-E72D297353CC}">
                    <c16:uniqueId val="{00000005-6870-40D4-98BE-E44C53D723F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Percentages!$E$1</c15:sqref>
                        </c15:formulaRef>
                      </c:ext>
                    </c:extLst>
                    <c:strCache>
                      <c:ptCount val="1"/>
                      <c:pt idx="0">
                        <c:v>Total Projects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extLst xmlns:c15="http://schemas.microsoft.com/office/drawing/2012/chart">
                      <c:ext xmlns:c15="http://schemas.microsoft.com/office/drawing/2012/chart" uri="{02D57815-91ED-43cb-92C2-25804820EDAC}">
                        <c15:formulaRef>
                          <c15:sqref>Percentages!$A$2:$A$13</c15:sqref>
                        </c15:formulaRef>
                      </c:ext>
                    </c:extLst>
                    <c:strCache>
                      <c:ptCount val="12"/>
                      <c:pt idx="0">
                        <c:v>Less than 1000</c:v>
                      </c:pt>
                      <c:pt idx="1">
                        <c:v>1000-4999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that or equal to 50000</c:v>
                      </c:pt>
                    </c:strCache>
                  </c:strRef>
                </c:cat>
                <c:val>
                  <c:numRef>
                    <c:extLst xmlns:c15="http://schemas.microsoft.com/office/drawing/2012/chart">
                      <c:ext xmlns:c15="http://schemas.microsoft.com/office/drawing/2012/chart" uri="{02D57815-91ED-43cb-92C2-25804820EDAC}">
                        <c15:formulaRef>
                          <c15:sqref>Percentages!$E$2:$E$13</c15:sqref>
                        </c15:formulaRef>
                      </c:ext>
                    </c:extLst>
                    <c:numCache>
                      <c:formatCode>General</c:formatCode>
                      <c:ptCount val="12"/>
                      <c:pt idx="0">
                        <c:v>461</c:v>
                      </c:pt>
                      <c:pt idx="1">
                        <c:v>1425</c:v>
                      </c:pt>
                      <c:pt idx="2">
                        <c:v>722</c:v>
                      </c:pt>
                      <c:pt idx="3">
                        <c:v>361</c:v>
                      </c:pt>
                      <c:pt idx="4">
                        <c:v>205</c:v>
                      </c:pt>
                      <c:pt idx="5">
                        <c:v>149</c:v>
                      </c:pt>
                      <c:pt idx="6">
                        <c:v>138</c:v>
                      </c:pt>
                      <c:pt idx="7">
                        <c:v>84</c:v>
                      </c:pt>
                      <c:pt idx="8">
                        <c:v>55</c:v>
                      </c:pt>
                      <c:pt idx="9">
                        <c:v>44</c:v>
                      </c:pt>
                      <c:pt idx="10">
                        <c:v>21</c:v>
                      </c:pt>
                      <c:pt idx="11">
                        <c:v>449</c:v>
                      </c:pt>
                    </c:numCache>
                  </c:numRef>
                </c:val>
                <c:smooth val="0"/>
                <c:extLst xmlns:c15="http://schemas.microsoft.com/office/drawing/2012/chart">
                  <c:ext xmlns:c16="http://schemas.microsoft.com/office/drawing/2014/chart" uri="{C3380CC4-5D6E-409C-BE32-E72D297353CC}">
                    <c16:uniqueId val="{00000006-6870-40D4-98BE-E44C53D723F1}"/>
                  </c:ext>
                </c:extLst>
              </c15:ser>
            </c15:filteredLineSeries>
          </c:ext>
        </c:extLst>
      </c:lineChart>
      <c:catAx>
        <c:axId val="80473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732584"/>
        <c:crosses val="autoZero"/>
        <c:auto val="1"/>
        <c:lblAlgn val="ctr"/>
        <c:lblOffset val="100"/>
        <c:noMultiLvlLbl val="0"/>
      </c:catAx>
      <c:valAx>
        <c:axId val="804732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732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Fox</dc:creator>
  <cp:keywords/>
  <dc:description/>
  <cp:lastModifiedBy>Alexis Fox</cp:lastModifiedBy>
  <cp:revision>8</cp:revision>
  <dcterms:created xsi:type="dcterms:W3CDTF">2019-05-26T19:02:00Z</dcterms:created>
  <dcterms:modified xsi:type="dcterms:W3CDTF">2019-05-27T02:52:00Z</dcterms:modified>
</cp:coreProperties>
</file>