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pPr>
      <w:r>
        <w:rPr>
          <w:rFonts w:ascii="Arial" w:hAnsi="Arial"/>
          <w:b/>
          <w:color w:val="B45309"/>
          <w:sz w:val="17"/>
        </w:rPr>
        <w:t>POLICY MEMO · AI ACT EVIDENCE CAMPAIGN · 2026-05-15</w:t>
      </w:r>
    </w:p>
    <w:p>
      <w:pPr>
        <w:pStyle w:val="Title"/>
        <w:spacing w:after="100" w:line="252" w:lineRule="auto"/>
      </w:pPr>
      <w:r>
        <w:t>The AI Act Exposed the Missing Evidence Layer</w:t>
      </w:r>
    </w:p>
    <w:p>
      <w:pPr>
        <w:spacing w:after="100" w:line="252" w:lineRule="auto"/>
      </w:pPr>
      <w:r>
        <w:rPr>
          <w:sz w:val="23"/>
        </w:rPr>
        <w:t>TSP proposes the TrustEnvelope as a neutral, open, signed receipt for AI outputs. The goal is not to replace law, standards, QMS, notified bodies, or data governance. The goal is to give those workstreams an artifact they can inspect.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656"/>
            <w:vAlign w:val="top"/>
            <w:shd w:fill="F3F4F6"/>
          </w:tcPr>
          <w:p>
            <w:pPr>
              <w:spacing w:after="40" w:line="240" w:lineRule="auto"/>
            </w:pPr>
            <w:r/>
            <w:r>
              <w:rPr>
                <w:rFonts w:ascii="Arial" w:hAnsi="Arial"/>
                <w:b/>
                <w:color w:val="374151"/>
                <w:sz w:val="17"/>
              </w:rPr>
              <w:t>Campaign</w:t>
            </w:r>
          </w:p>
        </w:tc>
        <w:tc>
          <w:tcPr>
            <w:tcW w:type="dxa" w:w="2880"/>
            <w:vAlign w:val="top"/>
          </w:tcPr>
          <w:p>
            <w:pPr>
              <w:spacing w:after="40" w:line="240" w:lineRule="auto"/>
            </w:pPr>
            <w:r/>
            <w:r>
              <w:rPr>
                <w:rFonts w:ascii="Arial" w:hAnsi="Arial"/>
                <w:b w:val="0"/>
                <w:color w:val="111827"/>
                <w:sz w:val="17"/>
              </w:rPr>
              <w:t>ai_act_august_2_2026</w:t>
            </w:r>
          </w:p>
        </w:tc>
        <w:tc>
          <w:tcPr>
            <w:tcW w:type="dxa" w:w="1800"/>
            <w:vAlign w:val="top"/>
            <w:shd w:fill="F3F4F6"/>
          </w:tcPr>
          <w:p>
            <w:pPr>
              <w:spacing w:after="40" w:line="240" w:lineRule="auto"/>
            </w:pPr>
            <w:r/>
            <w:r>
              <w:rPr>
                <w:rFonts w:ascii="Arial" w:hAnsi="Arial"/>
                <w:b/>
                <w:color w:val="374151"/>
                <w:sz w:val="17"/>
              </w:rPr>
              <w:t>Position</w:t>
            </w:r>
          </w:p>
        </w:tc>
        <w:tc>
          <w:tcPr>
            <w:tcW w:type="dxa" w:w="5328"/>
            <w:vAlign w:val="top"/>
          </w:tcPr>
          <w:p>
            <w:pPr>
              <w:spacing w:after="40" w:line="240" w:lineRule="auto"/>
            </w:pPr>
            <w:r/>
            <w:r>
              <w:rPr>
                <w:rFonts w:ascii="Arial" w:hAnsi="Arial"/>
                <w:b w:val="0"/>
                <w:color w:val="111827"/>
                <w:sz w:val="17"/>
              </w:rPr>
              <w:t>serious candidate for de-facto evidence layer</w:t>
            </w:r>
          </w:p>
        </w:tc>
      </w:tr>
    </w:tbl>
    <w:p>
      <w:pPr>
        <w:spacing w:after="100" w:line="252" w:lineRule="auto"/>
      </w:pPr>
      <w:r>
        <w:rPr>
          <w:b/>
        </w:rPr>
        <w:t xml:space="preserve">Executive thesis. </w:t>
      </w:r>
      <w:r>
        <w:t>The EU AI Act did not create the trust problem. It exposed it. Businesses, regulators, compliance officers, procurement teams and affected users all need the same missing object: a signed, inspectable receipt for what an AI system actually did.</w:t>
      </w:r>
    </w:p>
    <w:p>
      <w:pPr>
        <w:spacing w:after="100" w:line="252" w:lineRule="auto"/>
      </w:pPr>
      <w:r>
        <w:rPr>
          <w:b/>
        </w:rPr>
        <w:t xml:space="preserve">Factual guardrail. </w:t>
      </w:r>
      <w:r>
        <w:t>2 August 2026 remains a pressure marker for broad AI Act application and transparency obligations, but the timeline is staged. The latest Commission timeline and Council/Parliament agreement point to later high-risk dates, including 2 December 2027 for certain high-risk areas and 2 August 2028 for product-integrated systems. The safer campaign claim is: the evidence clock is running now.</w:t>
      </w:r>
    </w:p>
    <w:p>
      <w:pPr>
        <w:pStyle w:val="Heading1"/>
        <w:spacing w:after="100" w:line="252" w:lineRule="auto"/>
      </w:pPr>
      <w:r>
        <w:t>Why The Problem Is Larger Than Policy Work</w:t>
      </w:r>
    </w:p>
    <w:p>
      <w:pPr>
        <w:pStyle w:val="ListBullet"/>
        <w:spacing w:after="100" w:line="252" w:lineRule="auto"/>
      </w:pPr>
      <w:r>
        <w:t>Policies describe intent; runtime receipts show what actually happened.</w:t>
      </w:r>
    </w:p>
    <w:p>
      <w:pPr>
        <w:pStyle w:val="ListBullet"/>
        <w:spacing w:after="100" w:line="252" w:lineRule="auto"/>
      </w:pPr>
      <w:r>
        <w:t>Dashboards and screenshots are vendor-controlled views; a signed artifact can be independently verified.</w:t>
      </w:r>
    </w:p>
    <w:p>
      <w:pPr>
        <w:pStyle w:val="ListBullet"/>
        <w:spacing w:after="100" w:line="252" w:lineRule="auto"/>
      </w:pPr>
      <w:r>
        <w:t>Model cards are useful context; they do not prove what a specific answer contained after it was generated.</w:t>
      </w:r>
    </w:p>
    <w:p>
      <w:pPr>
        <w:pStyle w:val="ListBullet"/>
        <w:spacing w:after="100" w:line="252" w:lineRule="auto"/>
      </w:pPr>
      <w:r>
        <w:t>Postponements and staged application are a signal that the market lacks mature evidence infrastructure, not a reason to ignore the build window.</w:t>
      </w:r>
    </w:p>
    <w:p>
      <w:pPr>
        <w:pStyle w:val="Heading1"/>
        <w:spacing w:after="100" w:line="252" w:lineRule="auto"/>
      </w:pPr>
      <w:r>
        <w:t>The TSP Proposal</w:t>
      </w:r>
    </w:p>
    <w:tbl>
      <w:tblPr>
        <w:tblStyle w:val="TableGrid"/>
        <w:tblW w:type="auto" w:w="0"/>
        <w:jc w:val="left"/>
        <w:tblLook w:firstColumn="1" w:firstRow="1" w:lastColumn="0" w:lastRow="0" w:noHBand="0" w:noVBand="1" w:val="04A0"/>
      </w:tblPr>
      <w:tblGrid>
        <w:gridCol w:w="3264"/>
        <w:gridCol w:w="3264"/>
        <w:gridCol w:w="3264"/>
      </w:tblGrid>
      <w:tr>
        <w:tc>
          <w:tcPr>
            <w:tcW w:type="dxa" w:w="2088"/>
            <w:vAlign w:val="top"/>
            <w:shd w:fill="E5E7EB"/>
            <w:tcMar>
              <w:top w:w="110" w:type="dxa"/>
              <w:left w:w="110" w:type="dxa"/>
              <w:bottom w:w="110" w:type="dxa"/>
              <w:right w:w="110" w:type="dxa"/>
            </w:tcMar>
          </w:tcPr>
          <w:p>
            <w:pPr>
              <w:spacing w:after="40" w:line="240" w:lineRule="auto"/>
            </w:pPr>
            <w:r/>
            <w:r>
              <w:rPr>
                <w:rFonts w:ascii="Arial" w:hAnsi="Arial"/>
                <w:b/>
                <w:color w:val="111827"/>
                <w:sz w:val="18"/>
              </w:rPr>
              <w:t>Need</w:t>
            </w:r>
          </w:p>
        </w:tc>
        <w:tc>
          <w:tcPr>
            <w:tcW w:type="dxa" w:w="3960"/>
            <w:vAlign w:val="top"/>
            <w:shd w:fill="E5E7EB"/>
            <w:tcMar>
              <w:top w:w="110" w:type="dxa"/>
              <w:left w:w="110" w:type="dxa"/>
              <w:bottom w:w="110" w:type="dxa"/>
              <w:right w:w="110" w:type="dxa"/>
            </w:tcMar>
          </w:tcPr>
          <w:p>
            <w:pPr>
              <w:spacing w:after="40" w:line="240" w:lineRule="auto"/>
            </w:pPr>
            <w:r/>
            <w:r>
              <w:rPr>
                <w:rFonts w:ascii="Arial" w:hAnsi="Arial"/>
                <w:b/>
                <w:color w:val="111827"/>
                <w:sz w:val="18"/>
              </w:rPr>
              <w:t>TrustEnvelope field</w:t>
            </w:r>
          </w:p>
        </w:tc>
        <w:tc>
          <w:tcPr>
            <w:tcW w:type="dxa" w:w="5616"/>
            <w:vAlign w:val="top"/>
            <w:shd w:fill="E5E7EB"/>
            <w:tcMar>
              <w:top w:w="110" w:type="dxa"/>
              <w:left w:w="110" w:type="dxa"/>
              <w:bottom w:w="110" w:type="dxa"/>
              <w:right w:w="110" w:type="dxa"/>
            </w:tcMar>
          </w:tcPr>
          <w:p>
            <w:pPr>
              <w:spacing w:after="40" w:line="240" w:lineRule="auto"/>
            </w:pPr>
            <w:r/>
            <w:r>
              <w:rPr>
                <w:rFonts w:ascii="Arial" w:hAnsi="Arial"/>
                <w:b/>
                <w:color w:val="111827"/>
                <w:sz w:val="18"/>
              </w:rPr>
              <w:t>Why it matters</w:t>
            </w:r>
          </w:p>
        </w:tc>
      </w:tr>
      <w:tr>
        <w:tc>
          <w:tcPr>
            <w:tcW w:type="dxa" w:w="3264"/>
            <w:vAlign w:val="top"/>
            <w:tcMar>
              <w:top w:w="110" w:type="dxa"/>
              <w:left w:w="110" w:type="dxa"/>
              <w:bottom w:w="110" w:type="dxa"/>
              <w:right w:w="110" w:type="dxa"/>
            </w:tcMar>
          </w:tcPr>
          <w:p>
            <w:pPr>
              <w:spacing w:after="40" w:line="240" w:lineRule="auto"/>
            </w:pPr>
            <w:r/>
            <w:r>
              <w:rPr>
                <w:rFonts w:ascii="Arial" w:hAnsi="Arial"/>
                <w:b/>
                <w:color w:val="111827"/>
                <w:sz w:val="17"/>
              </w:rPr>
              <w:t>Source</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0F766E"/>
                <w:sz w:val="17"/>
              </w:rPr>
              <w:t>declaration</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111827"/>
                <w:sz w:val="17"/>
              </w:rPr>
              <w:t>A reviewer sees what the answer relied on, not only a vague source claim.</w:t>
            </w:r>
          </w:p>
        </w:tc>
      </w:tr>
      <w:tr>
        <w:tc>
          <w:tcPr>
            <w:tcW w:type="dxa" w:w="3264"/>
            <w:vAlign w:val="top"/>
            <w:tcMar>
              <w:top w:w="110" w:type="dxa"/>
              <w:left w:w="110" w:type="dxa"/>
              <w:bottom w:w="110" w:type="dxa"/>
              <w:right w:w="110" w:type="dxa"/>
            </w:tcMar>
          </w:tcPr>
          <w:p>
            <w:pPr>
              <w:spacing w:after="40" w:line="240" w:lineRule="auto"/>
            </w:pPr>
            <w:r/>
            <w:r>
              <w:rPr>
                <w:rFonts w:ascii="Arial" w:hAnsi="Arial"/>
                <w:b/>
                <w:color w:val="111827"/>
                <w:sz w:val="17"/>
              </w:rPr>
              <w:t>Process</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0F766E"/>
                <w:sz w:val="17"/>
              </w:rPr>
              <w:t>process</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111827"/>
                <w:sz w:val="17"/>
              </w:rPr>
              <w:t>Model, version, parameters and policy metadata become inspection material.</w:t>
            </w:r>
          </w:p>
        </w:tc>
      </w:tr>
      <w:tr>
        <w:tc>
          <w:tcPr>
            <w:tcW w:type="dxa" w:w="3264"/>
            <w:vAlign w:val="top"/>
            <w:tcMar>
              <w:top w:w="110" w:type="dxa"/>
              <w:left w:w="110" w:type="dxa"/>
              <w:bottom w:w="110" w:type="dxa"/>
              <w:right w:w="110" w:type="dxa"/>
            </w:tcMar>
          </w:tcPr>
          <w:p>
            <w:pPr>
              <w:spacing w:after="40" w:line="240" w:lineRule="auto"/>
            </w:pPr>
            <w:r/>
            <w:r>
              <w:rPr>
                <w:rFonts w:ascii="Arial" w:hAnsi="Arial"/>
                <w:b/>
                <w:color w:val="111827"/>
                <w:sz w:val="17"/>
              </w:rPr>
              <w:t>Time</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0F766E"/>
                <w:sz w:val="17"/>
              </w:rPr>
              <w:t>timestamp</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111827"/>
                <w:sz w:val="17"/>
              </w:rPr>
              <w:t>RFC 3161 timestamp evidence supports when the artifact existed.</w:t>
            </w:r>
          </w:p>
        </w:tc>
      </w:tr>
      <w:tr>
        <w:tc>
          <w:tcPr>
            <w:tcW w:type="dxa" w:w="3264"/>
            <w:vAlign w:val="top"/>
            <w:tcMar>
              <w:top w:w="110" w:type="dxa"/>
              <w:left w:w="110" w:type="dxa"/>
              <w:bottom w:w="110" w:type="dxa"/>
              <w:right w:w="110" w:type="dxa"/>
            </w:tcMar>
          </w:tcPr>
          <w:p>
            <w:pPr>
              <w:spacing w:after="40" w:line="240" w:lineRule="auto"/>
            </w:pPr>
            <w:r/>
            <w:r>
              <w:rPr>
                <w:rFonts w:ascii="Arial" w:hAnsi="Arial"/>
                <w:b/>
                <w:color w:val="111827"/>
                <w:sz w:val="17"/>
              </w:rPr>
              <w:t>Integrity</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0F766E"/>
                <w:sz w:val="17"/>
              </w:rPr>
              <w:t>ledger + signatures</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111827"/>
                <w:sz w:val="17"/>
              </w:rPr>
              <w:t>SHA-256 hash chain and Ed25519 signature make later alteration detectable.</w:t>
            </w:r>
          </w:p>
        </w:tc>
      </w:tr>
      <w:tr>
        <w:tc>
          <w:tcPr>
            <w:tcW w:type="dxa" w:w="3264"/>
            <w:vAlign w:val="top"/>
            <w:tcMar>
              <w:top w:w="110" w:type="dxa"/>
              <w:left w:w="110" w:type="dxa"/>
              <w:bottom w:w="110" w:type="dxa"/>
              <w:right w:w="110" w:type="dxa"/>
            </w:tcMar>
          </w:tcPr>
          <w:p>
            <w:pPr>
              <w:spacing w:after="40" w:line="240" w:lineRule="auto"/>
            </w:pPr>
            <w:r/>
            <w:r>
              <w:rPr>
                <w:rFonts w:ascii="Arial" w:hAnsi="Arial"/>
                <w:b/>
                <w:color w:val="111827"/>
                <w:sz w:val="17"/>
              </w:rPr>
              <w:t>User signal</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0F766E"/>
                <w:sz w:val="17"/>
              </w:rPr>
              <w:t>TrustBadge</w:t>
            </w:r>
          </w:p>
        </w:tc>
        <w:tc>
          <w:tcPr>
            <w:tcW w:type="dxa" w:w="3264"/>
            <w:vAlign w:val="top"/>
            <w:tcMar>
              <w:top w:w="110" w:type="dxa"/>
              <w:left w:w="110" w:type="dxa"/>
              <w:bottom w:w="110" w:type="dxa"/>
              <w:right w:w="110" w:type="dxa"/>
            </w:tcMar>
          </w:tcPr>
          <w:p>
            <w:pPr>
              <w:spacing w:after="40" w:line="240" w:lineRule="auto"/>
            </w:pPr>
            <w:r/>
            <w:r>
              <w:rPr>
                <w:rFonts w:ascii="Arial" w:hAnsi="Arial"/>
                <w:b w:val="0"/>
                <w:color w:val="111827"/>
                <w:sz w:val="17"/>
              </w:rPr>
              <w:t>A visible receipt lets non-technical users inspect the evidence boundary.</w:t>
            </w:r>
          </w:p>
        </w:tc>
      </w:tr>
    </w:tbl>
    <w:p>
      <w:pPr>
        <w:pStyle w:val="Heading1"/>
        <w:spacing w:after="100" w:line="252" w:lineRule="auto"/>
      </w:pPr>
      <w:r>
        <w:t>Recommended Campaign Language</w:t>
      </w:r>
    </w:p>
    <w:p>
      <w:pPr>
        <w:spacing w:after="100" w:line="252" w:lineRule="auto"/>
      </w:pPr>
      <w:r>
        <w:rPr>
          <w:b/>
        </w:rPr>
        <w:t xml:space="preserve">Commercial: </w:t>
      </w:r>
      <w:r>
        <w:t>Your AI system will not be trusted because it says it is compliant. It will be trusted when every answer carries a receipt.</w:t>
      </w:r>
    </w:p>
    <w:p>
      <w:pPr>
        <w:spacing w:after="100" w:line="252" w:lineRule="auto"/>
      </w:pPr>
      <w:r>
        <w:rPr>
          <w:b/>
        </w:rPr>
        <w:t xml:space="preserve">Compliance officer: </w:t>
      </w:r>
      <w:r>
        <w:t>Wrap one workflow and produce the first evidence pack: one signed output, one tamper test, one inspectable receipt.</w:t>
      </w:r>
    </w:p>
    <w:p>
      <w:pPr>
        <w:spacing w:after="100" w:line="252" w:lineRule="auto"/>
      </w:pPr>
      <w:r>
        <w:rPr>
          <w:b/>
        </w:rPr>
        <w:t xml:space="preserve">Policy/EU: </w:t>
      </w:r>
      <w:r>
        <w:t>The EU has rules. Enforcement needs a common evidence artifact. TSP proposes the open TrustEnvelope for that artifact.</w:t>
      </w:r>
    </w:p>
    <w:p>
      <w:pPr>
        <w:spacing w:after="100" w:line="252" w:lineRule="auto"/>
      </w:pPr>
      <w:r>
        <w:rPr>
          <w:b/>
        </w:rPr>
        <w:t xml:space="preserve">Procurement: </w:t>
      </w:r>
      <w:r>
        <w:t>Supplier shall provide TSP-compatible TrustEnvelopes, or an equivalent independently verifiable signed evidence artifact, for AI outputs in scope.</w:t>
      </w:r>
    </w:p>
    <w:p>
      <w:pPr>
        <w:pStyle w:val="Heading1"/>
        <w:spacing w:after="100" w:line="252" w:lineRule="auto"/>
      </w:pPr>
      <w:r>
        <w:t>What TSP Does Not Claim</w:t>
      </w:r>
    </w:p>
    <w:p>
      <w:pPr>
        <w:pStyle w:val="ListBullet"/>
        <w:spacing w:after="100" w:line="252" w:lineRule="auto"/>
      </w:pPr>
      <w:r>
        <w:t>TSP does not guarantee AI Act compliance.</w:t>
      </w:r>
    </w:p>
    <w:p>
      <w:pPr>
        <w:pStyle w:val="ListBullet"/>
        <w:spacing w:after="100" w:line="252" w:lineRule="auto"/>
      </w:pPr>
      <w:r>
        <w:t>TSP is not EU-approved and should not be presented as an official EU standard.</w:t>
      </w:r>
    </w:p>
    <w:p>
      <w:pPr>
        <w:pStyle w:val="ListBullet"/>
        <w:spacing w:after="100" w:line="252" w:lineRule="auto"/>
      </w:pPr>
      <w:r>
        <w:t>TSP does not replace lawyers, notified bodies, QMS, risk management, or data governance.</w:t>
      </w:r>
    </w:p>
    <w:p>
      <w:pPr>
        <w:pStyle w:val="ListBullet"/>
        <w:spacing w:after="100" w:line="252" w:lineRule="auto"/>
      </w:pPr>
      <w:r>
        <w:t>TSP does not flatten the staged AI Act timeline into one universal deadline.</w:t>
      </w:r>
    </w:p>
    <w:p>
      <w:pPr>
        <w:pStyle w:val="Heading1"/>
        <w:spacing w:after="100" w:line="252" w:lineRule="auto"/>
      </w:pPr>
      <w:r>
        <w:t>Four-Week Activation</w:t>
      </w:r>
    </w:p>
    <w:tbl>
      <w:tblPr>
        <w:tblStyle w:val="TableGrid"/>
        <w:tblW w:type="auto" w:w="0"/>
        <w:tblLook w:firstColumn="1" w:firstRow="1" w:lastColumn="0" w:lastRow="0" w:noHBand="0" w:noVBand="1" w:val="04A0"/>
      </w:tblPr>
      <w:tblGrid>
        <w:gridCol w:w="2448"/>
        <w:gridCol w:w="2448"/>
        <w:gridCol w:w="2448"/>
        <w:gridCol w:w="2448"/>
      </w:tblGrid>
      <w:tr>
        <w:tc>
          <w:tcPr>
            <w:tcW w:type="dxa" w:w="1440"/>
            <w:vAlign w:val="top"/>
            <w:shd w:fill="E5E7EB"/>
            <w:tcMar>
              <w:top w:w="100" w:type="dxa"/>
              <w:left w:w="100" w:type="dxa"/>
              <w:bottom w:w="100" w:type="dxa"/>
              <w:right w:w="100" w:type="dxa"/>
            </w:tcMar>
          </w:tcPr>
          <w:p>
            <w:pPr>
              <w:spacing w:after="40" w:line="240" w:lineRule="auto"/>
            </w:pPr>
            <w:r/>
            <w:r>
              <w:rPr>
                <w:rFonts w:ascii="Arial" w:hAnsi="Arial"/>
                <w:b/>
                <w:color w:val="111827"/>
                <w:sz w:val="17"/>
              </w:rPr>
              <w:t>Week</w:t>
            </w:r>
          </w:p>
        </w:tc>
        <w:tc>
          <w:tcPr>
            <w:tcW w:type="dxa" w:w="3240"/>
            <w:vAlign w:val="top"/>
            <w:shd w:fill="E5E7EB"/>
            <w:tcMar>
              <w:top w:w="100" w:type="dxa"/>
              <w:left w:w="100" w:type="dxa"/>
              <w:bottom w:w="100" w:type="dxa"/>
              <w:right w:w="100" w:type="dxa"/>
            </w:tcMar>
          </w:tcPr>
          <w:p>
            <w:pPr>
              <w:spacing w:after="40" w:line="240" w:lineRule="auto"/>
            </w:pPr>
            <w:r/>
            <w:r>
              <w:rPr>
                <w:rFonts w:ascii="Arial" w:hAnsi="Arial"/>
                <w:b/>
                <w:color w:val="111827"/>
                <w:sz w:val="17"/>
              </w:rPr>
              <w:t>Move</w:t>
            </w:r>
          </w:p>
        </w:tc>
        <w:tc>
          <w:tcPr>
            <w:tcW w:type="dxa" w:w="3528"/>
            <w:vAlign w:val="top"/>
            <w:shd w:fill="E5E7EB"/>
            <w:tcMar>
              <w:top w:w="100" w:type="dxa"/>
              <w:left w:w="100" w:type="dxa"/>
              <w:bottom w:w="100" w:type="dxa"/>
              <w:right w:w="100" w:type="dxa"/>
            </w:tcMar>
          </w:tcPr>
          <w:p>
            <w:pPr>
              <w:spacing w:after="40" w:line="240" w:lineRule="auto"/>
            </w:pPr>
            <w:r/>
            <w:r>
              <w:rPr>
                <w:rFonts w:ascii="Arial" w:hAnsi="Arial"/>
                <w:b/>
                <w:color w:val="111827"/>
                <w:sz w:val="17"/>
              </w:rPr>
              <w:t>Primary asset</w:t>
            </w:r>
          </w:p>
        </w:tc>
        <w:tc>
          <w:tcPr>
            <w:tcW w:type="dxa" w:w="3456"/>
            <w:vAlign w:val="top"/>
            <w:shd w:fill="E5E7EB"/>
            <w:tcMar>
              <w:top w:w="100" w:type="dxa"/>
              <w:left w:w="100" w:type="dxa"/>
              <w:bottom w:w="100" w:type="dxa"/>
              <w:right w:w="100" w:type="dxa"/>
            </w:tcMar>
          </w:tcPr>
          <w:p>
            <w:pPr>
              <w:spacing w:after="40" w:line="240" w:lineRule="auto"/>
            </w:pPr>
            <w:r/>
            <w:r>
              <w:rPr>
                <w:rFonts w:ascii="Arial" w:hAnsi="Arial"/>
                <w:b/>
                <w:color w:val="111827"/>
                <w:sz w:val="17"/>
              </w:rPr>
              <w:t>CTA</w:t>
            </w:r>
          </w:p>
        </w:tc>
      </w:tr>
      <w:tr>
        <w:tc>
          <w:tcPr>
            <w:tcW w:type="dxa" w:w="2448"/>
            <w:vAlign w:val="top"/>
            <w:tcMar>
              <w:top w:w="100" w:type="dxa"/>
              <w:left w:w="100" w:type="dxa"/>
              <w:bottom w:w="100" w:type="dxa"/>
              <w:right w:w="100" w:type="dxa"/>
            </w:tcMar>
          </w:tcPr>
          <w:p>
            <w:pPr>
              <w:spacing w:after="40" w:line="240" w:lineRule="auto"/>
            </w:pPr>
            <w:r/>
            <w:r>
              <w:rPr>
                <w:rFonts w:ascii="Arial" w:hAnsi="Arial"/>
                <w:b/>
                <w:color w:val="111827"/>
                <w:sz w:val="17"/>
              </w:rPr>
              <w:t>1</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Show the cliff</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Landing page + founder post + readiness checklist</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Run tamper demo</w:t>
            </w:r>
          </w:p>
        </w:tc>
      </w:tr>
      <w:tr>
        <w:tc>
          <w:tcPr>
            <w:tcW w:type="dxa" w:w="2448"/>
            <w:vAlign w:val="top"/>
            <w:tcMar>
              <w:top w:w="100" w:type="dxa"/>
              <w:left w:w="100" w:type="dxa"/>
              <w:bottom w:w="100" w:type="dxa"/>
              <w:right w:w="100" w:type="dxa"/>
            </w:tcMar>
          </w:tcPr>
          <w:p>
            <w:pPr>
              <w:spacing w:after="40" w:line="240" w:lineRule="auto"/>
            </w:pPr>
            <w:r/>
            <w:r>
              <w:rPr>
                <w:rFonts w:ascii="Arial" w:hAnsi="Arial"/>
                <w:b/>
                <w:color w:val="111827"/>
                <w:sz w:val="17"/>
              </w:rPr>
              <w:t>2</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Prove runtime evidence</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Model cards are not runtime evidence</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Install SDK</w:t>
            </w:r>
          </w:p>
        </w:tc>
      </w:tr>
      <w:tr>
        <w:tc>
          <w:tcPr>
            <w:tcW w:type="dxa" w:w="2448"/>
            <w:vAlign w:val="top"/>
            <w:tcMar>
              <w:top w:w="100" w:type="dxa"/>
              <w:left w:w="100" w:type="dxa"/>
              <w:bottom w:w="100" w:type="dxa"/>
              <w:right w:w="100" w:type="dxa"/>
            </w:tcMar>
          </w:tcPr>
          <w:p>
            <w:pPr>
              <w:spacing w:after="40" w:line="240" w:lineRule="auto"/>
            </w:pPr>
            <w:r/>
            <w:r>
              <w:rPr>
                <w:rFonts w:ascii="Arial" w:hAnsi="Arial"/>
                <w:b/>
                <w:color w:val="111827"/>
                <w:sz w:val="17"/>
              </w:rPr>
              <w:t>3</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Open policy track</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Memo + deck + procurement clause</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Request critique</w:t>
            </w:r>
          </w:p>
        </w:tc>
      </w:tr>
      <w:tr>
        <w:tc>
          <w:tcPr>
            <w:tcW w:type="dxa" w:w="2448"/>
            <w:vAlign w:val="top"/>
            <w:tcMar>
              <w:top w:w="100" w:type="dxa"/>
              <w:left w:w="100" w:type="dxa"/>
              <w:bottom w:w="100" w:type="dxa"/>
              <w:right w:w="100" w:type="dxa"/>
            </w:tcMar>
          </w:tcPr>
          <w:p>
            <w:pPr>
              <w:spacing w:after="40" w:line="240" w:lineRule="auto"/>
            </w:pPr>
            <w:r/>
            <w:r>
              <w:rPr>
                <w:rFonts w:ascii="Arial" w:hAnsi="Arial"/>
                <w:b/>
                <w:color w:val="111827"/>
                <w:sz w:val="17"/>
              </w:rPr>
              <w:t>4</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Convert warm demand</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30-day evidence pilot</w:t>
            </w:r>
          </w:p>
        </w:tc>
        <w:tc>
          <w:tcPr>
            <w:tcW w:type="dxa" w:w="2448"/>
            <w:vAlign w:val="top"/>
            <w:tcMar>
              <w:top w:w="100" w:type="dxa"/>
              <w:left w:w="100" w:type="dxa"/>
              <w:bottom w:w="100" w:type="dxa"/>
              <w:right w:w="100" w:type="dxa"/>
            </w:tcMar>
          </w:tcPr>
          <w:p>
            <w:pPr>
              <w:spacing w:after="40" w:line="240" w:lineRule="auto"/>
            </w:pPr>
            <w:r/>
            <w:r>
              <w:rPr>
                <w:rFonts w:ascii="Arial" w:hAnsi="Arial"/>
                <w:b w:val="0"/>
                <w:color w:val="111827"/>
                <w:sz w:val="17"/>
              </w:rPr>
              <w:t>Request pilot</w:t>
            </w:r>
          </w:p>
        </w:tc>
      </w:tr>
    </w:tbl>
    <w:p>
      <w:pPr>
        <w:pStyle w:val="Heading1"/>
        <w:spacing w:after="100" w:line="252" w:lineRule="auto"/>
      </w:pPr>
      <w:r>
        <w:t>Sources Used For Guardrails</w:t>
      </w:r>
    </w:p>
    <w:p>
      <w:pPr>
        <w:pStyle w:val="ListBullet"/>
        <w:spacing w:after="100" w:line="252" w:lineRule="auto"/>
      </w:pPr>
      <w:r>
        <w:t>European Commission AI Act timeline: https://digital-strategy.ec.europa.eu/en/policies/regulatory-framework-ai</w:t>
      </w:r>
    </w:p>
    <w:p>
      <w:pPr>
        <w:pStyle w:val="ListBullet"/>
        <w:spacing w:after="100" w:line="252" w:lineRule="auto"/>
      </w:pPr>
      <w:r>
        <w:t>Council press release on simplification agreement, 7 May 2026: https://www.consilium.europa.eu/en/press/press-releases/2026/05/07/artificial-intelligence-council-and-parliament-agree-to-simplify-and-streamline-rules/pdf/</w:t>
      </w:r>
    </w:p>
    <w:p>
      <w:pPr>
        <w:pStyle w:val="ListBullet"/>
        <w:spacing w:after="100" w:line="252" w:lineRule="auto"/>
      </w:pPr>
      <w:r>
        <w:t>AI Act Article 50 transparency obligations: https://ai-act-service-desk.ec.europa.eu/en/ai-act/article-50</w:t>
      </w:r>
    </w:p>
    <w:p>
      <w:pPr>
        <w:pStyle w:val="ListBullet"/>
        <w:spacing w:after="100" w:line="252" w:lineRule="auto"/>
      </w:pPr>
      <w:r>
        <w:t>AI Act Article 99 penalties: https://ai-act-service-desk.ec.europa.eu/en/ai-act/article-99</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6"/>
      </w:rPr>
      <w:t>Trust Standard Protocol · public alpha · free standard, optional paid pilots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TSP policy memo · AI Act evidence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82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