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CB70A3">
      <w:pPr>
        <w:jc w:val="both"/>
        <w:rPr>
          <w:rFonts w:hint="eastAsia"/>
          <w:b/>
          <w:bCs/>
        </w:rPr>
      </w:pPr>
      <w:r>
        <w:rPr>
          <w:b/>
          <w:bCs/>
        </w:rPr>
        <w:t>软件测试用例优先级规则（P0–P4，基于 ISTQB + 功能重要性 + 法律法规）</w:t>
      </w:r>
    </w:p>
    <w:p w14:paraId="4BACFA33">
      <w:pPr>
        <w:jc w:val="both"/>
        <w:rPr>
          <w:rFonts w:hint="eastAsia"/>
        </w:rPr>
      </w:pPr>
      <w:r>
        <w:rPr>
          <w:b/>
          <w:bCs/>
        </w:rPr>
        <w:t>适用场景</w:t>
      </w:r>
      <w:r>
        <w:t>：仅使用如下字段：</w:t>
      </w:r>
    </w:p>
    <w:p w14:paraId="46076053">
      <w:pPr>
        <w:numPr>
          <w:ilvl w:val="0"/>
          <w:numId w:val="1"/>
        </w:numPr>
        <w:jc w:val="both"/>
        <w:rPr>
          <w:rFonts w:hint="eastAsia"/>
        </w:rPr>
      </w:pPr>
      <w:r>
        <w:t>用例标题</w:t>
      </w:r>
    </w:p>
    <w:p w14:paraId="24073C47">
      <w:pPr>
        <w:numPr>
          <w:ilvl w:val="0"/>
          <w:numId w:val="1"/>
        </w:numPr>
        <w:jc w:val="both"/>
        <w:rPr>
          <w:rFonts w:hint="eastAsia"/>
        </w:rPr>
      </w:pPr>
      <w:r>
        <w:t>测试用例类型</w:t>
      </w:r>
    </w:p>
    <w:p w14:paraId="44A02764">
      <w:pPr>
        <w:numPr>
          <w:ilvl w:val="0"/>
          <w:numId w:val="1"/>
        </w:numPr>
        <w:jc w:val="both"/>
        <w:rPr>
          <w:rFonts w:hint="eastAsia"/>
        </w:rPr>
      </w:pPr>
      <w:r>
        <w:t>前置条件</w:t>
      </w:r>
    </w:p>
    <w:p w14:paraId="4F13F8A0">
      <w:pPr>
        <w:numPr>
          <w:ilvl w:val="0"/>
          <w:numId w:val="1"/>
        </w:numPr>
        <w:jc w:val="both"/>
        <w:rPr>
          <w:rFonts w:hint="eastAsia"/>
        </w:rPr>
      </w:pPr>
      <w:r>
        <w:t>操作步骤</w:t>
      </w:r>
    </w:p>
    <w:p w14:paraId="4C35EF09">
      <w:pPr>
        <w:numPr>
          <w:ilvl w:val="0"/>
          <w:numId w:val="1"/>
        </w:numPr>
        <w:jc w:val="both"/>
        <w:rPr>
          <w:rFonts w:hint="eastAsia"/>
        </w:rPr>
      </w:pPr>
      <w:r>
        <w:t>预期结果</w:t>
      </w:r>
    </w:p>
    <w:p w14:paraId="4C200F19">
      <w:pPr>
        <w:numPr>
          <w:ilvl w:val="0"/>
          <w:numId w:val="1"/>
        </w:numPr>
        <w:jc w:val="both"/>
        <w:rPr>
          <w:rFonts w:hint="eastAsia"/>
        </w:rPr>
      </w:pPr>
      <w:r>
        <w:t>功能模块</w:t>
      </w:r>
      <w:r>
        <w:br w:type="textWrapping"/>
      </w:r>
      <w:r>
        <w:t>不考虑使用频率、历史缺陷、技术实现细节。</w:t>
      </w:r>
    </w:p>
    <w:p w14:paraId="04F02254">
      <w:pPr>
        <w:jc w:val="both"/>
        <w:rPr>
          <w:rFonts w:hint="eastAsia"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61A7BE">
      <w:pPr>
        <w:jc w:val="both"/>
        <w:rPr>
          <w:rFonts w:hint="eastAsia"/>
          <w:b/>
          <w:bCs/>
        </w:rPr>
      </w:pPr>
      <w:r>
        <w:rPr>
          <w:rFonts w:ascii="Segoe UI Emoji" w:hAnsi="Segoe UI Emoji" w:cs="Segoe UI Emoji"/>
          <w:b/>
          <w:bCs/>
        </w:rPr>
        <w:t>📊</w:t>
      </w:r>
      <w:r>
        <w:rPr>
          <w:b/>
          <w:bCs/>
        </w:rPr>
        <w:t xml:space="preserve"> 优先级等级说明（P0–P4）</w:t>
      </w:r>
    </w:p>
    <w:tbl>
      <w:tblPr>
        <w:tblStyle w:val="13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2"/>
        <w:gridCol w:w="1391"/>
        <w:gridCol w:w="3338"/>
        <w:gridCol w:w="3265"/>
      </w:tblGrid>
      <w:tr w14:paraId="33CC6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C6CD27B">
            <w:pPr>
              <w:jc w:val="both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等级</w:t>
            </w:r>
          </w:p>
        </w:tc>
        <w:tc>
          <w:tcPr>
            <w:tcW w:w="0" w:type="auto"/>
            <w:vAlign w:val="center"/>
          </w:tcPr>
          <w:p w14:paraId="35D383D6">
            <w:pPr>
              <w:jc w:val="both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  <w:tc>
          <w:tcPr>
            <w:tcW w:w="0" w:type="auto"/>
            <w:vAlign w:val="center"/>
          </w:tcPr>
          <w:p w14:paraId="0E7589B4">
            <w:pPr>
              <w:jc w:val="both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描述</w:t>
            </w:r>
          </w:p>
        </w:tc>
        <w:tc>
          <w:tcPr>
            <w:tcW w:w="0" w:type="auto"/>
            <w:vAlign w:val="center"/>
          </w:tcPr>
          <w:p w14:paraId="4E307384">
            <w:pPr>
              <w:jc w:val="both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示例场景</w:t>
            </w:r>
          </w:p>
        </w:tc>
      </w:tr>
      <w:tr w14:paraId="4F310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29DF3C6">
            <w:pPr>
              <w:jc w:val="both"/>
              <w:rPr>
                <w:rFonts w:hint="eastAsia"/>
              </w:rPr>
            </w:pPr>
            <w:r>
              <w:rPr>
                <w:b/>
                <w:bCs/>
              </w:rPr>
              <w:t>P0</w:t>
            </w:r>
          </w:p>
        </w:tc>
        <w:tc>
          <w:tcPr>
            <w:tcW w:w="0" w:type="auto"/>
            <w:vAlign w:val="center"/>
          </w:tcPr>
          <w:p w14:paraId="409DC966">
            <w:pPr>
              <w:jc w:val="both"/>
              <w:rPr>
                <w:rFonts w:hint="eastAsia"/>
              </w:rPr>
            </w:pPr>
            <w:r>
              <w:t>阻断性 / 合规致命问题</w:t>
            </w:r>
          </w:p>
        </w:tc>
        <w:tc>
          <w:tcPr>
            <w:tcW w:w="0" w:type="auto"/>
            <w:vAlign w:val="center"/>
          </w:tcPr>
          <w:p w14:paraId="00441910">
            <w:pPr>
              <w:jc w:val="both"/>
              <w:rPr>
                <w:rFonts w:hint="eastAsia"/>
              </w:rPr>
            </w:pPr>
            <w:r>
              <w:rPr>
                <w:b/>
                <w:bCs/>
              </w:rPr>
              <w:t>系统主流程故障</w:t>
            </w:r>
            <w:r>
              <w:t xml:space="preserve"> 或 </w:t>
            </w:r>
            <w:r>
              <w:rPr>
                <w:b/>
                <w:bCs/>
              </w:rPr>
              <w:t>严重违反法律法规、风控问题</w:t>
            </w:r>
            <w:r>
              <w:t>，将阻断测试或上线流程。</w:t>
            </w:r>
          </w:p>
        </w:tc>
        <w:tc>
          <w:tcPr>
            <w:tcW w:w="0" w:type="auto"/>
            <w:vAlign w:val="center"/>
          </w:tcPr>
          <w:p w14:paraId="4F822778">
            <w:pPr>
              <w:jc w:val="both"/>
              <w:rPr>
                <w:rFonts w:hint="eastAsia"/>
              </w:rPr>
            </w:pPr>
            <w:r>
              <w:t>登录失败、支付失败、实名认证失效、儿童防沉迷缺失、违规数据上传</w:t>
            </w:r>
          </w:p>
        </w:tc>
      </w:tr>
      <w:tr w14:paraId="71D8E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765F150">
            <w:pPr>
              <w:jc w:val="both"/>
              <w:rPr>
                <w:rFonts w:hint="eastAsia"/>
              </w:rPr>
            </w:pPr>
            <w:r>
              <w:rPr>
                <w:b/>
                <w:bCs/>
              </w:rPr>
              <w:t>P1</w:t>
            </w:r>
          </w:p>
        </w:tc>
        <w:tc>
          <w:tcPr>
            <w:tcW w:w="0" w:type="auto"/>
            <w:vAlign w:val="center"/>
          </w:tcPr>
          <w:p w14:paraId="0CE757C4">
            <w:pPr>
              <w:jc w:val="both"/>
              <w:rPr>
                <w:rFonts w:hint="eastAsia"/>
              </w:rPr>
            </w:pPr>
            <w:r>
              <w:t>高优先级 / 法规关联重要功能</w:t>
            </w:r>
          </w:p>
        </w:tc>
        <w:tc>
          <w:tcPr>
            <w:tcW w:w="0" w:type="auto"/>
            <w:vAlign w:val="center"/>
          </w:tcPr>
          <w:p w14:paraId="221EBB8B">
            <w:pPr>
              <w:jc w:val="both"/>
              <w:rPr>
                <w:rFonts w:hint="eastAsia"/>
              </w:rPr>
            </w:pPr>
            <w:r>
              <w:t>非致命但影响</w:t>
            </w:r>
            <w:r>
              <w:rPr>
                <w:b/>
                <w:bCs/>
              </w:rPr>
              <w:t>核心业务流程或法律合规环节</w:t>
            </w:r>
            <w:r>
              <w:t>，需优先修复</w:t>
            </w:r>
          </w:p>
        </w:tc>
        <w:tc>
          <w:tcPr>
            <w:tcW w:w="0" w:type="auto"/>
            <w:vAlign w:val="center"/>
          </w:tcPr>
          <w:p w14:paraId="100D85F6">
            <w:pPr>
              <w:jc w:val="both"/>
              <w:rPr>
                <w:rFonts w:hint="eastAsia"/>
              </w:rPr>
            </w:pPr>
            <w:r>
              <w:t>内容推荐页展示不符版权要求、用户协议按钮不弹出、支付页面未提示风险</w:t>
            </w:r>
          </w:p>
        </w:tc>
      </w:tr>
      <w:tr w14:paraId="14AD6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9068583">
            <w:pPr>
              <w:jc w:val="both"/>
              <w:rPr>
                <w:rFonts w:hint="eastAsia"/>
              </w:rPr>
            </w:pPr>
            <w:r>
              <w:rPr>
                <w:b/>
                <w:bCs/>
              </w:rPr>
              <w:t>P2</w:t>
            </w:r>
          </w:p>
        </w:tc>
        <w:tc>
          <w:tcPr>
            <w:tcW w:w="0" w:type="auto"/>
            <w:vAlign w:val="center"/>
          </w:tcPr>
          <w:p w14:paraId="7A3CBF17">
            <w:pPr>
              <w:jc w:val="both"/>
              <w:rPr>
                <w:rFonts w:hint="eastAsia"/>
              </w:rPr>
            </w:pPr>
            <w:r>
              <w:t>中优先级功能问题</w:t>
            </w:r>
          </w:p>
        </w:tc>
        <w:tc>
          <w:tcPr>
            <w:tcW w:w="0" w:type="auto"/>
            <w:vAlign w:val="center"/>
          </w:tcPr>
          <w:p w14:paraId="077BC0A8">
            <w:pPr>
              <w:jc w:val="both"/>
              <w:rPr>
                <w:rFonts w:hint="eastAsia"/>
              </w:rPr>
            </w:pPr>
            <w:r>
              <w:rPr>
                <w:b/>
                <w:bCs/>
              </w:rPr>
              <w:t>次主路径或非法规类功能</w:t>
            </w:r>
            <w:r>
              <w:t>出错，不影响主流程但会降低用户体验</w:t>
            </w:r>
          </w:p>
        </w:tc>
        <w:tc>
          <w:tcPr>
            <w:tcW w:w="0" w:type="auto"/>
            <w:vAlign w:val="center"/>
          </w:tcPr>
          <w:p w14:paraId="319AA4B4">
            <w:pPr>
              <w:jc w:val="both"/>
              <w:rPr>
                <w:rFonts w:hint="eastAsia"/>
              </w:rPr>
            </w:pPr>
            <w:r>
              <w:t>二级模块失效、容错机制未触发、边界值逻辑错误</w:t>
            </w:r>
          </w:p>
        </w:tc>
      </w:tr>
      <w:tr w14:paraId="0E6A5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B21B6D2">
            <w:pPr>
              <w:jc w:val="both"/>
              <w:rPr>
                <w:rFonts w:hint="eastAsia"/>
              </w:rPr>
            </w:pPr>
            <w:r>
              <w:rPr>
                <w:b/>
                <w:bCs/>
              </w:rPr>
              <w:t>P3</w:t>
            </w:r>
          </w:p>
        </w:tc>
        <w:tc>
          <w:tcPr>
            <w:tcW w:w="0" w:type="auto"/>
            <w:vAlign w:val="center"/>
          </w:tcPr>
          <w:p w14:paraId="376F797F">
            <w:pPr>
              <w:jc w:val="both"/>
              <w:rPr>
                <w:rFonts w:hint="eastAsia"/>
              </w:rPr>
            </w:pPr>
            <w:r>
              <w:t>边缘用例或非功能型</w:t>
            </w:r>
          </w:p>
        </w:tc>
        <w:tc>
          <w:tcPr>
            <w:tcW w:w="0" w:type="auto"/>
            <w:vAlign w:val="center"/>
          </w:tcPr>
          <w:p w14:paraId="4A94C37E">
            <w:pPr>
              <w:jc w:val="both"/>
              <w:rPr>
                <w:rFonts w:hint="eastAsia"/>
              </w:rPr>
            </w:pPr>
            <w:r>
              <w:rPr>
                <w:b/>
                <w:bCs/>
              </w:rPr>
              <w:t>可用性、交互、UI/兼容性问题</w:t>
            </w:r>
            <w:r>
              <w:t>，不影响功能或法规</w:t>
            </w:r>
          </w:p>
        </w:tc>
        <w:tc>
          <w:tcPr>
            <w:tcW w:w="0" w:type="auto"/>
            <w:vAlign w:val="center"/>
          </w:tcPr>
          <w:p w14:paraId="481CA81E">
            <w:pPr>
              <w:jc w:val="both"/>
              <w:rPr>
                <w:rFonts w:hint="eastAsia"/>
              </w:rPr>
            </w:pPr>
            <w:r>
              <w:t>Tab切换跳转异常、文案错误、部分设备兼容失败</w:t>
            </w:r>
          </w:p>
        </w:tc>
      </w:tr>
      <w:tr w14:paraId="31971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9549C4">
            <w:pPr>
              <w:jc w:val="both"/>
              <w:rPr>
                <w:rFonts w:hint="eastAsia"/>
              </w:rPr>
            </w:pPr>
            <w:r>
              <w:rPr>
                <w:b/>
                <w:bCs/>
              </w:rPr>
              <w:t>P4</w:t>
            </w:r>
          </w:p>
        </w:tc>
        <w:tc>
          <w:tcPr>
            <w:tcW w:w="0" w:type="auto"/>
            <w:vAlign w:val="center"/>
          </w:tcPr>
          <w:p w14:paraId="773BAADC">
            <w:pPr>
              <w:jc w:val="both"/>
              <w:rPr>
                <w:rFonts w:hint="eastAsia"/>
              </w:rPr>
            </w:pPr>
            <w:r>
              <w:t>纯展示或辅助性验证</w:t>
            </w:r>
          </w:p>
        </w:tc>
        <w:tc>
          <w:tcPr>
            <w:tcW w:w="0" w:type="auto"/>
            <w:vAlign w:val="center"/>
          </w:tcPr>
          <w:p w14:paraId="47169EC6">
            <w:pPr>
              <w:jc w:val="both"/>
              <w:rPr>
                <w:rFonts w:hint="eastAsia"/>
              </w:rPr>
            </w:pPr>
            <w:r>
              <w:rPr>
                <w:b/>
                <w:bCs/>
              </w:rPr>
              <w:t>不影响功能/体验/法规</w:t>
            </w:r>
            <w:r>
              <w:t>的纯展示类场景</w:t>
            </w:r>
          </w:p>
        </w:tc>
        <w:tc>
          <w:tcPr>
            <w:tcW w:w="0" w:type="auto"/>
            <w:vAlign w:val="center"/>
          </w:tcPr>
          <w:p w14:paraId="49D5FEA6">
            <w:pPr>
              <w:jc w:val="both"/>
              <w:rPr>
                <w:rFonts w:hint="eastAsia"/>
              </w:rPr>
            </w:pPr>
            <w:r>
              <w:t>页面样式对齐、颜色错位、图标替换未生效</w:t>
            </w:r>
          </w:p>
        </w:tc>
      </w:tr>
    </w:tbl>
    <w:p w14:paraId="0C265800">
      <w:pPr>
        <w:jc w:val="both"/>
        <w:rPr>
          <w:rFonts w:hint="eastAsia"/>
        </w:rPr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0AB18C">
      <w:pPr>
        <w:jc w:val="both"/>
        <w:rPr>
          <w:rFonts w:hint="eastAsia"/>
          <w:b/>
          <w:bCs/>
        </w:rPr>
      </w:pPr>
      <w:r>
        <w:rPr>
          <w:rFonts w:ascii="Segoe UI Emoji" w:hAnsi="Segoe UI Emoji" w:cs="Segoe UI Emoji"/>
          <w:b/>
          <w:bCs/>
        </w:rPr>
        <w:t>📐</w:t>
      </w:r>
      <w:r>
        <w:rPr>
          <w:b/>
          <w:bCs/>
        </w:rPr>
        <w:t xml:space="preserve"> 评估维度设计（六大维度，满分 30 分）</w:t>
      </w:r>
    </w:p>
    <w:tbl>
      <w:tblPr>
        <w:tblStyle w:val="13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9"/>
        <w:gridCol w:w="3978"/>
        <w:gridCol w:w="3109"/>
      </w:tblGrid>
      <w:tr w14:paraId="3F2C8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34A0E84">
            <w:pPr>
              <w:jc w:val="both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维度</w:t>
            </w:r>
          </w:p>
        </w:tc>
        <w:tc>
          <w:tcPr>
            <w:tcW w:w="0" w:type="auto"/>
            <w:vAlign w:val="center"/>
          </w:tcPr>
          <w:p w14:paraId="5B1BC2CE">
            <w:pPr>
              <w:jc w:val="both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含义</w:t>
            </w:r>
          </w:p>
        </w:tc>
        <w:tc>
          <w:tcPr>
            <w:tcW w:w="0" w:type="auto"/>
            <w:vAlign w:val="center"/>
          </w:tcPr>
          <w:p w14:paraId="530D4568">
            <w:pPr>
              <w:jc w:val="both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评分说明</w:t>
            </w:r>
          </w:p>
        </w:tc>
      </w:tr>
      <w:tr w14:paraId="043E4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A717860">
            <w:pPr>
              <w:jc w:val="both"/>
              <w:rPr>
                <w:rFonts w:hint="eastAsia"/>
              </w:rPr>
            </w:pPr>
            <w:r>
              <w:t>① 功能关键性</w:t>
            </w:r>
          </w:p>
        </w:tc>
        <w:tc>
          <w:tcPr>
            <w:tcW w:w="0" w:type="auto"/>
            <w:vAlign w:val="center"/>
          </w:tcPr>
          <w:p w14:paraId="5E23B3AB">
            <w:pPr>
              <w:jc w:val="both"/>
              <w:rPr>
                <w:rFonts w:hint="eastAsia"/>
              </w:rPr>
            </w:pPr>
            <w:r>
              <w:t>该用例是否位于核心功能路径</w:t>
            </w:r>
          </w:p>
        </w:tc>
        <w:tc>
          <w:tcPr>
            <w:tcW w:w="0" w:type="auto"/>
            <w:vAlign w:val="center"/>
          </w:tcPr>
          <w:p w14:paraId="1AB09B30">
            <w:pPr>
              <w:jc w:val="both"/>
              <w:rPr>
                <w:rFonts w:hint="eastAsia"/>
              </w:rPr>
            </w:pPr>
            <w:r>
              <w:t>5=主路径，3=子流程，1=边缘</w:t>
            </w:r>
          </w:p>
        </w:tc>
      </w:tr>
      <w:tr w14:paraId="4A7B7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36E31C1">
            <w:pPr>
              <w:jc w:val="both"/>
              <w:rPr>
                <w:rFonts w:hint="eastAsia"/>
              </w:rPr>
            </w:pPr>
            <w:r>
              <w:t>② 失败影响范围</w:t>
            </w:r>
          </w:p>
        </w:tc>
        <w:tc>
          <w:tcPr>
            <w:tcW w:w="0" w:type="auto"/>
            <w:vAlign w:val="center"/>
          </w:tcPr>
          <w:p w14:paraId="15779760">
            <w:pPr>
              <w:jc w:val="both"/>
              <w:rPr>
                <w:rFonts w:hint="eastAsia"/>
              </w:rPr>
            </w:pPr>
            <w:r>
              <w:t>若失败，是否阻断业务流程或造成严重后果</w:t>
            </w:r>
          </w:p>
        </w:tc>
        <w:tc>
          <w:tcPr>
            <w:tcW w:w="0" w:type="auto"/>
            <w:vAlign w:val="center"/>
          </w:tcPr>
          <w:p w14:paraId="27F704AF">
            <w:pPr>
              <w:jc w:val="both"/>
              <w:rPr>
                <w:rFonts w:hint="eastAsia"/>
              </w:rPr>
            </w:pPr>
            <w:r>
              <w:t>5=系统级影响，3=模块中断，1=局部可接受</w:t>
            </w:r>
          </w:p>
        </w:tc>
      </w:tr>
      <w:tr w14:paraId="1278A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E043653">
            <w:pPr>
              <w:jc w:val="both"/>
              <w:rPr>
                <w:rFonts w:hint="eastAsia"/>
              </w:rPr>
            </w:pPr>
            <w:r>
              <w:t>③ 法律法规合规性</w:t>
            </w:r>
          </w:p>
        </w:tc>
        <w:tc>
          <w:tcPr>
            <w:tcW w:w="0" w:type="auto"/>
            <w:vAlign w:val="center"/>
          </w:tcPr>
          <w:p w14:paraId="02A516AD">
            <w:pPr>
              <w:jc w:val="both"/>
              <w:rPr>
                <w:rFonts w:hint="eastAsia"/>
              </w:rPr>
            </w:pPr>
            <w:r>
              <w:t>是否涉及支付、实名认证、隐私、儿童保护、内容审查等法律法规要求</w:t>
            </w:r>
          </w:p>
        </w:tc>
        <w:tc>
          <w:tcPr>
            <w:tcW w:w="0" w:type="auto"/>
            <w:vAlign w:val="center"/>
          </w:tcPr>
          <w:p w14:paraId="12639C87">
            <w:pPr>
              <w:jc w:val="both"/>
              <w:rPr>
                <w:rFonts w:hint="eastAsia"/>
              </w:rPr>
            </w:pPr>
            <w:r>
              <w:t>5=国家强制类要求，3=平台自律要求，1=无法规关联</w:t>
            </w:r>
          </w:p>
        </w:tc>
      </w:tr>
      <w:tr w14:paraId="66326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A424CAB">
            <w:pPr>
              <w:jc w:val="both"/>
              <w:rPr>
                <w:rFonts w:hint="eastAsia"/>
              </w:rPr>
            </w:pPr>
            <w:r>
              <w:t>④ 风控依赖性</w:t>
            </w:r>
          </w:p>
        </w:tc>
        <w:tc>
          <w:tcPr>
            <w:tcW w:w="0" w:type="auto"/>
            <w:vAlign w:val="center"/>
          </w:tcPr>
          <w:p w14:paraId="1C841EA7">
            <w:pPr>
              <w:jc w:val="both"/>
              <w:rPr>
                <w:rFonts w:hint="eastAsia"/>
              </w:rPr>
            </w:pPr>
            <w:r>
              <w:t>是否可能造成数据风险、资金风险、内容审核失败</w:t>
            </w:r>
          </w:p>
        </w:tc>
        <w:tc>
          <w:tcPr>
            <w:tcW w:w="0" w:type="auto"/>
            <w:vAlign w:val="center"/>
          </w:tcPr>
          <w:p w14:paraId="1398C10A">
            <w:pPr>
              <w:jc w:val="both"/>
              <w:rPr>
                <w:rFonts w:hint="eastAsia"/>
              </w:rPr>
            </w:pPr>
            <w:r>
              <w:t>5=支付安全、数据敏感，3=内容违规风险，1=无</w:t>
            </w:r>
          </w:p>
        </w:tc>
      </w:tr>
      <w:tr w14:paraId="7CC61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64030ED">
            <w:pPr>
              <w:jc w:val="both"/>
              <w:rPr>
                <w:rFonts w:hint="eastAsia"/>
              </w:rPr>
            </w:pPr>
            <w:r>
              <w:t>⑤ 是否阻断测试流程</w:t>
            </w:r>
          </w:p>
        </w:tc>
        <w:tc>
          <w:tcPr>
            <w:tcW w:w="0" w:type="auto"/>
            <w:vAlign w:val="center"/>
          </w:tcPr>
          <w:p w14:paraId="57A1CD56">
            <w:pPr>
              <w:jc w:val="both"/>
              <w:rPr>
                <w:rFonts w:hint="eastAsia"/>
              </w:rPr>
            </w:pPr>
            <w:r>
              <w:t>该用例失败是否将影响整个模块或系统测试</w:t>
            </w:r>
          </w:p>
        </w:tc>
        <w:tc>
          <w:tcPr>
            <w:tcW w:w="0" w:type="auto"/>
            <w:vAlign w:val="center"/>
          </w:tcPr>
          <w:p w14:paraId="754F42E4">
            <w:pPr>
              <w:jc w:val="both"/>
              <w:rPr>
                <w:rFonts w:hint="eastAsia"/>
              </w:rPr>
            </w:pPr>
            <w:r>
              <w:t>5=冒烟测试必测，3=模块级依赖，1=孤立用例</w:t>
            </w:r>
          </w:p>
        </w:tc>
      </w:tr>
      <w:tr w14:paraId="088FD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7A73FBD">
            <w:pPr>
              <w:jc w:val="both"/>
              <w:rPr>
                <w:rFonts w:hint="eastAsia"/>
              </w:rPr>
            </w:pPr>
            <w:r>
              <w:t>⑥ 仅UI或辅助</w:t>
            </w:r>
          </w:p>
        </w:tc>
        <w:tc>
          <w:tcPr>
            <w:tcW w:w="0" w:type="auto"/>
            <w:vAlign w:val="center"/>
          </w:tcPr>
          <w:p w14:paraId="464524A1">
            <w:pPr>
              <w:jc w:val="both"/>
              <w:rPr>
                <w:rFonts w:hint="eastAsia"/>
              </w:rPr>
            </w:pPr>
            <w:r>
              <w:t>该用例是否为仅展示、无逻辑、无风控/合规的纯辅助</w:t>
            </w:r>
          </w:p>
        </w:tc>
        <w:tc>
          <w:tcPr>
            <w:tcW w:w="0" w:type="auto"/>
            <w:vAlign w:val="center"/>
          </w:tcPr>
          <w:p w14:paraId="659B0EB3">
            <w:pPr>
              <w:jc w:val="both"/>
              <w:rPr>
                <w:rFonts w:hint="eastAsia"/>
              </w:rPr>
            </w:pPr>
            <w:r>
              <w:t>5=纯UI跳转，无逻辑，1=有判断逻辑</w:t>
            </w:r>
          </w:p>
        </w:tc>
      </w:tr>
    </w:tbl>
    <w:p w14:paraId="1232E249">
      <w:pPr>
        <w:jc w:val="both"/>
        <w:rPr>
          <w:rFonts w:hint="eastAsia"/>
        </w:rPr>
      </w:pPr>
      <w:r>
        <w:rPr>
          <w:rFonts w:ascii="Segoe UI Emoji" w:hAnsi="Segoe UI Emoji" w:cs="Segoe UI Emoji"/>
        </w:rPr>
        <w:t>🔁</w:t>
      </w:r>
      <w:r>
        <w:t xml:space="preserve"> </w:t>
      </w:r>
      <w:r>
        <w:rPr>
          <w:b/>
          <w:bCs/>
        </w:rPr>
        <w:t>注意</w:t>
      </w:r>
      <w:r>
        <w:t>：第六项为“扣分项”（得分越高越不重要）</w:t>
      </w:r>
    </w:p>
    <w:p w14:paraId="451FB441">
      <w:pPr>
        <w:jc w:val="both"/>
        <w:rPr>
          <w:rFonts w:hint="eastAsia"/>
        </w:rPr>
      </w:pPr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53021E">
      <w:pPr>
        <w:jc w:val="both"/>
        <w:rPr>
          <w:rFonts w:hint="eastAsia"/>
          <w:b/>
          <w:bCs/>
        </w:rPr>
      </w:pPr>
      <w:r>
        <w:rPr>
          <w:rFonts w:ascii="Segoe UI Emoji" w:hAnsi="Segoe UI Emoji" w:cs="Segoe UI Emoji"/>
          <w:b/>
          <w:bCs/>
        </w:rPr>
        <w:t>🧮</w:t>
      </w:r>
      <w:r>
        <w:rPr>
          <w:b/>
          <w:bCs/>
        </w:rPr>
        <w:t xml:space="preserve"> 计算规则与优先级映射</w:t>
      </w:r>
    </w:p>
    <w:p w14:paraId="4785374D">
      <w:pPr>
        <w:jc w:val="both"/>
        <w:rPr>
          <w:rFonts w:hint="eastAsia"/>
        </w:rPr>
      </w:pPr>
      <w:r>
        <w:t>最终得分 = ① + ② + ③ + ④ + ⑤ - ⑥</w:t>
      </w:r>
    </w:p>
    <w:tbl>
      <w:tblPr>
        <w:tblStyle w:val="13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5"/>
        <w:gridCol w:w="740"/>
        <w:gridCol w:w="4055"/>
      </w:tblGrid>
      <w:tr w14:paraId="22898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CA76F4B">
            <w:pPr>
              <w:jc w:val="both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总得分范围</w:t>
            </w:r>
          </w:p>
        </w:tc>
        <w:tc>
          <w:tcPr>
            <w:tcW w:w="0" w:type="auto"/>
            <w:vAlign w:val="center"/>
          </w:tcPr>
          <w:p w14:paraId="1E6586C9">
            <w:pPr>
              <w:jc w:val="both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优先级</w:t>
            </w:r>
          </w:p>
        </w:tc>
        <w:tc>
          <w:tcPr>
            <w:tcW w:w="0" w:type="auto"/>
            <w:vAlign w:val="center"/>
          </w:tcPr>
          <w:p w14:paraId="37F08E22">
            <w:pPr>
              <w:jc w:val="both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含义</w:t>
            </w:r>
          </w:p>
        </w:tc>
      </w:tr>
      <w:tr w14:paraId="5365B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0577BB1">
            <w:pPr>
              <w:jc w:val="both"/>
              <w:rPr>
                <w:rFonts w:hint="eastAsia"/>
              </w:rPr>
            </w:pPr>
            <w:r>
              <w:t>≥18</w:t>
            </w:r>
          </w:p>
        </w:tc>
        <w:tc>
          <w:tcPr>
            <w:tcW w:w="0" w:type="auto"/>
            <w:vAlign w:val="center"/>
          </w:tcPr>
          <w:p w14:paraId="0730FAFD">
            <w:pPr>
              <w:jc w:val="both"/>
              <w:rPr>
                <w:rFonts w:hint="eastAsia"/>
              </w:rPr>
            </w:pPr>
            <w:r>
              <w:rPr>
                <w:b/>
                <w:bCs/>
              </w:rPr>
              <w:t>P0</w:t>
            </w:r>
          </w:p>
        </w:tc>
        <w:tc>
          <w:tcPr>
            <w:tcW w:w="0" w:type="auto"/>
            <w:vAlign w:val="center"/>
          </w:tcPr>
          <w:p w14:paraId="7D196C89">
            <w:pPr>
              <w:jc w:val="both"/>
              <w:rPr>
                <w:rFonts w:hint="eastAsia"/>
              </w:rPr>
            </w:pPr>
            <w:r>
              <w:t>系统阻断 + 合规致命 + 无替代路径</w:t>
            </w:r>
          </w:p>
        </w:tc>
      </w:tr>
      <w:tr w14:paraId="74D0E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17260C3">
            <w:pPr>
              <w:jc w:val="both"/>
              <w:rPr>
                <w:rFonts w:hint="eastAsia"/>
              </w:rPr>
            </w:pPr>
            <w:r>
              <w:t>14–17</w:t>
            </w:r>
          </w:p>
        </w:tc>
        <w:tc>
          <w:tcPr>
            <w:tcW w:w="0" w:type="auto"/>
            <w:vAlign w:val="center"/>
          </w:tcPr>
          <w:p w14:paraId="1BF6D8D5">
            <w:pPr>
              <w:jc w:val="both"/>
              <w:rPr>
                <w:rFonts w:hint="eastAsia"/>
              </w:rPr>
            </w:pPr>
            <w:r>
              <w:rPr>
                <w:b/>
                <w:bCs/>
              </w:rPr>
              <w:t>P1</w:t>
            </w:r>
          </w:p>
        </w:tc>
        <w:tc>
          <w:tcPr>
            <w:tcW w:w="0" w:type="auto"/>
            <w:vAlign w:val="center"/>
          </w:tcPr>
          <w:p w14:paraId="67E91B80">
            <w:pPr>
              <w:jc w:val="both"/>
              <w:rPr>
                <w:rFonts w:hint="eastAsia"/>
              </w:rPr>
            </w:pPr>
            <w:r>
              <w:t>非阻断但涉及合规、风控或重要业务路径</w:t>
            </w:r>
          </w:p>
        </w:tc>
      </w:tr>
      <w:tr w14:paraId="7DE4F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CE30F29">
            <w:pPr>
              <w:jc w:val="both"/>
              <w:rPr>
                <w:rFonts w:hint="eastAsia"/>
              </w:rPr>
            </w:pPr>
            <w:r>
              <w:t>10–13</w:t>
            </w:r>
          </w:p>
        </w:tc>
        <w:tc>
          <w:tcPr>
            <w:tcW w:w="0" w:type="auto"/>
            <w:vAlign w:val="center"/>
          </w:tcPr>
          <w:p w14:paraId="7DC940E0">
            <w:pPr>
              <w:jc w:val="both"/>
              <w:rPr>
                <w:rFonts w:hint="eastAsia"/>
              </w:rPr>
            </w:pPr>
            <w:r>
              <w:rPr>
                <w:b/>
                <w:bCs/>
              </w:rPr>
              <w:t>P2</w:t>
            </w:r>
          </w:p>
        </w:tc>
        <w:tc>
          <w:tcPr>
            <w:tcW w:w="0" w:type="auto"/>
            <w:vAlign w:val="center"/>
          </w:tcPr>
          <w:p w14:paraId="2CCADF4A">
            <w:pPr>
              <w:jc w:val="both"/>
              <w:rPr>
                <w:rFonts w:hint="eastAsia"/>
              </w:rPr>
            </w:pPr>
            <w:r>
              <w:t>模块重要功能或通用次主路径</w:t>
            </w:r>
          </w:p>
        </w:tc>
      </w:tr>
      <w:tr w14:paraId="78890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394CFCF">
            <w:pPr>
              <w:jc w:val="both"/>
              <w:rPr>
                <w:rFonts w:hint="eastAsia"/>
              </w:rPr>
            </w:pPr>
            <w:r>
              <w:t>6–9</w:t>
            </w:r>
          </w:p>
        </w:tc>
        <w:tc>
          <w:tcPr>
            <w:tcW w:w="0" w:type="auto"/>
            <w:vAlign w:val="center"/>
          </w:tcPr>
          <w:p w14:paraId="0EF51C88">
            <w:pPr>
              <w:jc w:val="both"/>
              <w:rPr>
                <w:rFonts w:hint="eastAsia"/>
              </w:rPr>
            </w:pPr>
            <w:r>
              <w:rPr>
                <w:b/>
                <w:bCs/>
              </w:rPr>
              <w:t>P3</w:t>
            </w:r>
          </w:p>
        </w:tc>
        <w:tc>
          <w:tcPr>
            <w:tcW w:w="0" w:type="auto"/>
            <w:vAlign w:val="center"/>
          </w:tcPr>
          <w:p w14:paraId="6C544932">
            <w:pPr>
              <w:jc w:val="both"/>
              <w:rPr>
                <w:rFonts w:hint="eastAsia"/>
              </w:rPr>
            </w:pPr>
            <w:r>
              <w:t>边缘流程、容错测试</w:t>
            </w:r>
          </w:p>
        </w:tc>
      </w:tr>
      <w:tr w14:paraId="5887B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B084242">
            <w:pPr>
              <w:jc w:val="both"/>
              <w:rPr>
                <w:rFonts w:hint="eastAsia"/>
              </w:rPr>
            </w:pPr>
            <w:r>
              <w:t>≤5</w:t>
            </w:r>
          </w:p>
        </w:tc>
        <w:tc>
          <w:tcPr>
            <w:tcW w:w="0" w:type="auto"/>
            <w:vAlign w:val="center"/>
          </w:tcPr>
          <w:p w14:paraId="46E2B677">
            <w:pPr>
              <w:jc w:val="both"/>
              <w:rPr>
                <w:rFonts w:hint="eastAsia"/>
              </w:rPr>
            </w:pPr>
            <w:r>
              <w:rPr>
                <w:b/>
                <w:bCs/>
              </w:rPr>
              <w:t>P4</w:t>
            </w:r>
          </w:p>
        </w:tc>
        <w:tc>
          <w:tcPr>
            <w:tcW w:w="0" w:type="auto"/>
            <w:vAlign w:val="center"/>
          </w:tcPr>
          <w:p w14:paraId="027EE0EE">
            <w:pPr>
              <w:jc w:val="both"/>
              <w:rPr>
                <w:rFonts w:hint="eastAsia"/>
              </w:rPr>
            </w:pPr>
            <w:r>
              <w:t>无逻辑、展示性、完全无影响类</w:t>
            </w:r>
          </w:p>
        </w:tc>
      </w:tr>
    </w:tbl>
    <w:p w14:paraId="6A1B7708">
      <w:pPr>
        <w:jc w:val="both"/>
        <w:rPr>
          <w:rFonts w:hint="eastAsia"/>
        </w:rPr>
      </w:pPr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B269B0">
      <w:pPr>
        <w:jc w:val="both"/>
        <w:rPr>
          <w:rFonts w:hint="eastAsia"/>
          <w:b/>
          <w:bCs/>
        </w:rPr>
      </w:pPr>
      <w:r>
        <w:rPr>
          <w:rFonts w:ascii="Segoe UI Emoji" w:hAnsi="Segoe UI Emoji" w:cs="Segoe UI Emoji"/>
          <w:b/>
          <w:bCs/>
        </w:rPr>
        <w:t>📘</w:t>
      </w:r>
      <w:r>
        <w:rPr>
          <w:b/>
          <w:bCs/>
        </w:rPr>
        <w:t xml:space="preserve"> 优先级判断示例（带理由）</w:t>
      </w:r>
    </w:p>
    <w:p w14:paraId="698D6179">
      <w:pPr>
        <w:jc w:val="both"/>
        <w:rPr>
          <w:rFonts w:hint="eastAsia"/>
        </w:rPr>
      </w:pPr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E1454E">
      <w:pPr>
        <w:jc w:val="both"/>
        <w:rPr>
          <w:rFonts w:hint="eastAsia"/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示例 1：</w:t>
      </w:r>
    </w:p>
    <w:p w14:paraId="302CC62F">
      <w:pPr>
        <w:jc w:val="both"/>
        <w:rPr>
          <w:rFonts w:hint="eastAsia"/>
        </w:rPr>
      </w:pPr>
      <w:r>
        <w:rPr>
          <w:b/>
          <w:bCs/>
        </w:rPr>
        <w:t>用例标题</w:t>
      </w:r>
      <w:r>
        <w:t>：礼物面板点击赠送按钮无券，触发购买页面</w:t>
      </w:r>
      <w:r>
        <w:br w:type="textWrapping"/>
      </w:r>
      <w:r>
        <w:rPr>
          <w:b/>
          <w:bCs/>
        </w:rPr>
        <w:t>操作</w:t>
      </w:r>
      <w:r>
        <w:t>：点击按钮 → 弹 toast 提示 + 拉起充值页面</w:t>
      </w:r>
      <w:r>
        <w:br w:type="textWrapping"/>
      </w:r>
      <w:r>
        <w:rPr>
          <w:b/>
          <w:bCs/>
        </w:rPr>
        <w:t>风险点</w:t>
      </w:r>
      <w:r>
        <w:t>：涉及用户支付行为、余额提示、充值指引（属金融合规）</w:t>
      </w:r>
    </w:p>
    <w:tbl>
      <w:tblPr>
        <w:tblStyle w:val="13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5"/>
        <w:gridCol w:w="520"/>
        <w:gridCol w:w="2955"/>
      </w:tblGrid>
      <w:tr w14:paraId="7B3D4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0BBD4DD">
            <w:pPr>
              <w:jc w:val="both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维度</w:t>
            </w:r>
          </w:p>
        </w:tc>
        <w:tc>
          <w:tcPr>
            <w:tcW w:w="0" w:type="auto"/>
            <w:vAlign w:val="center"/>
          </w:tcPr>
          <w:p w14:paraId="00E1E952">
            <w:pPr>
              <w:jc w:val="both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分数</w:t>
            </w:r>
          </w:p>
        </w:tc>
        <w:tc>
          <w:tcPr>
            <w:tcW w:w="0" w:type="auto"/>
            <w:vAlign w:val="center"/>
          </w:tcPr>
          <w:p w14:paraId="75C0A9C1">
            <w:pPr>
              <w:jc w:val="both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理由</w:t>
            </w:r>
          </w:p>
        </w:tc>
      </w:tr>
      <w:tr w14:paraId="1837C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A1D90DE">
            <w:pPr>
              <w:jc w:val="both"/>
              <w:rPr>
                <w:rFonts w:hint="eastAsia"/>
              </w:rPr>
            </w:pPr>
            <w:r>
              <w:t>功能关键性</w:t>
            </w:r>
          </w:p>
        </w:tc>
        <w:tc>
          <w:tcPr>
            <w:tcW w:w="0" w:type="auto"/>
            <w:vAlign w:val="center"/>
          </w:tcPr>
          <w:p w14:paraId="5B4B875D">
            <w:pPr>
              <w:jc w:val="both"/>
              <w:rPr>
                <w:rFonts w:hint="eastAsia"/>
              </w:rPr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7B94D838">
            <w:pPr>
              <w:jc w:val="both"/>
              <w:rPr>
                <w:rFonts w:hint="eastAsia"/>
              </w:rPr>
            </w:pPr>
            <w:r>
              <w:t>属于直播互动主流程之一</w:t>
            </w:r>
          </w:p>
        </w:tc>
      </w:tr>
      <w:tr w14:paraId="50CF7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F3D7967">
            <w:pPr>
              <w:jc w:val="both"/>
              <w:rPr>
                <w:rFonts w:hint="eastAsia"/>
              </w:rPr>
            </w:pPr>
            <w:r>
              <w:t>失败影响范围</w:t>
            </w:r>
          </w:p>
        </w:tc>
        <w:tc>
          <w:tcPr>
            <w:tcW w:w="0" w:type="auto"/>
            <w:vAlign w:val="center"/>
          </w:tcPr>
          <w:p w14:paraId="64672C33">
            <w:pPr>
              <w:jc w:val="both"/>
              <w:rPr>
                <w:rFonts w:hint="eastAsia"/>
              </w:rPr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65177AD0">
            <w:pPr>
              <w:jc w:val="both"/>
              <w:rPr>
                <w:rFonts w:hint="eastAsia"/>
              </w:rPr>
            </w:pPr>
            <w:r>
              <w:t>不影响直播但影响交易</w:t>
            </w:r>
          </w:p>
        </w:tc>
      </w:tr>
      <w:tr w14:paraId="6E3ED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2638206">
            <w:pPr>
              <w:jc w:val="both"/>
              <w:rPr>
                <w:rFonts w:hint="eastAsia"/>
              </w:rPr>
            </w:pPr>
            <w:r>
              <w:t>法律法规</w:t>
            </w:r>
          </w:p>
        </w:tc>
        <w:tc>
          <w:tcPr>
            <w:tcW w:w="0" w:type="auto"/>
            <w:vAlign w:val="center"/>
          </w:tcPr>
          <w:p w14:paraId="7E7FF0A6">
            <w:pPr>
              <w:jc w:val="both"/>
              <w:rPr>
                <w:rFonts w:hint="eastAsia"/>
              </w:rPr>
            </w:pPr>
            <w:r>
              <w:t>5</w:t>
            </w:r>
          </w:p>
        </w:tc>
        <w:tc>
          <w:tcPr>
            <w:tcW w:w="0" w:type="auto"/>
            <w:vAlign w:val="center"/>
          </w:tcPr>
          <w:p w14:paraId="0D4013A8">
            <w:pPr>
              <w:jc w:val="both"/>
              <w:rPr>
                <w:rFonts w:hint="eastAsia"/>
              </w:rPr>
            </w:pPr>
            <w:r>
              <w:t>涉及支付合规、消费提醒</w:t>
            </w:r>
          </w:p>
        </w:tc>
      </w:tr>
      <w:tr w14:paraId="4F916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BDFBC38">
            <w:pPr>
              <w:jc w:val="both"/>
              <w:rPr>
                <w:rFonts w:hint="eastAsia"/>
              </w:rPr>
            </w:pPr>
            <w:r>
              <w:t>风控依赖</w:t>
            </w:r>
          </w:p>
        </w:tc>
        <w:tc>
          <w:tcPr>
            <w:tcW w:w="0" w:type="auto"/>
            <w:vAlign w:val="center"/>
          </w:tcPr>
          <w:p w14:paraId="5144B08C">
            <w:pPr>
              <w:jc w:val="both"/>
              <w:rPr>
                <w:rFonts w:hint="eastAsia"/>
              </w:rPr>
            </w:pPr>
            <w:r>
              <w:t>5</w:t>
            </w:r>
          </w:p>
        </w:tc>
        <w:tc>
          <w:tcPr>
            <w:tcW w:w="0" w:type="auto"/>
            <w:vAlign w:val="center"/>
          </w:tcPr>
          <w:p w14:paraId="5335BC9B">
            <w:pPr>
              <w:jc w:val="both"/>
              <w:rPr>
                <w:rFonts w:hint="eastAsia"/>
              </w:rPr>
            </w:pPr>
            <w:r>
              <w:t>涉及余额判断、充值路径跳转</w:t>
            </w:r>
          </w:p>
        </w:tc>
      </w:tr>
      <w:tr w14:paraId="7C1C4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81C783A">
            <w:pPr>
              <w:jc w:val="both"/>
              <w:rPr>
                <w:rFonts w:hint="eastAsia"/>
              </w:rPr>
            </w:pPr>
            <w:r>
              <w:t>是否阻断测试流程</w:t>
            </w:r>
          </w:p>
        </w:tc>
        <w:tc>
          <w:tcPr>
            <w:tcW w:w="0" w:type="auto"/>
            <w:vAlign w:val="center"/>
          </w:tcPr>
          <w:p w14:paraId="173D1533">
            <w:pPr>
              <w:jc w:val="both"/>
              <w:rPr>
                <w:rFonts w:hint="eastAsia"/>
              </w:rPr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1D630DFC">
            <w:pPr>
              <w:jc w:val="both"/>
              <w:rPr>
                <w:rFonts w:hint="eastAsia"/>
              </w:rPr>
            </w:pPr>
            <w:r>
              <w:t>非阻断流程，可回避测试</w:t>
            </w:r>
          </w:p>
        </w:tc>
      </w:tr>
      <w:tr w14:paraId="5EA6C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4229D0B">
            <w:pPr>
              <w:jc w:val="both"/>
              <w:rPr>
                <w:rFonts w:hint="eastAsia"/>
              </w:rPr>
            </w:pPr>
            <w:r>
              <w:t>仅UI</w:t>
            </w:r>
          </w:p>
        </w:tc>
        <w:tc>
          <w:tcPr>
            <w:tcW w:w="0" w:type="auto"/>
            <w:vAlign w:val="center"/>
          </w:tcPr>
          <w:p w14:paraId="1EEF9979">
            <w:pPr>
              <w:jc w:val="both"/>
              <w:rPr>
                <w:rFonts w:hint="eastAsia"/>
              </w:rPr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68DF6EB4">
            <w:pPr>
              <w:jc w:val="both"/>
              <w:rPr>
                <w:rFonts w:hint="eastAsia"/>
              </w:rPr>
            </w:pPr>
            <w:r>
              <w:t>有明确的充值逻辑与流程</w:t>
            </w:r>
          </w:p>
        </w:tc>
      </w:tr>
    </w:tbl>
    <w:p w14:paraId="4051A4CB">
      <w:pPr>
        <w:jc w:val="both"/>
        <w:rPr>
          <w:rFonts w:hint="eastAsia"/>
        </w:rPr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b/>
          <w:bCs/>
        </w:rPr>
        <w:t>总得分：4+3+5+5+2-1 = 18 → P0</w:t>
      </w:r>
    </w:p>
    <w:p w14:paraId="172BE354">
      <w:pPr>
        <w:jc w:val="both"/>
        <w:rPr>
          <w:rFonts w:hint="eastAsia"/>
        </w:rPr>
      </w:pPr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BCD05B">
      <w:pPr>
        <w:jc w:val="both"/>
        <w:rPr>
          <w:rFonts w:hint="eastAsia"/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示例 2：</w:t>
      </w:r>
    </w:p>
    <w:p w14:paraId="2B91E76F">
      <w:pPr>
        <w:jc w:val="both"/>
        <w:rPr>
          <w:rFonts w:hint="eastAsia"/>
        </w:rPr>
      </w:pPr>
      <w:r>
        <w:rPr>
          <w:b/>
          <w:bCs/>
        </w:rPr>
        <w:t>用例标题</w:t>
      </w:r>
      <w:r>
        <w:t>：明星详情页 Tab 下点击节目播放</w:t>
      </w:r>
      <w:r>
        <w:br w:type="textWrapping"/>
      </w:r>
      <w:r>
        <w:rPr>
          <w:b/>
          <w:bCs/>
        </w:rPr>
        <w:t>操作</w:t>
      </w:r>
      <w:r>
        <w:t>：点击 Tab → 播放视频</w:t>
      </w:r>
      <w:r>
        <w:br w:type="textWrapping"/>
      </w:r>
      <w:r>
        <w:rPr>
          <w:b/>
          <w:bCs/>
        </w:rPr>
        <w:t>风险点</w:t>
      </w:r>
      <w:r>
        <w:t>：纯跳转逻辑，功能外围，不涉及资金或合规</w:t>
      </w:r>
    </w:p>
    <w:tbl>
      <w:tblPr>
        <w:tblStyle w:val="13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5"/>
        <w:gridCol w:w="520"/>
        <w:gridCol w:w="3175"/>
      </w:tblGrid>
      <w:tr w14:paraId="235CB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76865E4">
            <w:pPr>
              <w:jc w:val="both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维度</w:t>
            </w:r>
          </w:p>
        </w:tc>
        <w:tc>
          <w:tcPr>
            <w:tcW w:w="0" w:type="auto"/>
            <w:vAlign w:val="center"/>
          </w:tcPr>
          <w:p w14:paraId="1B19AA21">
            <w:pPr>
              <w:jc w:val="both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分数</w:t>
            </w:r>
          </w:p>
        </w:tc>
        <w:tc>
          <w:tcPr>
            <w:tcW w:w="0" w:type="auto"/>
            <w:vAlign w:val="center"/>
          </w:tcPr>
          <w:p w14:paraId="42A086B6">
            <w:pPr>
              <w:jc w:val="both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理由</w:t>
            </w:r>
          </w:p>
        </w:tc>
      </w:tr>
      <w:tr w14:paraId="504C1E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7A420B7">
            <w:pPr>
              <w:jc w:val="both"/>
              <w:rPr>
                <w:rFonts w:hint="eastAsia"/>
              </w:rPr>
            </w:pPr>
            <w:r>
              <w:t>功能关键性</w:t>
            </w:r>
          </w:p>
        </w:tc>
        <w:tc>
          <w:tcPr>
            <w:tcW w:w="0" w:type="auto"/>
            <w:vAlign w:val="center"/>
          </w:tcPr>
          <w:p w14:paraId="2E87DD7B">
            <w:pPr>
              <w:jc w:val="both"/>
              <w:rPr>
                <w:rFonts w:hint="eastAsia"/>
              </w:rPr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2D4878B9">
            <w:pPr>
              <w:jc w:val="both"/>
              <w:rPr>
                <w:rFonts w:hint="eastAsia"/>
              </w:rPr>
            </w:pPr>
            <w:r>
              <w:t>内容展示功能</w:t>
            </w:r>
          </w:p>
        </w:tc>
      </w:tr>
      <w:tr w14:paraId="67449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32DD347">
            <w:pPr>
              <w:jc w:val="both"/>
              <w:rPr>
                <w:rFonts w:hint="eastAsia"/>
              </w:rPr>
            </w:pPr>
            <w:r>
              <w:t>失败影响范围</w:t>
            </w:r>
          </w:p>
        </w:tc>
        <w:tc>
          <w:tcPr>
            <w:tcW w:w="0" w:type="auto"/>
            <w:vAlign w:val="center"/>
          </w:tcPr>
          <w:p w14:paraId="600F101A">
            <w:pPr>
              <w:jc w:val="both"/>
              <w:rPr>
                <w:rFonts w:hint="eastAsia"/>
              </w:rPr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3CE98FF6">
            <w:pPr>
              <w:jc w:val="both"/>
              <w:rPr>
                <w:rFonts w:hint="eastAsia"/>
              </w:rPr>
            </w:pPr>
            <w:r>
              <w:t>播放页失败不影响整体观影流程</w:t>
            </w:r>
          </w:p>
        </w:tc>
      </w:tr>
      <w:tr w14:paraId="3F059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CEFAB35">
            <w:pPr>
              <w:jc w:val="both"/>
              <w:rPr>
                <w:rFonts w:hint="eastAsia"/>
              </w:rPr>
            </w:pPr>
            <w:r>
              <w:t>法律法规</w:t>
            </w:r>
          </w:p>
        </w:tc>
        <w:tc>
          <w:tcPr>
            <w:tcW w:w="0" w:type="auto"/>
            <w:vAlign w:val="center"/>
          </w:tcPr>
          <w:p w14:paraId="2187E1DA">
            <w:pPr>
              <w:jc w:val="both"/>
              <w:rPr>
                <w:rFonts w:hint="eastAsia"/>
              </w:rPr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74F03A9D">
            <w:pPr>
              <w:jc w:val="both"/>
              <w:rPr>
                <w:rFonts w:hint="eastAsia"/>
              </w:rPr>
            </w:pPr>
            <w:r>
              <w:t>无明显法规关联</w:t>
            </w:r>
          </w:p>
        </w:tc>
      </w:tr>
      <w:tr w14:paraId="3F262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3B517D7">
            <w:pPr>
              <w:jc w:val="both"/>
              <w:rPr>
                <w:rFonts w:hint="eastAsia"/>
              </w:rPr>
            </w:pPr>
            <w:r>
              <w:t>风控依赖</w:t>
            </w:r>
          </w:p>
        </w:tc>
        <w:tc>
          <w:tcPr>
            <w:tcW w:w="0" w:type="auto"/>
            <w:vAlign w:val="center"/>
          </w:tcPr>
          <w:p w14:paraId="65606992">
            <w:pPr>
              <w:jc w:val="both"/>
              <w:rPr>
                <w:rFonts w:hint="eastAsia"/>
              </w:rPr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3EBEF768">
            <w:pPr>
              <w:jc w:val="both"/>
              <w:rPr>
                <w:rFonts w:hint="eastAsia"/>
              </w:rPr>
            </w:pPr>
            <w:r>
              <w:t>无资金、权限等依赖</w:t>
            </w:r>
          </w:p>
        </w:tc>
      </w:tr>
      <w:tr w14:paraId="39D68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5385334">
            <w:pPr>
              <w:jc w:val="both"/>
              <w:rPr>
                <w:rFonts w:hint="eastAsia"/>
              </w:rPr>
            </w:pPr>
            <w:r>
              <w:t>是否阻断测试流程</w:t>
            </w:r>
          </w:p>
        </w:tc>
        <w:tc>
          <w:tcPr>
            <w:tcW w:w="0" w:type="auto"/>
            <w:vAlign w:val="center"/>
          </w:tcPr>
          <w:p w14:paraId="4CDCC2AA">
            <w:pPr>
              <w:jc w:val="both"/>
              <w:rPr>
                <w:rFonts w:hint="eastAsia"/>
              </w:rPr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4C24C641">
            <w:pPr>
              <w:jc w:val="both"/>
              <w:rPr>
                <w:rFonts w:hint="eastAsia"/>
              </w:rPr>
            </w:pPr>
            <w:r>
              <w:t>测试非依赖性用例</w:t>
            </w:r>
          </w:p>
        </w:tc>
      </w:tr>
      <w:tr w14:paraId="4248C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5B665B7">
            <w:pPr>
              <w:jc w:val="both"/>
              <w:rPr>
                <w:rFonts w:hint="eastAsia"/>
              </w:rPr>
            </w:pPr>
            <w:r>
              <w:t>仅UI</w:t>
            </w:r>
          </w:p>
        </w:tc>
        <w:tc>
          <w:tcPr>
            <w:tcW w:w="0" w:type="auto"/>
            <w:vAlign w:val="center"/>
          </w:tcPr>
          <w:p w14:paraId="716913B7">
            <w:pPr>
              <w:jc w:val="both"/>
              <w:rPr>
                <w:rFonts w:hint="eastAsia"/>
              </w:rPr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67264598">
            <w:pPr>
              <w:jc w:val="both"/>
              <w:rPr>
                <w:rFonts w:hint="eastAsia"/>
              </w:rPr>
            </w:pPr>
            <w:r>
              <w:t>主要为展示与跳转逻辑</w:t>
            </w:r>
          </w:p>
        </w:tc>
      </w:tr>
    </w:tbl>
    <w:p w14:paraId="7D9290B3">
      <w:pPr>
        <w:jc w:val="both"/>
        <w:rPr>
          <w:rFonts w:hint="eastAsia"/>
        </w:rPr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b/>
          <w:bCs/>
        </w:rPr>
        <w:t>总得分：2+1+1+1+1–4 = 2 → P4</w:t>
      </w:r>
    </w:p>
    <w:p w14:paraId="7AC619C9">
      <w:pPr>
        <w:jc w:val="both"/>
        <w:rPr>
          <w:rFonts w:hint="eastAsia"/>
        </w:rPr>
      </w:pPr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D8307A">
      <w:pPr>
        <w:jc w:val="both"/>
        <w:rPr>
          <w:rFonts w:hint="eastAsia"/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示例 3：</w:t>
      </w:r>
    </w:p>
    <w:p w14:paraId="2CC886EC">
      <w:pPr>
        <w:jc w:val="both"/>
        <w:rPr>
          <w:rFonts w:hint="eastAsia"/>
        </w:rPr>
      </w:pPr>
      <w:r>
        <w:rPr>
          <w:b/>
          <w:bCs/>
        </w:rPr>
        <w:t>用例标题</w:t>
      </w:r>
      <w:r>
        <w:t>：语音弹幕首次触发麦克风权限</w:t>
      </w:r>
      <w:r>
        <w:br w:type="textWrapping"/>
      </w:r>
      <w:r>
        <w:rPr>
          <w:b/>
          <w:bCs/>
        </w:rPr>
        <w:t>前置条件</w:t>
      </w:r>
      <w:r>
        <w:t>：已开启聊天室功能，未授权麦克风</w:t>
      </w:r>
      <w:r>
        <w:br w:type="textWrapping"/>
      </w:r>
      <w:r>
        <w:rPr>
          <w:b/>
          <w:bCs/>
        </w:rPr>
        <w:t>操作</w:t>
      </w:r>
      <w:r>
        <w:t>：点击“好” → 拉起权限弹窗</w:t>
      </w:r>
      <w:r>
        <w:br w:type="textWrapping"/>
      </w:r>
      <w:r>
        <w:rPr>
          <w:b/>
          <w:bCs/>
        </w:rPr>
        <w:t>风险点</w:t>
      </w:r>
      <w:r>
        <w:t>：权限合规、用户隐私采集、平台合规提示</w:t>
      </w:r>
    </w:p>
    <w:tbl>
      <w:tblPr>
        <w:tblStyle w:val="13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5"/>
        <w:gridCol w:w="520"/>
        <w:gridCol w:w="4063"/>
      </w:tblGrid>
      <w:tr w14:paraId="3243E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3ECD3F8">
            <w:pPr>
              <w:jc w:val="both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维度</w:t>
            </w:r>
          </w:p>
        </w:tc>
        <w:tc>
          <w:tcPr>
            <w:tcW w:w="0" w:type="auto"/>
            <w:vAlign w:val="center"/>
          </w:tcPr>
          <w:p w14:paraId="4F8C8877">
            <w:pPr>
              <w:jc w:val="both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分数</w:t>
            </w:r>
          </w:p>
        </w:tc>
        <w:tc>
          <w:tcPr>
            <w:tcW w:w="0" w:type="auto"/>
            <w:vAlign w:val="center"/>
          </w:tcPr>
          <w:p w14:paraId="5D5C1FFC">
            <w:pPr>
              <w:jc w:val="both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理由</w:t>
            </w:r>
          </w:p>
        </w:tc>
      </w:tr>
      <w:tr w14:paraId="54568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3542CFE">
            <w:pPr>
              <w:jc w:val="both"/>
              <w:rPr>
                <w:rFonts w:hint="eastAsia"/>
              </w:rPr>
            </w:pPr>
            <w:r>
              <w:t>功能关键性</w:t>
            </w:r>
          </w:p>
        </w:tc>
        <w:tc>
          <w:tcPr>
            <w:tcW w:w="0" w:type="auto"/>
            <w:vAlign w:val="center"/>
          </w:tcPr>
          <w:p w14:paraId="7F4F0714">
            <w:pPr>
              <w:jc w:val="both"/>
              <w:rPr>
                <w:rFonts w:hint="eastAsia"/>
              </w:rPr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15CF7F62">
            <w:pPr>
              <w:jc w:val="both"/>
              <w:rPr>
                <w:rFonts w:hint="eastAsia"/>
              </w:rPr>
            </w:pPr>
            <w:r>
              <w:t>核心功能入口，麦克风使用</w:t>
            </w:r>
          </w:p>
        </w:tc>
      </w:tr>
      <w:tr w14:paraId="39416F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5D88526">
            <w:pPr>
              <w:jc w:val="both"/>
              <w:rPr>
                <w:rFonts w:hint="eastAsia"/>
              </w:rPr>
            </w:pPr>
            <w:r>
              <w:t>失败影响范围</w:t>
            </w:r>
          </w:p>
        </w:tc>
        <w:tc>
          <w:tcPr>
            <w:tcW w:w="0" w:type="auto"/>
            <w:vAlign w:val="center"/>
          </w:tcPr>
          <w:p w14:paraId="2E78BBD4">
            <w:pPr>
              <w:jc w:val="both"/>
              <w:rPr>
                <w:rFonts w:hint="eastAsia"/>
              </w:rPr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68CA7041">
            <w:pPr>
              <w:jc w:val="both"/>
              <w:rPr>
                <w:rFonts w:hint="eastAsia"/>
              </w:rPr>
            </w:pPr>
            <w:r>
              <w:t>麦克风失败 → 聊天失败</w:t>
            </w:r>
          </w:p>
        </w:tc>
      </w:tr>
      <w:tr w14:paraId="711EE0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E583A03">
            <w:pPr>
              <w:jc w:val="both"/>
              <w:rPr>
                <w:rFonts w:hint="eastAsia"/>
              </w:rPr>
            </w:pPr>
            <w:r>
              <w:t>法律法规</w:t>
            </w:r>
          </w:p>
        </w:tc>
        <w:tc>
          <w:tcPr>
            <w:tcW w:w="0" w:type="auto"/>
            <w:vAlign w:val="center"/>
          </w:tcPr>
          <w:p w14:paraId="39B658C9">
            <w:pPr>
              <w:jc w:val="both"/>
              <w:rPr>
                <w:rFonts w:hint="eastAsia"/>
              </w:rPr>
            </w:pPr>
            <w:r>
              <w:t>5</w:t>
            </w:r>
          </w:p>
        </w:tc>
        <w:tc>
          <w:tcPr>
            <w:tcW w:w="0" w:type="auto"/>
            <w:vAlign w:val="center"/>
          </w:tcPr>
          <w:p w14:paraId="2378ECBD">
            <w:pPr>
              <w:jc w:val="both"/>
              <w:rPr>
                <w:rFonts w:hint="eastAsia"/>
              </w:rPr>
            </w:pPr>
            <w:r>
              <w:t>涉及录音权限合规（App权限管理条例）</w:t>
            </w:r>
          </w:p>
        </w:tc>
      </w:tr>
      <w:tr w14:paraId="6550F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89F559F">
            <w:pPr>
              <w:jc w:val="both"/>
              <w:rPr>
                <w:rFonts w:hint="eastAsia"/>
              </w:rPr>
            </w:pPr>
            <w:r>
              <w:t>风控依赖</w:t>
            </w:r>
          </w:p>
        </w:tc>
        <w:tc>
          <w:tcPr>
            <w:tcW w:w="0" w:type="auto"/>
            <w:vAlign w:val="center"/>
          </w:tcPr>
          <w:p w14:paraId="23A494E6">
            <w:pPr>
              <w:jc w:val="both"/>
              <w:rPr>
                <w:rFonts w:hint="eastAsia"/>
              </w:rPr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7BF0F0C0">
            <w:pPr>
              <w:jc w:val="both"/>
              <w:rPr>
                <w:rFonts w:hint="eastAsia"/>
              </w:rPr>
            </w:pPr>
            <w:r>
              <w:t>涉及权限、设备策略</w:t>
            </w:r>
          </w:p>
        </w:tc>
      </w:tr>
      <w:tr w14:paraId="0EDF7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DC4A5B6">
            <w:pPr>
              <w:jc w:val="both"/>
              <w:rPr>
                <w:rFonts w:hint="eastAsia"/>
              </w:rPr>
            </w:pPr>
            <w:r>
              <w:t>是否阻断测试流程</w:t>
            </w:r>
          </w:p>
        </w:tc>
        <w:tc>
          <w:tcPr>
            <w:tcW w:w="0" w:type="auto"/>
            <w:vAlign w:val="center"/>
          </w:tcPr>
          <w:p w14:paraId="2C163B4B">
            <w:pPr>
              <w:jc w:val="both"/>
              <w:rPr>
                <w:rFonts w:hint="eastAsia"/>
              </w:rPr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6BED6F9B">
            <w:pPr>
              <w:jc w:val="both"/>
              <w:rPr>
                <w:rFonts w:hint="eastAsia"/>
              </w:rPr>
            </w:pPr>
            <w:r>
              <w:t>非主路径但关键点</w:t>
            </w:r>
          </w:p>
        </w:tc>
      </w:tr>
      <w:tr w14:paraId="1E6F7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D36FB1A">
            <w:pPr>
              <w:jc w:val="both"/>
              <w:rPr>
                <w:rFonts w:hint="eastAsia"/>
              </w:rPr>
            </w:pPr>
            <w:r>
              <w:t>仅UI</w:t>
            </w:r>
          </w:p>
        </w:tc>
        <w:tc>
          <w:tcPr>
            <w:tcW w:w="0" w:type="auto"/>
            <w:vAlign w:val="center"/>
          </w:tcPr>
          <w:p w14:paraId="314BCCF1">
            <w:pPr>
              <w:jc w:val="both"/>
              <w:rPr>
                <w:rFonts w:hint="eastAsia"/>
              </w:rPr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440211BE">
            <w:pPr>
              <w:jc w:val="both"/>
              <w:rPr>
                <w:rFonts w:hint="eastAsia"/>
              </w:rPr>
            </w:pPr>
            <w:r>
              <w:t>有录音逻辑</w:t>
            </w:r>
          </w:p>
        </w:tc>
      </w:tr>
    </w:tbl>
    <w:p w14:paraId="34578A3B">
      <w:pPr>
        <w:jc w:val="both"/>
        <w:rPr>
          <w:b/>
          <w:bCs/>
        </w:rPr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b/>
          <w:bCs/>
        </w:rPr>
        <w:t>总得分：4+4+5+3+2–1 = 17 → P1</w:t>
      </w:r>
    </w:p>
    <w:p w14:paraId="37F6F5E3">
      <w:pPr>
        <w:jc w:val="both"/>
        <w:rPr>
          <w:b/>
          <w:bCs/>
        </w:rPr>
      </w:pPr>
    </w:p>
    <w:p w14:paraId="7B3CEEA6">
      <w:pPr>
        <w:jc w:val="both"/>
        <w:rPr>
          <w:b/>
          <w:bCs/>
        </w:rPr>
      </w:pPr>
    </w:p>
    <w:p w14:paraId="6542A6E8">
      <w:pPr>
        <w:jc w:val="both"/>
        <w:rPr>
          <w:b/>
          <w:bCs/>
        </w:rPr>
      </w:pPr>
    </w:p>
    <w:p w14:paraId="1EDC1A1B">
      <w:pPr>
        <w:jc w:val="both"/>
        <w:rPr>
          <w:b/>
          <w:bCs/>
        </w:rPr>
      </w:pPr>
    </w:p>
    <w:p w14:paraId="0EA03724">
      <w:pPr>
        <w:jc w:val="both"/>
        <w:rPr>
          <w:b/>
          <w:bCs/>
        </w:rPr>
      </w:pPr>
    </w:p>
    <w:p w14:paraId="2D66D000">
      <w:pPr>
        <w:jc w:val="both"/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8E33CB"/>
    <w:multiLevelType w:val="multilevel"/>
    <w:tmpl w:val="068E33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5973"/>
    <w:rsid w:val="000E0B0D"/>
    <w:rsid w:val="00174C50"/>
    <w:rsid w:val="001D6EC5"/>
    <w:rsid w:val="0038118D"/>
    <w:rsid w:val="0055344C"/>
    <w:rsid w:val="005E5973"/>
    <w:rsid w:val="00734B4A"/>
    <w:rsid w:val="008B0A88"/>
    <w:rsid w:val="0095720B"/>
    <w:rsid w:val="00AF33AA"/>
    <w:rsid w:val="00DB7750"/>
    <w:rsid w:val="69C55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center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1440</Words>
  <Characters>1531</Characters>
  <Lines>13</Lines>
  <Paragraphs>3</Paragraphs>
  <TotalTime>255</TotalTime>
  <ScaleCrop>false</ScaleCrop>
  <LinksUpToDate>false</LinksUpToDate>
  <CharactersWithSpaces>1607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2025-08-06T02:50:00Z</dcterms:created>
  <dc:creator>Qian Peng</dc:creator>
  <cp:lastModifiedBy>彭茜</cp:lastModifiedBy>
  <dcterms:modified xsi:type="dcterms:W3CDTF">2025-08-26T08:51:25Z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eyJoZGlkIjoiNTYyOGI5NDUzNTU5NWFhMDg5N2I5N2U1YjZkYzc2NTQiLCJ1c2VySWQiOiI4MzA4NjQ1NDUifQ==</vt:lpwstr>
  </property>
  <property fmtid="{D5CDD505-2E9C-101B-9397-08002B2CF9AE}" pid="3" name="KSOProductBuildVer">
    <vt:lpwstr>2052-12.1.0.21915</vt:lpwstr>
  </property>
  <property fmtid="{D5CDD505-2E9C-101B-9397-08002B2CF9AE}" pid="4" name="ICV">
    <vt:lpwstr>44ADFDB9069043A78DC4DA7BEEB65FB5_12</vt:lpwstr>
  </property>
</Properties>
</file>