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2FC4" w:rsidRPr="003A58BC" w:rsidRDefault="00012FC4">
      <w:pPr>
        <w:pBdr>
          <w:top w:val="nil"/>
          <w:left w:val="nil"/>
          <w:bottom w:val="nil"/>
          <w:right w:val="nil"/>
          <w:between w:val="nil"/>
        </w:pBdr>
        <w:jc w:val="both"/>
        <w:rPr>
          <w:rFonts w:ascii="Times New Roman" w:eastAsia="Times New Roman" w:hAnsi="Times New Roman" w:cs="Times New Roman"/>
          <w:sz w:val="24"/>
          <w:szCs w:val="24"/>
        </w:rPr>
      </w:pPr>
    </w:p>
    <w:tbl>
      <w:tblPr>
        <w:tblStyle w:val="a"/>
        <w:tblpPr w:leftFromText="180" w:rightFromText="180" w:horzAnchor="margin" w:tblpY="312"/>
        <w:tblW w:w="10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0206"/>
      </w:tblGrid>
      <w:tr w:rsidR="00012FC4" w:rsidRPr="003A58BC" w:rsidTr="003A58BC">
        <w:tc>
          <w:tcPr>
            <w:tcW w:w="10206" w:type="dxa"/>
            <w:shd w:val="clear" w:color="auto" w:fill="auto"/>
            <w:tcMar>
              <w:top w:w="100" w:type="dxa"/>
              <w:left w:w="100" w:type="dxa"/>
              <w:bottom w:w="100" w:type="dxa"/>
              <w:right w:w="100" w:type="dxa"/>
            </w:tcMar>
          </w:tcPr>
          <w:p w:rsidR="00012FC4" w:rsidRPr="003A58BC" w:rsidRDefault="00000000" w:rsidP="003A58BC">
            <w:pPr>
              <w:widowControl w:val="0"/>
              <w:pBdr>
                <w:top w:val="nil"/>
                <w:left w:val="nil"/>
                <w:bottom w:val="nil"/>
                <w:right w:val="nil"/>
                <w:between w:val="nil"/>
              </w:pBdr>
              <w:spacing w:line="240" w:lineRule="auto"/>
              <w:jc w:val="both"/>
              <w:rPr>
                <w:rFonts w:ascii="Times New Roman" w:eastAsia="Times New Roman" w:hAnsi="Times New Roman" w:cs="Times New Roman"/>
                <w:i/>
                <w:sz w:val="94"/>
                <w:szCs w:val="94"/>
              </w:rPr>
            </w:pPr>
            <w:r w:rsidRPr="003A58BC">
              <w:rPr>
                <w:rFonts w:ascii="Times New Roman" w:eastAsia="Times New Roman" w:hAnsi="Times New Roman" w:cs="Times New Roman"/>
                <w:i/>
                <w:color w:val="262626"/>
                <w:sz w:val="78"/>
                <w:szCs w:val="78"/>
              </w:rPr>
              <w:t xml:space="preserve">2025 MSc in Business Analytics </w:t>
            </w:r>
          </w:p>
          <w:p w:rsidR="00012FC4" w:rsidRPr="003A58BC" w:rsidRDefault="00000000" w:rsidP="003A58BC">
            <w:pPr>
              <w:widowControl w:val="0"/>
              <w:pBdr>
                <w:top w:val="nil"/>
                <w:left w:val="nil"/>
                <w:bottom w:val="nil"/>
                <w:right w:val="nil"/>
                <w:between w:val="nil"/>
              </w:pBdr>
              <w:spacing w:line="240" w:lineRule="auto"/>
              <w:jc w:val="both"/>
              <w:rPr>
                <w:rFonts w:ascii="Times New Roman" w:eastAsia="Times New Roman" w:hAnsi="Times New Roman" w:cs="Times New Roman"/>
                <w:sz w:val="60"/>
                <w:szCs w:val="60"/>
              </w:rPr>
            </w:pPr>
            <w:r w:rsidRPr="003A58BC">
              <w:rPr>
                <w:rFonts w:ascii="Times New Roman" w:eastAsia="Times New Roman" w:hAnsi="Times New Roman" w:cs="Times New Roman"/>
                <w:i/>
                <w:color w:val="262626"/>
                <w:sz w:val="60"/>
                <w:szCs w:val="60"/>
              </w:rPr>
              <w:t>EC6011 Business Forecasting</w:t>
            </w:r>
          </w:p>
        </w:tc>
      </w:tr>
    </w:tbl>
    <w:p w:rsidR="00012FC4" w:rsidRPr="003A58BC" w:rsidRDefault="00012FC4">
      <w:pPr>
        <w:jc w:val="both"/>
        <w:rPr>
          <w:rFonts w:ascii="Times New Roman" w:eastAsia="Times New Roman" w:hAnsi="Times New Roman" w:cs="Times New Roman"/>
          <w:b/>
          <w:sz w:val="24"/>
          <w:szCs w:val="24"/>
        </w:rPr>
      </w:pPr>
    </w:p>
    <w:p w:rsidR="00012FC4" w:rsidRPr="003A58BC" w:rsidRDefault="008D07AE">
      <w:pPr>
        <w:jc w:val="both"/>
        <w:rPr>
          <w:rFonts w:ascii="Times New Roman" w:eastAsia="Times New Roman" w:hAnsi="Times New Roman" w:cs="Times New Roman"/>
          <w:b/>
          <w:sz w:val="24"/>
          <w:szCs w:val="24"/>
        </w:rPr>
      </w:pPr>
      <w:r w:rsidRPr="008D07AE">
        <w:rPr>
          <w:rFonts w:ascii="Times New Roman" w:hAnsi="Times New Roman" w:cs="Times New Roman"/>
          <w:noProof/>
        </w:rPr>
        <w:pict>
          <v:rect id="_x0000_i1025" alt="" style="width:451.15pt;height:.05pt;mso-width-percent:0;mso-height-percent:0;mso-width-percent:0;mso-height-percent:0" o:hrpct="964" o:hralign="center" o:hrstd="t" o:hr="t" fillcolor="#a0a0a0" stroked="f"/>
        </w:pict>
      </w:r>
    </w:p>
    <w:p w:rsidR="00012FC4" w:rsidRPr="003A58BC" w:rsidRDefault="00012FC4">
      <w:pPr>
        <w:jc w:val="both"/>
        <w:rPr>
          <w:rFonts w:ascii="Times New Roman" w:eastAsia="Times New Roman" w:hAnsi="Times New Roman" w:cs="Times New Roman"/>
          <w:b/>
          <w:sz w:val="24"/>
          <w:szCs w:val="24"/>
        </w:rPr>
      </w:pPr>
    </w:p>
    <w:p w:rsidR="00012FC4" w:rsidRPr="003A58BC" w:rsidRDefault="00012FC4">
      <w:pPr>
        <w:jc w:val="both"/>
        <w:rPr>
          <w:rFonts w:ascii="Times New Roman" w:eastAsia="Times New Roman" w:hAnsi="Times New Roman" w:cs="Times New Roman"/>
          <w:b/>
          <w:sz w:val="24"/>
          <w:szCs w:val="24"/>
        </w:rPr>
      </w:pPr>
    </w:p>
    <w:p w:rsidR="00012FC4" w:rsidRPr="003A58BC" w:rsidRDefault="00000000">
      <w:pPr>
        <w:jc w:val="both"/>
        <w:rPr>
          <w:rFonts w:ascii="Times New Roman" w:eastAsia="Times New Roman" w:hAnsi="Times New Roman" w:cs="Times New Roman"/>
          <w:sz w:val="38"/>
          <w:szCs w:val="38"/>
        </w:rPr>
      </w:pPr>
      <w:r w:rsidRPr="003A58BC">
        <w:rPr>
          <w:rFonts w:ascii="Times New Roman" w:eastAsia="Times New Roman" w:hAnsi="Times New Roman" w:cs="Times New Roman"/>
          <w:sz w:val="38"/>
          <w:szCs w:val="38"/>
        </w:rPr>
        <w:t xml:space="preserve">A Forecasting Study of United Kingdom and Canada </w:t>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Date: 11.04.2025</w:t>
      </w:r>
    </w:p>
    <w:p w:rsidR="00012FC4" w:rsidRPr="003A58BC" w:rsidRDefault="00012FC4">
      <w:pPr>
        <w:jc w:val="both"/>
        <w:rPr>
          <w:rFonts w:ascii="Times New Roman" w:eastAsia="Times New Roman" w:hAnsi="Times New Roman" w:cs="Times New Roman"/>
          <w:b/>
          <w:sz w:val="24"/>
          <w:szCs w:val="24"/>
        </w:rPr>
      </w:pPr>
    </w:p>
    <w:tbl>
      <w:tblPr>
        <w:tblStyle w:val="a1"/>
        <w:tblpPr w:leftFromText="180" w:rightFromText="180" w:topFromText="180" w:bottomFromText="180" w:vertAnchor="text" w:tblpX="-540" w:tblpY="4041"/>
        <w:tblW w:w="5520" w:type="dxa"/>
        <w:tblBorders>
          <w:top w:val="nil"/>
          <w:left w:val="nil"/>
          <w:bottom w:val="nil"/>
          <w:right w:val="nil"/>
          <w:insideH w:val="nil"/>
          <w:insideV w:val="nil"/>
        </w:tblBorders>
        <w:tblLayout w:type="fixed"/>
        <w:tblLook w:val="0600" w:firstRow="0" w:lastRow="0" w:firstColumn="0" w:lastColumn="0" w:noHBand="1" w:noVBand="1"/>
      </w:tblPr>
      <w:tblGrid>
        <w:gridCol w:w="2612"/>
        <w:gridCol w:w="2908"/>
      </w:tblGrid>
      <w:tr w:rsidR="00012FC4" w:rsidRPr="003A58BC">
        <w:trPr>
          <w:trHeight w:val="300"/>
        </w:trPr>
        <w:tc>
          <w:tcPr>
            <w:tcW w:w="2612"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highlight w:val="white"/>
              </w:rPr>
              <w:t>Aiyi Sun</w:t>
            </w:r>
            <w:r w:rsidRPr="003A58BC">
              <w:rPr>
                <w:rFonts w:ascii="Times New Roman" w:eastAsia="Times New Roman" w:hAnsi="Times New Roman" w:cs="Times New Roman"/>
                <w:sz w:val="24"/>
                <w:szCs w:val="24"/>
              </w:rPr>
              <w:t xml:space="preserve"> </w:t>
            </w:r>
          </w:p>
        </w:tc>
        <w:tc>
          <w:tcPr>
            <w:tcW w:w="2907"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124107583</w:t>
            </w:r>
          </w:p>
        </w:tc>
      </w:tr>
      <w:tr w:rsidR="00012FC4" w:rsidRPr="003A58BC">
        <w:trPr>
          <w:trHeight w:val="300"/>
        </w:trPr>
        <w:tc>
          <w:tcPr>
            <w:tcW w:w="2612"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Carolina Arteaga Ortiz </w:t>
            </w:r>
          </w:p>
        </w:tc>
        <w:tc>
          <w:tcPr>
            <w:tcW w:w="2907"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124114552</w:t>
            </w:r>
          </w:p>
        </w:tc>
      </w:tr>
      <w:tr w:rsidR="00012FC4" w:rsidRPr="003A58BC">
        <w:trPr>
          <w:trHeight w:val="300"/>
        </w:trPr>
        <w:tc>
          <w:tcPr>
            <w:tcW w:w="2612"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highlight w:val="white"/>
              </w:rPr>
              <w:t>Thi My Linh Trinh</w:t>
            </w:r>
            <w:r w:rsidRPr="003A58BC">
              <w:rPr>
                <w:rFonts w:ascii="Times New Roman" w:eastAsia="Times New Roman" w:hAnsi="Times New Roman" w:cs="Times New Roman"/>
                <w:sz w:val="24"/>
                <w:szCs w:val="24"/>
              </w:rPr>
              <w:t xml:space="preserve"> </w:t>
            </w:r>
          </w:p>
        </w:tc>
        <w:tc>
          <w:tcPr>
            <w:tcW w:w="2907"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124109008</w:t>
            </w:r>
          </w:p>
        </w:tc>
      </w:tr>
      <w:tr w:rsidR="00012FC4" w:rsidRPr="003A58BC">
        <w:trPr>
          <w:trHeight w:val="300"/>
        </w:trPr>
        <w:tc>
          <w:tcPr>
            <w:tcW w:w="2612"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Yuhan Li </w:t>
            </w:r>
          </w:p>
        </w:tc>
        <w:tc>
          <w:tcPr>
            <w:tcW w:w="2907"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124104868</w:t>
            </w:r>
          </w:p>
        </w:tc>
      </w:tr>
      <w:tr w:rsidR="00012FC4" w:rsidRPr="003A58BC">
        <w:trPr>
          <w:trHeight w:val="300"/>
        </w:trPr>
        <w:tc>
          <w:tcPr>
            <w:tcW w:w="2612"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highlight w:val="white"/>
              </w:rPr>
              <w:t>Hatice Aslihan Kutluca</w:t>
            </w:r>
            <w:r w:rsidRPr="003A58BC">
              <w:rPr>
                <w:rFonts w:ascii="Times New Roman" w:eastAsia="Times New Roman" w:hAnsi="Times New Roman" w:cs="Times New Roman"/>
                <w:sz w:val="24"/>
                <w:szCs w:val="24"/>
              </w:rPr>
              <w:t xml:space="preserve"> </w:t>
            </w:r>
          </w:p>
        </w:tc>
        <w:tc>
          <w:tcPr>
            <w:tcW w:w="2907"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124117387</w:t>
            </w:r>
          </w:p>
        </w:tc>
      </w:tr>
      <w:tr w:rsidR="00012FC4" w:rsidRPr="003A58BC">
        <w:trPr>
          <w:trHeight w:val="300"/>
        </w:trPr>
        <w:tc>
          <w:tcPr>
            <w:tcW w:w="2612"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highlight w:val="white"/>
              </w:rPr>
              <w:t>Sabrina Krüger</w:t>
            </w:r>
            <w:r w:rsidRPr="003A58BC">
              <w:rPr>
                <w:rFonts w:ascii="Times New Roman" w:eastAsia="Times New Roman" w:hAnsi="Times New Roman" w:cs="Times New Roman"/>
                <w:sz w:val="24"/>
                <w:szCs w:val="24"/>
              </w:rPr>
              <w:t xml:space="preserve"> </w:t>
            </w:r>
          </w:p>
        </w:tc>
        <w:tc>
          <w:tcPr>
            <w:tcW w:w="2907" w:type="dxa"/>
            <w:tcMar>
              <w:top w:w="0" w:type="dxa"/>
              <w:left w:w="0" w:type="dxa"/>
              <w:bottom w:w="0" w:type="dxa"/>
              <w:right w:w="0" w:type="dxa"/>
            </w:tcMar>
          </w:tcPr>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124103296</w:t>
            </w:r>
          </w:p>
        </w:tc>
      </w:tr>
    </w:tbl>
    <w:tbl>
      <w:tblPr>
        <w:tblStyle w:val="a0"/>
        <w:tblpPr w:leftFromText="180" w:rightFromText="180" w:topFromText="180" w:bottomFromText="180" w:vertAnchor="page" w:horzAnchor="margin" w:tblpXSpec="center" w:tblpY="12619"/>
        <w:tblW w:w="107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0714"/>
      </w:tblGrid>
      <w:tr w:rsidR="00C42590" w:rsidRPr="003A58BC" w:rsidTr="00C42590">
        <w:trPr>
          <w:trHeight w:val="1456"/>
        </w:trPr>
        <w:tc>
          <w:tcPr>
            <w:tcW w:w="10714" w:type="dxa"/>
          </w:tcPr>
          <w:p w:rsidR="00C42590" w:rsidRPr="003A58BC" w:rsidRDefault="00C42590" w:rsidP="00C42590">
            <w:pPr>
              <w:widowControl w:val="0"/>
              <w:spacing w:line="240" w:lineRule="auto"/>
              <w:jc w:val="center"/>
              <w:rPr>
                <w:rFonts w:ascii="Times New Roman" w:eastAsia="Times New Roman" w:hAnsi="Times New Roman" w:cs="Times New Roman"/>
                <w:sz w:val="24"/>
                <w:szCs w:val="24"/>
              </w:rPr>
            </w:pPr>
            <w:r w:rsidRPr="003A58BC">
              <w:rPr>
                <w:rFonts w:ascii="Times New Roman" w:eastAsia="Times New Roman" w:hAnsi="Times New Roman" w:cs="Times New Roman"/>
                <w:i/>
                <w:sz w:val="27"/>
                <w:szCs w:val="27"/>
              </w:rPr>
              <w:t>“We hereby declare that this work is entirely our own and has not been submitted as part of any</w:t>
            </w:r>
            <w:r w:rsidRPr="003A58BC">
              <w:rPr>
                <w:rFonts w:ascii="Times New Roman" w:eastAsia="Times New Roman" w:hAnsi="Times New Roman" w:cs="Times New Roman"/>
                <w:i/>
                <w:sz w:val="27"/>
                <w:szCs w:val="27"/>
              </w:rPr>
              <w:br/>
              <w:t>other examination or assignment. Any use of the work of others in this assignment is duly</w:t>
            </w:r>
            <w:r w:rsidRPr="003A58BC">
              <w:rPr>
                <w:rFonts w:ascii="Times New Roman" w:eastAsia="Times New Roman" w:hAnsi="Times New Roman" w:cs="Times New Roman"/>
                <w:i/>
                <w:sz w:val="27"/>
                <w:szCs w:val="27"/>
              </w:rPr>
              <w:br/>
              <w:t>acknowledged.”</w:t>
            </w:r>
          </w:p>
        </w:tc>
      </w:tr>
    </w:tbl>
    <w:p w:rsidR="00012FC4" w:rsidRPr="003A58BC" w:rsidRDefault="00000000">
      <w:pPr>
        <w:jc w:val="both"/>
        <w:rPr>
          <w:rFonts w:ascii="Times New Roman" w:eastAsia="Times New Roman" w:hAnsi="Times New Roman" w:cs="Times New Roman"/>
          <w:sz w:val="24"/>
          <w:szCs w:val="24"/>
        </w:rPr>
        <w:sectPr w:rsidR="00012FC4" w:rsidRPr="003A58BC" w:rsidSect="00C42590">
          <w:footerReference w:type="default" r:id="rId7"/>
          <w:footerReference w:type="first" r:id="rId8"/>
          <w:pgSz w:w="11900" w:h="16840"/>
          <w:pgMar w:top="1440" w:right="1440" w:bottom="1440" w:left="1440" w:header="720" w:footer="720" w:gutter="0"/>
          <w:pgNumType w:start="0"/>
          <w:cols w:space="720"/>
          <w:docGrid w:linePitch="299"/>
        </w:sectPr>
      </w:pPr>
      <w:r w:rsidRPr="003A58BC">
        <w:rPr>
          <w:rFonts w:ascii="Times New Roman" w:eastAsia="Times New Roman" w:hAnsi="Times New Roman" w:cs="Times New Roman"/>
          <w:sz w:val="24"/>
          <w:szCs w:val="24"/>
        </w:rPr>
        <w:t>Word Count:3</w:t>
      </w:r>
      <w:r w:rsidR="003A58BC" w:rsidRPr="003A58BC">
        <w:rPr>
          <w:rFonts w:ascii="Times New Roman" w:eastAsia="Times New Roman" w:hAnsi="Times New Roman" w:cs="Times New Roman"/>
          <w:sz w:val="24"/>
          <w:szCs w:val="24"/>
        </w:rPr>
        <w:t>978</w:t>
      </w:r>
    </w:p>
    <w:p w:rsidR="00012FC4" w:rsidRPr="003A58BC" w:rsidRDefault="00000000">
      <w:pPr>
        <w:pBdr>
          <w:top w:val="nil"/>
          <w:left w:val="nil"/>
          <w:bottom w:val="nil"/>
          <w:right w:val="nil"/>
          <w:between w:val="nil"/>
        </w:pBdr>
        <w:jc w:val="both"/>
        <w:rPr>
          <w:rFonts w:ascii="Times New Roman" w:eastAsia="Times New Roman" w:hAnsi="Times New Roman" w:cs="Times New Roman"/>
          <w:b/>
          <w:sz w:val="24"/>
          <w:szCs w:val="24"/>
        </w:rPr>
      </w:pPr>
      <w:r w:rsidRPr="003A58BC">
        <w:rPr>
          <w:rFonts w:ascii="Times New Roman" w:eastAsia="Times New Roman" w:hAnsi="Times New Roman" w:cs="Times New Roman"/>
          <w:b/>
          <w:sz w:val="24"/>
          <w:szCs w:val="24"/>
        </w:rPr>
        <w:lastRenderedPageBreak/>
        <w:t>Table of Contents</w:t>
      </w:r>
    </w:p>
    <w:p w:rsidR="00012FC4" w:rsidRPr="003A58BC" w:rsidRDefault="00012FC4">
      <w:pPr>
        <w:pBdr>
          <w:top w:val="nil"/>
          <w:left w:val="nil"/>
          <w:bottom w:val="nil"/>
          <w:right w:val="nil"/>
          <w:between w:val="nil"/>
        </w:pBdr>
        <w:jc w:val="both"/>
        <w:rPr>
          <w:rFonts w:ascii="Times New Roman" w:eastAsia="Times New Roman" w:hAnsi="Times New Roman" w:cs="Times New Roman"/>
          <w:b/>
          <w:sz w:val="24"/>
          <w:szCs w:val="24"/>
        </w:rPr>
      </w:pPr>
    </w:p>
    <w:sdt>
      <w:sdtPr>
        <w:rPr>
          <w:rFonts w:ascii="Times New Roman" w:hAnsi="Times New Roman" w:cs="Times New Roman"/>
          <w:sz w:val="24"/>
          <w:szCs w:val="24"/>
        </w:rPr>
        <w:id w:val="-344244940"/>
        <w:docPartObj>
          <w:docPartGallery w:val="Table of Contents"/>
          <w:docPartUnique/>
        </w:docPartObj>
      </w:sdtPr>
      <w:sdtContent>
        <w:p w:rsidR="003A58BC" w:rsidRPr="003A58BC" w:rsidRDefault="00000000">
          <w:pPr>
            <w:pStyle w:val="TOC1"/>
            <w:tabs>
              <w:tab w:val="left" w:pos="440"/>
              <w:tab w:val="right" w:leader="dot" w:pos="9010"/>
            </w:tabs>
            <w:rPr>
              <w:rFonts w:ascii="Times New Roman" w:eastAsiaTheme="minorEastAsia" w:hAnsi="Times New Roman" w:cs="Times New Roman"/>
              <w:noProof/>
              <w:kern w:val="2"/>
              <w:sz w:val="24"/>
              <w:szCs w:val="24"/>
              <w:lang w:val="en-TR"/>
              <w14:ligatures w14:val="standardContextual"/>
            </w:rPr>
          </w:pPr>
          <w:r w:rsidRPr="003A58BC">
            <w:rPr>
              <w:rFonts w:ascii="Times New Roman" w:hAnsi="Times New Roman" w:cs="Times New Roman"/>
              <w:sz w:val="24"/>
              <w:szCs w:val="24"/>
            </w:rPr>
            <w:fldChar w:fldCharType="begin"/>
          </w:r>
          <w:r w:rsidRPr="003A58BC">
            <w:rPr>
              <w:rFonts w:ascii="Times New Roman" w:hAnsi="Times New Roman" w:cs="Times New Roman"/>
              <w:sz w:val="24"/>
              <w:szCs w:val="24"/>
            </w:rPr>
            <w:instrText xml:space="preserve"> TOC \h \u \z \t "Heading 1,1,Heading 2,2,Heading 3,3,Heading 4,4,Heading 5,5,Heading 6,6,"</w:instrText>
          </w:r>
          <w:r w:rsidRPr="003A58BC">
            <w:rPr>
              <w:rFonts w:ascii="Times New Roman" w:hAnsi="Times New Roman" w:cs="Times New Roman"/>
              <w:sz w:val="24"/>
              <w:szCs w:val="24"/>
            </w:rPr>
            <w:fldChar w:fldCharType="separate"/>
          </w:r>
          <w:hyperlink w:anchor="_Toc195263891" w:history="1">
            <w:r w:rsidR="003A58BC" w:rsidRPr="003A58BC">
              <w:rPr>
                <w:rStyle w:val="Hyperlink"/>
                <w:rFonts w:ascii="Times New Roman" w:eastAsia="Times New Roman" w:hAnsi="Times New Roman" w:cs="Times New Roman"/>
                <w:b/>
                <w:noProof/>
              </w:rPr>
              <w:t>1.</w:t>
            </w:r>
            <w:r w:rsidR="003A58BC" w:rsidRPr="003A58BC">
              <w:rPr>
                <w:rFonts w:ascii="Times New Roman" w:eastAsiaTheme="minorEastAsia" w:hAnsi="Times New Roman" w:cs="Times New Roman"/>
                <w:noProof/>
                <w:kern w:val="2"/>
                <w:sz w:val="24"/>
                <w:szCs w:val="24"/>
                <w:lang w:val="en-TR"/>
                <w14:ligatures w14:val="standardContextual"/>
              </w:rPr>
              <w:tab/>
            </w:r>
            <w:r w:rsidR="003A58BC" w:rsidRPr="003A58BC">
              <w:rPr>
                <w:rStyle w:val="Hyperlink"/>
                <w:rFonts w:ascii="Times New Roman" w:eastAsia="Times New Roman" w:hAnsi="Times New Roman" w:cs="Times New Roman"/>
                <w:b/>
                <w:noProof/>
              </w:rPr>
              <w:t>Introduction</w:t>
            </w:r>
            <w:r w:rsidR="003A58BC" w:rsidRPr="003A58BC">
              <w:rPr>
                <w:rFonts w:ascii="Times New Roman" w:hAnsi="Times New Roman" w:cs="Times New Roman"/>
                <w:noProof/>
                <w:webHidden/>
              </w:rPr>
              <w:tab/>
            </w:r>
            <w:r w:rsidR="003A58BC" w:rsidRPr="003A58BC">
              <w:rPr>
                <w:rFonts w:ascii="Times New Roman" w:hAnsi="Times New Roman" w:cs="Times New Roman"/>
                <w:noProof/>
                <w:webHidden/>
              </w:rPr>
              <w:fldChar w:fldCharType="begin"/>
            </w:r>
            <w:r w:rsidR="003A58BC" w:rsidRPr="003A58BC">
              <w:rPr>
                <w:rFonts w:ascii="Times New Roman" w:hAnsi="Times New Roman" w:cs="Times New Roman"/>
                <w:noProof/>
                <w:webHidden/>
              </w:rPr>
              <w:instrText xml:space="preserve"> PAGEREF _Toc195263891 \h </w:instrText>
            </w:r>
            <w:r w:rsidR="003A58BC" w:rsidRPr="003A58BC">
              <w:rPr>
                <w:rFonts w:ascii="Times New Roman" w:hAnsi="Times New Roman" w:cs="Times New Roman"/>
                <w:noProof/>
                <w:webHidden/>
              </w:rPr>
            </w:r>
            <w:r w:rsidR="003A58BC" w:rsidRPr="003A58BC">
              <w:rPr>
                <w:rFonts w:ascii="Times New Roman" w:hAnsi="Times New Roman" w:cs="Times New Roman"/>
                <w:noProof/>
                <w:webHidden/>
              </w:rPr>
              <w:fldChar w:fldCharType="separate"/>
            </w:r>
            <w:r w:rsidR="003A58BC" w:rsidRPr="003A58BC">
              <w:rPr>
                <w:rFonts w:ascii="Times New Roman" w:hAnsi="Times New Roman" w:cs="Times New Roman"/>
                <w:noProof/>
                <w:webHidden/>
              </w:rPr>
              <w:t>2</w:t>
            </w:r>
            <w:r w:rsidR="003A58BC" w:rsidRPr="003A58BC">
              <w:rPr>
                <w:rFonts w:ascii="Times New Roman" w:hAnsi="Times New Roman" w:cs="Times New Roman"/>
                <w:noProof/>
                <w:webHidden/>
              </w:rPr>
              <w:fldChar w:fldCharType="end"/>
            </w:r>
          </w:hyperlink>
        </w:p>
        <w:p w:rsidR="003A58BC" w:rsidRPr="003A58BC" w:rsidRDefault="003A58BC">
          <w:pPr>
            <w:pStyle w:val="TOC1"/>
            <w:tabs>
              <w:tab w:val="left" w:pos="440"/>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892" w:history="1">
            <w:r w:rsidRPr="003A58BC">
              <w:rPr>
                <w:rStyle w:val="Hyperlink"/>
                <w:rFonts w:ascii="Times New Roman" w:eastAsia="Times New Roman" w:hAnsi="Times New Roman" w:cs="Times New Roman"/>
                <w:b/>
                <w:noProof/>
              </w:rPr>
              <w:t>2.</w:t>
            </w:r>
            <w:r w:rsidRPr="003A58BC">
              <w:rPr>
                <w:rFonts w:ascii="Times New Roman" w:eastAsiaTheme="minorEastAsia" w:hAnsi="Times New Roman" w:cs="Times New Roman"/>
                <w:noProof/>
                <w:kern w:val="2"/>
                <w:sz w:val="24"/>
                <w:szCs w:val="24"/>
                <w:lang w:val="en-TR"/>
                <w14:ligatures w14:val="standardContextual"/>
              </w:rPr>
              <w:tab/>
            </w:r>
            <w:r w:rsidRPr="003A58BC">
              <w:rPr>
                <w:rStyle w:val="Hyperlink"/>
                <w:rFonts w:ascii="Times New Roman" w:eastAsia="Times New Roman" w:hAnsi="Times New Roman" w:cs="Times New Roman"/>
                <w:b/>
                <w:noProof/>
              </w:rPr>
              <w:t>Data and Methodology</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_Toc195263892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3</w:t>
            </w:r>
            <w:r w:rsidRPr="003A58BC">
              <w:rPr>
                <w:rFonts w:ascii="Times New Roman" w:hAnsi="Times New Roman" w:cs="Times New Roman"/>
                <w:noProof/>
                <w:webHidden/>
              </w:rPr>
              <w:fldChar w:fldCharType="end"/>
            </w:r>
          </w:hyperlink>
        </w:p>
        <w:p w:rsidR="003A58BC" w:rsidRPr="003A58BC" w:rsidRDefault="003A58BC">
          <w:pPr>
            <w:pStyle w:val="TOC1"/>
            <w:tabs>
              <w:tab w:val="left" w:pos="440"/>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893" w:history="1">
            <w:r w:rsidRPr="003A58BC">
              <w:rPr>
                <w:rStyle w:val="Hyperlink"/>
                <w:rFonts w:ascii="Times New Roman" w:eastAsia="Times New Roman" w:hAnsi="Times New Roman" w:cs="Times New Roman"/>
                <w:b/>
                <w:noProof/>
              </w:rPr>
              <w:t>3.</w:t>
            </w:r>
            <w:r w:rsidRPr="003A58BC">
              <w:rPr>
                <w:rFonts w:ascii="Times New Roman" w:eastAsiaTheme="minorEastAsia" w:hAnsi="Times New Roman" w:cs="Times New Roman"/>
                <w:noProof/>
                <w:kern w:val="2"/>
                <w:sz w:val="24"/>
                <w:szCs w:val="24"/>
                <w:lang w:val="en-TR"/>
                <w14:ligatures w14:val="standardContextual"/>
              </w:rPr>
              <w:tab/>
            </w:r>
            <w:r w:rsidRPr="003A58BC">
              <w:rPr>
                <w:rStyle w:val="Hyperlink"/>
                <w:rFonts w:ascii="Times New Roman" w:eastAsia="Times New Roman" w:hAnsi="Times New Roman" w:cs="Times New Roman"/>
                <w:b/>
                <w:noProof/>
              </w:rPr>
              <w:t>Data Exploratory Analysis</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_Toc195263893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4</w:t>
            </w:r>
            <w:r w:rsidRPr="003A58BC">
              <w:rPr>
                <w:rFonts w:ascii="Times New Roman" w:hAnsi="Times New Roman" w:cs="Times New Roman"/>
                <w:noProof/>
                <w:webHidden/>
              </w:rPr>
              <w:fldChar w:fldCharType="end"/>
            </w:r>
          </w:hyperlink>
        </w:p>
        <w:p w:rsidR="003A58BC" w:rsidRPr="003A58BC" w:rsidRDefault="003A58BC">
          <w:pPr>
            <w:pStyle w:val="TOC1"/>
            <w:tabs>
              <w:tab w:val="left" w:pos="440"/>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894" w:history="1">
            <w:r w:rsidRPr="003A58BC">
              <w:rPr>
                <w:rStyle w:val="Hyperlink"/>
                <w:rFonts w:ascii="Times New Roman" w:eastAsia="Times New Roman" w:hAnsi="Times New Roman" w:cs="Times New Roman"/>
                <w:b/>
                <w:noProof/>
              </w:rPr>
              <w:t>4.</w:t>
            </w:r>
            <w:r w:rsidRPr="003A58BC">
              <w:rPr>
                <w:rFonts w:ascii="Times New Roman" w:eastAsiaTheme="minorEastAsia" w:hAnsi="Times New Roman" w:cs="Times New Roman"/>
                <w:noProof/>
                <w:kern w:val="2"/>
                <w:sz w:val="24"/>
                <w:szCs w:val="24"/>
                <w:lang w:val="en-TR"/>
                <w14:ligatures w14:val="standardContextual"/>
              </w:rPr>
              <w:tab/>
            </w:r>
            <w:r w:rsidRPr="003A58BC">
              <w:rPr>
                <w:rStyle w:val="Hyperlink"/>
                <w:rFonts w:ascii="Times New Roman" w:eastAsia="Times New Roman" w:hAnsi="Times New Roman" w:cs="Times New Roman"/>
                <w:b/>
                <w:noProof/>
              </w:rPr>
              <w:t>Testing the Validity of Purchasing Power Parity (PPP)</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_Toc195263894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7</w:t>
            </w:r>
            <w:r w:rsidRPr="003A58BC">
              <w:rPr>
                <w:rFonts w:ascii="Times New Roman" w:hAnsi="Times New Roman" w:cs="Times New Roman"/>
                <w:noProof/>
                <w:webHidden/>
              </w:rPr>
              <w:fldChar w:fldCharType="end"/>
            </w:r>
          </w:hyperlink>
        </w:p>
        <w:p w:rsidR="003A58BC" w:rsidRPr="003A58BC" w:rsidRDefault="003A58BC">
          <w:pPr>
            <w:pStyle w:val="TOC2"/>
            <w:tabs>
              <w:tab w:val="right" w:leader="dot" w:pos="9010"/>
            </w:tabs>
            <w:rPr>
              <w:rFonts w:ascii="Times New Roman" w:eastAsiaTheme="minorEastAsia" w:hAnsi="Times New Roman" w:cs="Times New Roman"/>
              <w:noProof/>
              <w:kern w:val="2"/>
              <w:sz w:val="24"/>
              <w:szCs w:val="24"/>
              <w:lang w:val="en-TR"/>
              <w14:ligatures w14:val="standardContextual"/>
            </w:rPr>
          </w:pPr>
          <w:r w:rsidRPr="003A58BC">
            <w:rPr>
              <w:rStyle w:val="Hyperlink"/>
              <w:rFonts w:ascii="Times New Roman" w:hAnsi="Times New Roman" w:cs="Times New Roman"/>
              <w:noProof/>
            </w:rPr>
            <w:fldChar w:fldCharType="begin"/>
          </w:r>
          <w:r w:rsidRPr="003A58BC">
            <w:rPr>
              <w:rStyle w:val="Hyperlink"/>
              <w:rFonts w:ascii="Times New Roman" w:hAnsi="Times New Roman" w:cs="Times New Roman"/>
              <w:noProof/>
            </w:rPr>
            <w:instrText xml:space="preserve"> </w:instrText>
          </w:r>
          <w:r w:rsidRPr="003A58BC">
            <w:rPr>
              <w:rFonts w:ascii="Times New Roman" w:hAnsi="Times New Roman" w:cs="Times New Roman"/>
              <w:noProof/>
            </w:rPr>
            <w:instrText>HYPERLINK \l "_Toc195263895"</w:instrText>
          </w:r>
          <w:r w:rsidRPr="003A58BC">
            <w:rPr>
              <w:rStyle w:val="Hyperlink"/>
              <w:rFonts w:ascii="Times New Roman" w:hAnsi="Times New Roman" w:cs="Times New Roman"/>
              <w:noProof/>
            </w:rPr>
            <w:instrText xml:space="preserve"> </w:instrText>
          </w:r>
          <w:r w:rsidRPr="003A58BC">
            <w:rPr>
              <w:rStyle w:val="Hyperlink"/>
              <w:rFonts w:ascii="Times New Roman" w:hAnsi="Times New Roman" w:cs="Times New Roman"/>
              <w:noProof/>
            </w:rPr>
          </w:r>
          <w:r w:rsidRPr="003A58BC">
            <w:rPr>
              <w:rStyle w:val="Hyperlink"/>
              <w:rFonts w:ascii="Times New Roman" w:hAnsi="Times New Roman" w:cs="Times New Roman"/>
              <w:noProof/>
            </w:rPr>
            <w:fldChar w:fldCharType="separate"/>
          </w:r>
          <w:r w:rsidRPr="003A58BC">
            <w:rPr>
              <w:rStyle w:val="Hyperlink"/>
              <w:rFonts w:ascii="Times New Roman" w:eastAsia="Times New Roman" w:hAnsi="Times New Roman" w:cs="Times New Roman"/>
              <w:b/>
              <w:noProof/>
            </w:rPr>
            <w:t>Testing Absolute PPP: Unit Root Test on Log Real Exchange Rate</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_Toc195263895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7</w:t>
          </w:r>
          <w:r w:rsidRPr="003A58BC">
            <w:rPr>
              <w:rFonts w:ascii="Times New Roman" w:hAnsi="Times New Roman" w:cs="Times New Roman"/>
              <w:noProof/>
              <w:webHidden/>
            </w:rPr>
            <w:fldChar w:fldCharType="end"/>
          </w:r>
          <w:r w:rsidRPr="003A58BC">
            <w:rPr>
              <w:rStyle w:val="Hyperlink"/>
              <w:rFonts w:ascii="Times New Roman" w:hAnsi="Times New Roman" w:cs="Times New Roman"/>
              <w:noProof/>
            </w:rPr>
            <w:fldChar w:fldCharType="end"/>
          </w:r>
        </w:p>
        <w:p w:rsidR="003A58BC" w:rsidRPr="003A58BC" w:rsidRDefault="003A58BC">
          <w:pPr>
            <w:pStyle w:val="TOC2"/>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896" w:history="1">
            <w:r w:rsidRPr="003A58BC">
              <w:rPr>
                <w:rStyle w:val="Hyperlink"/>
                <w:rFonts w:ascii="Times New Roman" w:eastAsia="Times New Roman" w:hAnsi="Times New Roman" w:cs="Times New Roman"/>
                <w:b/>
                <w:noProof/>
              </w:rPr>
              <w:t>Testing Relative PPP: Regression Between Log Nominal Exchange Rate and Log CPI Ratio</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_Toc195263896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7</w:t>
            </w:r>
            <w:r w:rsidRPr="003A58BC">
              <w:rPr>
                <w:rFonts w:ascii="Times New Roman" w:hAnsi="Times New Roman" w:cs="Times New Roman"/>
                <w:noProof/>
                <w:webHidden/>
              </w:rPr>
              <w:fldChar w:fldCharType="end"/>
            </w:r>
          </w:hyperlink>
        </w:p>
        <w:p w:rsidR="003A58BC" w:rsidRPr="003A58BC" w:rsidRDefault="003A58BC">
          <w:pPr>
            <w:pStyle w:val="TOC2"/>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897" w:history="1">
            <w:r w:rsidRPr="003A58BC">
              <w:rPr>
                <w:rStyle w:val="Hyperlink"/>
                <w:rFonts w:ascii="Times New Roman" w:eastAsia="Times New Roman" w:hAnsi="Times New Roman" w:cs="Times New Roman"/>
                <w:b/>
                <w:noProof/>
              </w:rPr>
              <w:t>Alternative Approach: Testing Relative PPP  by Regression Between Log Nominal Exchange Rate and separate parameters (β1,β2​)</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_Toc195263897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9</w:t>
            </w:r>
            <w:r w:rsidRPr="003A58BC">
              <w:rPr>
                <w:rFonts w:ascii="Times New Roman" w:hAnsi="Times New Roman" w:cs="Times New Roman"/>
                <w:noProof/>
                <w:webHidden/>
              </w:rPr>
              <w:fldChar w:fldCharType="end"/>
            </w:r>
          </w:hyperlink>
        </w:p>
        <w:p w:rsidR="003A58BC" w:rsidRPr="003A58BC" w:rsidRDefault="003A58BC">
          <w:pPr>
            <w:pStyle w:val="TOC1"/>
            <w:tabs>
              <w:tab w:val="left" w:pos="440"/>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898" w:history="1">
            <w:r w:rsidRPr="003A58BC">
              <w:rPr>
                <w:rStyle w:val="Hyperlink"/>
                <w:rFonts w:ascii="Times New Roman" w:eastAsia="Times New Roman" w:hAnsi="Times New Roman" w:cs="Times New Roman"/>
                <w:b/>
                <w:noProof/>
              </w:rPr>
              <w:t>5.</w:t>
            </w:r>
            <w:r w:rsidRPr="003A58BC">
              <w:rPr>
                <w:rFonts w:ascii="Times New Roman" w:eastAsiaTheme="minorEastAsia" w:hAnsi="Times New Roman" w:cs="Times New Roman"/>
                <w:noProof/>
                <w:kern w:val="2"/>
                <w:sz w:val="24"/>
                <w:szCs w:val="24"/>
                <w:lang w:val="en-TR"/>
                <w14:ligatures w14:val="standardContextual"/>
              </w:rPr>
              <w:tab/>
            </w:r>
            <w:r w:rsidRPr="003A58BC">
              <w:rPr>
                <w:rStyle w:val="Hyperlink"/>
                <w:rFonts w:ascii="Times New Roman" w:eastAsia="Times New Roman" w:hAnsi="Times New Roman" w:cs="Times New Roman"/>
                <w:b/>
                <w:noProof/>
              </w:rPr>
              <w:t>ARIMA Model selection Forecasting the Real Exchange Rate</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_Toc195263898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10</w:t>
            </w:r>
            <w:r w:rsidRPr="003A58BC">
              <w:rPr>
                <w:rFonts w:ascii="Times New Roman" w:hAnsi="Times New Roman" w:cs="Times New Roman"/>
                <w:noProof/>
                <w:webHidden/>
              </w:rPr>
              <w:fldChar w:fldCharType="end"/>
            </w:r>
          </w:hyperlink>
        </w:p>
        <w:p w:rsidR="003A58BC" w:rsidRPr="003A58BC" w:rsidRDefault="003A58BC">
          <w:pPr>
            <w:pStyle w:val="TOC2"/>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899" w:history="1">
            <w:r w:rsidRPr="003A58BC">
              <w:rPr>
                <w:rStyle w:val="Hyperlink"/>
                <w:rFonts w:ascii="Times New Roman" w:eastAsia="Times New Roman" w:hAnsi="Times New Roman" w:cs="Times New Roman"/>
                <w:b/>
                <w:noProof/>
              </w:rPr>
              <w:t>Step 1: Identification</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_Toc195263899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10</w:t>
            </w:r>
            <w:r w:rsidRPr="003A58BC">
              <w:rPr>
                <w:rFonts w:ascii="Times New Roman" w:hAnsi="Times New Roman" w:cs="Times New Roman"/>
                <w:noProof/>
                <w:webHidden/>
              </w:rPr>
              <w:fldChar w:fldCharType="end"/>
            </w:r>
          </w:hyperlink>
        </w:p>
        <w:p w:rsidR="003A58BC" w:rsidRPr="003A58BC" w:rsidRDefault="003A58BC">
          <w:pPr>
            <w:pStyle w:val="TOC2"/>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00" w:history="1">
            <w:r w:rsidRPr="003A58BC">
              <w:rPr>
                <w:rStyle w:val="Hyperlink"/>
                <w:rFonts w:ascii="Times New Roman" w:eastAsia="Times New Roman" w:hAnsi="Times New Roman" w:cs="Times New Roman"/>
                <w:b/>
                <w:noProof/>
              </w:rPr>
              <w:t>Step 2: Estimation</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_Toc195263900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11</w:t>
            </w:r>
            <w:r w:rsidRPr="003A58BC">
              <w:rPr>
                <w:rFonts w:ascii="Times New Roman" w:hAnsi="Times New Roman" w:cs="Times New Roman"/>
                <w:noProof/>
                <w:webHidden/>
              </w:rPr>
              <w:fldChar w:fldCharType="end"/>
            </w:r>
          </w:hyperlink>
        </w:p>
        <w:p w:rsidR="003A58BC" w:rsidRPr="003A58BC" w:rsidRDefault="003A58BC">
          <w:pPr>
            <w:pStyle w:val="TOC2"/>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01" w:history="1">
            <w:r w:rsidRPr="003A58BC">
              <w:rPr>
                <w:rStyle w:val="Hyperlink"/>
                <w:rFonts w:ascii="Times New Roman" w:eastAsia="Times New Roman" w:hAnsi="Times New Roman" w:cs="Times New Roman"/>
                <w:b/>
                <w:noProof/>
              </w:rPr>
              <w:t>Step 3:  Diagnostic checking</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_Toc195263901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12</w:t>
            </w:r>
            <w:r w:rsidRPr="003A58BC">
              <w:rPr>
                <w:rFonts w:ascii="Times New Roman" w:hAnsi="Times New Roman" w:cs="Times New Roman"/>
                <w:noProof/>
                <w:webHidden/>
              </w:rPr>
              <w:fldChar w:fldCharType="end"/>
            </w:r>
          </w:hyperlink>
        </w:p>
        <w:p w:rsidR="003A58BC" w:rsidRPr="003A58BC" w:rsidRDefault="003A58BC">
          <w:pPr>
            <w:pStyle w:val="TOC2"/>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02" w:history="1">
            <w:r w:rsidRPr="003A58BC">
              <w:rPr>
                <w:rStyle w:val="Hyperlink"/>
                <w:rFonts w:ascii="Times New Roman" w:eastAsia="Times New Roman" w:hAnsi="Times New Roman" w:cs="Times New Roman"/>
                <w:b/>
                <w:noProof/>
              </w:rPr>
              <w:t>Step 4: Model Selection</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_Toc195263902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15</w:t>
            </w:r>
            <w:r w:rsidRPr="003A58BC">
              <w:rPr>
                <w:rFonts w:ascii="Times New Roman" w:hAnsi="Times New Roman" w:cs="Times New Roman"/>
                <w:noProof/>
                <w:webHidden/>
              </w:rPr>
              <w:fldChar w:fldCharType="end"/>
            </w:r>
          </w:hyperlink>
        </w:p>
        <w:p w:rsidR="003A58BC" w:rsidRPr="003A58BC" w:rsidRDefault="003A58BC">
          <w:pPr>
            <w:pStyle w:val="TOC2"/>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03" w:history="1">
            <w:r w:rsidRPr="003A58BC">
              <w:rPr>
                <w:rStyle w:val="Hyperlink"/>
                <w:rFonts w:ascii="Times New Roman" w:eastAsia="Times New Roman" w:hAnsi="Times New Roman" w:cs="Times New Roman"/>
                <w:b/>
                <w:noProof/>
              </w:rPr>
              <w:t>Step 5: Forecasting</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_Toc195263903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16</w:t>
            </w:r>
            <w:r w:rsidRPr="003A58BC">
              <w:rPr>
                <w:rFonts w:ascii="Times New Roman" w:hAnsi="Times New Roman" w:cs="Times New Roman"/>
                <w:noProof/>
                <w:webHidden/>
              </w:rPr>
              <w:fldChar w:fldCharType="end"/>
            </w:r>
          </w:hyperlink>
        </w:p>
        <w:p w:rsidR="003A58BC" w:rsidRPr="003A58BC" w:rsidRDefault="003A58BC">
          <w:pPr>
            <w:pStyle w:val="TOC1"/>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04" w:history="1">
            <w:r w:rsidRPr="003A58BC">
              <w:rPr>
                <w:rStyle w:val="Hyperlink"/>
                <w:rFonts w:ascii="Times New Roman" w:eastAsia="Times New Roman" w:hAnsi="Times New Roman" w:cs="Times New Roman"/>
                <w:b/>
                <w:noProof/>
              </w:rPr>
              <w:t>6. Results and Discussion</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_Toc195263904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18</w:t>
            </w:r>
            <w:r w:rsidRPr="003A58BC">
              <w:rPr>
                <w:rFonts w:ascii="Times New Roman" w:hAnsi="Times New Roman" w:cs="Times New Roman"/>
                <w:noProof/>
                <w:webHidden/>
              </w:rPr>
              <w:fldChar w:fldCharType="end"/>
            </w:r>
          </w:hyperlink>
        </w:p>
        <w:p w:rsidR="003A58BC" w:rsidRPr="003A58BC" w:rsidRDefault="003A58BC">
          <w:pPr>
            <w:pStyle w:val="TOC2"/>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05" w:history="1">
            <w:r w:rsidRPr="003A58BC">
              <w:rPr>
                <w:rStyle w:val="Hyperlink"/>
                <w:rFonts w:ascii="Times New Roman" w:eastAsia="Times New Roman" w:hAnsi="Times New Roman" w:cs="Times New Roman"/>
                <w:b/>
                <w:noProof/>
              </w:rPr>
              <w:t>6.1 Summary of Key Findings</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_Toc195263905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18</w:t>
            </w:r>
            <w:r w:rsidRPr="003A58BC">
              <w:rPr>
                <w:rFonts w:ascii="Times New Roman" w:hAnsi="Times New Roman" w:cs="Times New Roman"/>
                <w:noProof/>
                <w:webHidden/>
              </w:rPr>
              <w:fldChar w:fldCharType="end"/>
            </w:r>
          </w:hyperlink>
        </w:p>
        <w:p w:rsidR="003A58BC" w:rsidRPr="003A58BC" w:rsidRDefault="003A58BC">
          <w:pPr>
            <w:pStyle w:val="TOC3"/>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06" w:history="1">
            <w:r w:rsidRPr="003A58BC">
              <w:rPr>
                <w:rStyle w:val="Hyperlink"/>
                <w:rFonts w:ascii="Times New Roman" w:eastAsia="Times New Roman" w:hAnsi="Times New Roman" w:cs="Times New Roman"/>
                <w:b/>
                <w:noProof/>
              </w:rPr>
              <w:t>6.1.1 Results and Validity Analysis of Purchasing Power Parity (PPP)</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_Toc195263906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18</w:t>
            </w:r>
            <w:r w:rsidRPr="003A58BC">
              <w:rPr>
                <w:rFonts w:ascii="Times New Roman" w:hAnsi="Times New Roman" w:cs="Times New Roman"/>
                <w:noProof/>
                <w:webHidden/>
              </w:rPr>
              <w:fldChar w:fldCharType="end"/>
            </w:r>
          </w:hyperlink>
        </w:p>
        <w:p w:rsidR="003A58BC" w:rsidRPr="003A58BC" w:rsidRDefault="003A58BC">
          <w:pPr>
            <w:pStyle w:val="TOC3"/>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07" w:history="1">
            <w:r w:rsidRPr="003A58BC">
              <w:rPr>
                <w:rStyle w:val="Hyperlink"/>
                <w:rFonts w:ascii="Times New Roman" w:eastAsia="Times New Roman" w:hAnsi="Times New Roman" w:cs="Times New Roman"/>
                <w:b/>
                <w:noProof/>
              </w:rPr>
              <w:t>6.1.2 Time Series Modeling Results and Applicability Analysis of Forecasting Model</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_Toc195263907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18</w:t>
            </w:r>
            <w:r w:rsidRPr="003A58BC">
              <w:rPr>
                <w:rFonts w:ascii="Times New Roman" w:hAnsi="Times New Roman" w:cs="Times New Roman"/>
                <w:noProof/>
                <w:webHidden/>
              </w:rPr>
              <w:fldChar w:fldCharType="end"/>
            </w:r>
          </w:hyperlink>
        </w:p>
        <w:p w:rsidR="003A58BC" w:rsidRPr="003A58BC" w:rsidRDefault="003A58BC">
          <w:pPr>
            <w:pStyle w:val="TOC2"/>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08" w:history="1">
            <w:r w:rsidRPr="003A58BC">
              <w:rPr>
                <w:rStyle w:val="Hyperlink"/>
                <w:rFonts w:ascii="Times New Roman" w:eastAsia="Times New Roman" w:hAnsi="Times New Roman" w:cs="Times New Roman"/>
                <w:b/>
                <w:noProof/>
              </w:rPr>
              <w:t>6.2 Implications for Banks/Policymakers</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_Toc195263908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19</w:t>
            </w:r>
            <w:r w:rsidRPr="003A58BC">
              <w:rPr>
                <w:rFonts w:ascii="Times New Roman" w:hAnsi="Times New Roman" w:cs="Times New Roman"/>
                <w:noProof/>
                <w:webHidden/>
              </w:rPr>
              <w:fldChar w:fldCharType="end"/>
            </w:r>
          </w:hyperlink>
        </w:p>
        <w:p w:rsidR="003A58BC" w:rsidRPr="003A58BC" w:rsidRDefault="003A58BC">
          <w:pPr>
            <w:pStyle w:val="TOC3"/>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09" w:history="1">
            <w:r w:rsidRPr="003A58BC">
              <w:rPr>
                <w:rStyle w:val="Hyperlink"/>
                <w:rFonts w:ascii="Times New Roman" w:eastAsia="Times New Roman" w:hAnsi="Times New Roman" w:cs="Times New Roman"/>
                <w:b/>
                <w:noProof/>
              </w:rPr>
              <w:t>6.2.1 Implications from PPP Test Results</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_Toc195263909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19</w:t>
            </w:r>
            <w:r w:rsidRPr="003A58BC">
              <w:rPr>
                <w:rFonts w:ascii="Times New Roman" w:hAnsi="Times New Roman" w:cs="Times New Roman"/>
                <w:noProof/>
                <w:webHidden/>
              </w:rPr>
              <w:fldChar w:fldCharType="end"/>
            </w:r>
          </w:hyperlink>
        </w:p>
        <w:p w:rsidR="003A58BC" w:rsidRPr="003A58BC" w:rsidRDefault="003A58BC">
          <w:pPr>
            <w:pStyle w:val="TOC3"/>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10" w:history="1">
            <w:r w:rsidRPr="003A58BC">
              <w:rPr>
                <w:rStyle w:val="Hyperlink"/>
                <w:rFonts w:ascii="Times New Roman" w:eastAsia="Times New Roman" w:hAnsi="Times New Roman" w:cs="Times New Roman"/>
                <w:b/>
                <w:noProof/>
              </w:rPr>
              <w:t>6.2.2 Implications from ARIMA Model Prediction</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_Toc195263910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19</w:t>
            </w:r>
            <w:r w:rsidRPr="003A58BC">
              <w:rPr>
                <w:rFonts w:ascii="Times New Roman" w:hAnsi="Times New Roman" w:cs="Times New Roman"/>
                <w:noProof/>
                <w:webHidden/>
              </w:rPr>
              <w:fldChar w:fldCharType="end"/>
            </w:r>
          </w:hyperlink>
        </w:p>
        <w:p w:rsidR="003A58BC" w:rsidRPr="003A58BC" w:rsidRDefault="003A58BC">
          <w:pPr>
            <w:pStyle w:val="TOC2"/>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11" w:history="1">
            <w:r w:rsidRPr="003A58BC">
              <w:rPr>
                <w:rStyle w:val="Hyperlink"/>
                <w:rFonts w:ascii="Times New Roman" w:eastAsia="Times New Roman" w:hAnsi="Times New Roman" w:cs="Times New Roman"/>
                <w:b/>
                <w:noProof/>
              </w:rPr>
              <w:t>6.3 Limitations of the Study</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_Toc195263911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20</w:t>
            </w:r>
            <w:r w:rsidRPr="003A58BC">
              <w:rPr>
                <w:rFonts w:ascii="Times New Roman" w:hAnsi="Times New Roman" w:cs="Times New Roman"/>
                <w:noProof/>
                <w:webHidden/>
              </w:rPr>
              <w:fldChar w:fldCharType="end"/>
            </w:r>
          </w:hyperlink>
        </w:p>
        <w:p w:rsidR="003A58BC" w:rsidRPr="003A58BC" w:rsidRDefault="003A58BC">
          <w:pPr>
            <w:pStyle w:val="TOC1"/>
            <w:tabs>
              <w:tab w:val="right" w:leader="dot" w:pos="9010"/>
            </w:tabs>
            <w:rPr>
              <w:rFonts w:ascii="Times New Roman" w:eastAsiaTheme="minorEastAsia" w:hAnsi="Times New Roman" w:cs="Times New Roman"/>
              <w:noProof/>
              <w:kern w:val="2"/>
              <w:sz w:val="24"/>
              <w:szCs w:val="24"/>
              <w:lang w:val="en-TR"/>
              <w14:ligatures w14:val="standardContextual"/>
            </w:rPr>
          </w:pPr>
          <w:hyperlink w:anchor="_Toc195263912" w:history="1">
            <w:r w:rsidRPr="003A58BC">
              <w:rPr>
                <w:rStyle w:val="Hyperlink"/>
                <w:rFonts w:ascii="Times New Roman" w:eastAsia="Times New Roman" w:hAnsi="Times New Roman" w:cs="Times New Roman"/>
                <w:b/>
                <w:noProof/>
              </w:rPr>
              <w:t>References</w:t>
            </w:r>
            <w:r w:rsidRPr="003A58BC">
              <w:rPr>
                <w:rFonts w:ascii="Times New Roman" w:hAnsi="Times New Roman" w:cs="Times New Roman"/>
                <w:noProof/>
                <w:webHidden/>
              </w:rPr>
              <w:tab/>
            </w:r>
            <w:r w:rsidRPr="003A58BC">
              <w:rPr>
                <w:rFonts w:ascii="Times New Roman" w:hAnsi="Times New Roman" w:cs="Times New Roman"/>
                <w:noProof/>
                <w:webHidden/>
              </w:rPr>
              <w:fldChar w:fldCharType="begin"/>
            </w:r>
            <w:r w:rsidRPr="003A58BC">
              <w:rPr>
                <w:rFonts w:ascii="Times New Roman" w:hAnsi="Times New Roman" w:cs="Times New Roman"/>
                <w:noProof/>
                <w:webHidden/>
              </w:rPr>
              <w:instrText xml:space="preserve"> PAGEREF _Toc195263912 \h </w:instrText>
            </w:r>
            <w:r w:rsidRPr="003A58BC">
              <w:rPr>
                <w:rFonts w:ascii="Times New Roman" w:hAnsi="Times New Roman" w:cs="Times New Roman"/>
                <w:noProof/>
                <w:webHidden/>
              </w:rPr>
            </w:r>
            <w:r w:rsidRPr="003A58BC">
              <w:rPr>
                <w:rFonts w:ascii="Times New Roman" w:hAnsi="Times New Roman" w:cs="Times New Roman"/>
                <w:noProof/>
                <w:webHidden/>
              </w:rPr>
              <w:fldChar w:fldCharType="separate"/>
            </w:r>
            <w:r w:rsidRPr="003A58BC">
              <w:rPr>
                <w:rFonts w:ascii="Times New Roman" w:hAnsi="Times New Roman" w:cs="Times New Roman"/>
                <w:noProof/>
                <w:webHidden/>
              </w:rPr>
              <w:t>22</w:t>
            </w:r>
            <w:r w:rsidRPr="003A58BC">
              <w:rPr>
                <w:rFonts w:ascii="Times New Roman" w:hAnsi="Times New Roman" w:cs="Times New Roman"/>
                <w:noProof/>
                <w:webHidden/>
              </w:rPr>
              <w:fldChar w:fldCharType="end"/>
            </w:r>
          </w:hyperlink>
        </w:p>
        <w:p w:rsidR="00012FC4" w:rsidRPr="003A58BC" w:rsidRDefault="00000000">
          <w:pPr>
            <w:widowControl w:val="0"/>
            <w:tabs>
              <w:tab w:val="right" w:leader="dot" w:pos="12000"/>
            </w:tabs>
            <w:spacing w:before="60" w:line="240" w:lineRule="auto"/>
            <w:rPr>
              <w:rFonts w:ascii="Times New Roman" w:eastAsia="Times New Roman" w:hAnsi="Times New Roman" w:cs="Times New Roman"/>
              <w:b/>
              <w:color w:val="000000"/>
              <w:sz w:val="24"/>
              <w:szCs w:val="24"/>
            </w:rPr>
          </w:pPr>
          <w:r w:rsidRPr="003A58BC">
            <w:rPr>
              <w:rFonts w:ascii="Times New Roman" w:hAnsi="Times New Roman" w:cs="Times New Roman"/>
              <w:sz w:val="24"/>
              <w:szCs w:val="24"/>
            </w:rPr>
            <w:fldChar w:fldCharType="end"/>
          </w:r>
        </w:p>
      </w:sdtContent>
    </w:sdt>
    <w:p w:rsidR="00012FC4" w:rsidRPr="003A58BC" w:rsidRDefault="00012FC4">
      <w:pPr>
        <w:pBdr>
          <w:top w:val="nil"/>
          <w:left w:val="nil"/>
          <w:bottom w:val="nil"/>
          <w:right w:val="nil"/>
          <w:between w:val="nil"/>
        </w:pBdr>
        <w:jc w:val="both"/>
        <w:rPr>
          <w:rFonts w:ascii="Times New Roman" w:eastAsia="Times New Roman" w:hAnsi="Times New Roman" w:cs="Times New Roman"/>
          <w:b/>
          <w:sz w:val="24"/>
          <w:szCs w:val="24"/>
        </w:rPr>
        <w:sectPr w:rsidR="00012FC4" w:rsidRPr="003A58BC" w:rsidSect="00C42590">
          <w:footerReference w:type="default" r:id="rId9"/>
          <w:pgSz w:w="11900" w:h="16840"/>
          <w:pgMar w:top="1440" w:right="1440" w:bottom="1440" w:left="1440" w:header="720" w:footer="720" w:gutter="0"/>
          <w:pgNumType w:start="1"/>
          <w:cols w:space="720"/>
          <w:docGrid w:linePitch="299"/>
        </w:sectPr>
      </w:pPr>
    </w:p>
    <w:p w:rsidR="00012FC4" w:rsidRPr="003A58BC" w:rsidRDefault="00000000">
      <w:pPr>
        <w:pStyle w:val="Title"/>
        <w:jc w:val="both"/>
        <w:rPr>
          <w:rFonts w:ascii="Times New Roman" w:eastAsia="Times New Roman" w:hAnsi="Times New Roman" w:cs="Times New Roman"/>
          <w:b/>
          <w:sz w:val="32"/>
          <w:szCs w:val="32"/>
        </w:rPr>
      </w:pPr>
      <w:bookmarkStart w:id="0" w:name="_ehf6tgj1ax66" w:colFirst="0" w:colLast="0"/>
      <w:bookmarkEnd w:id="0"/>
      <w:r w:rsidRPr="003A58BC">
        <w:rPr>
          <w:rFonts w:ascii="Times New Roman" w:eastAsia="Times New Roman" w:hAnsi="Times New Roman" w:cs="Times New Roman"/>
          <w:b/>
          <w:sz w:val="32"/>
          <w:szCs w:val="32"/>
        </w:rPr>
        <w:lastRenderedPageBreak/>
        <w:t xml:space="preserve">Evaluating Exchange Rate Models and PPP: A Forecasting Study of United Kingdom and Canada </w:t>
      </w:r>
    </w:p>
    <w:p w:rsidR="00012FC4" w:rsidRPr="003A58BC" w:rsidRDefault="00012FC4">
      <w:pPr>
        <w:pBdr>
          <w:top w:val="nil"/>
          <w:left w:val="nil"/>
          <w:bottom w:val="nil"/>
          <w:right w:val="nil"/>
          <w:between w:val="nil"/>
        </w:pBdr>
        <w:jc w:val="both"/>
        <w:rPr>
          <w:rFonts w:ascii="Times New Roman" w:eastAsia="Times New Roman" w:hAnsi="Times New Roman" w:cs="Times New Roman"/>
          <w:b/>
          <w:sz w:val="24"/>
          <w:szCs w:val="24"/>
        </w:rPr>
      </w:pPr>
    </w:p>
    <w:p w:rsidR="00012FC4" w:rsidRPr="003A58BC" w:rsidRDefault="00000000">
      <w:pPr>
        <w:pStyle w:val="Heading1"/>
        <w:numPr>
          <w:ilvl w:val="0"/>
          <w:numId w:val="1"/>
        </w:numPr>
        <w:ind w:left="360"/>
        <w:jc w:val="both"/>
        <w:rPr>
          <w:rFonts w:ascii="Times New Roman" w:eastAsia="Times New Roman" w:hAnsi="Times New Roman" w:cs="Times New Roman"/>
          <w:b/>
          <w:sz w:val="24"/>
          <w:szCs w:val="24"/>
        </w:rPr>
      </w:pPr>
      <w:bookmarkStart w:id="1" w:name="_Toc195263891"/>
      <w:r w:rsidRPr="003A58BC">
        <w:rPr>
          <w:rFonts w:ascii="Times New Roman" w:eastAsia="Times New Roman" w:hAnsi="Times New Roman" w:cs="Times New Roman"/>
          <w:b/>
          <w:sz w:val="24"/>
          <w:szCs w:val="24"/>
        </w:rPr>
        <w:t>Introduction</w:t>
      </w:r>
      <w:bookmarkEnd w:id="1"/>
    </w:p>
    <w:p w:rsidR="00012FC4" w:rsidRPr="003A58BC" w:rsidRDefault="00000000">
      <w:pPr>
        <w:pBdr>
          <w:top w:val="nil"/>
          <w:left w:val="nil"/>
          <w:bottom w:val="nil"/>
          <w:right w:val="nil"/>
          <w:between w:val="nil"/>
        </w:pBdr>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The following report aims to evaluate the validity of Purchasing Power Parity </w:t>
      </w:r>
      <w:r w:rsidRPr="003A58BC">
        <w:rPr>
          <w:rFonts w:ascii="Times New Roman" w:eastAsia="Times New Roman" w:hAnsi="Times New Roman" w:cs="Times New Roman"/>
          <w:b/>
          <w:sz w:val="24"/>
          <w:szCs w:val="24"/>
        </w:rPr>
        <w:t>(PPP)</w:t>
      </w:r>
      <w:r w:rsidRPr="003A58BC">
        <w:rPr>
          <w:rFonts w:ascii="Times New Roman" w:eastAsia="Times New Roman" w:hAnsi="Times New Roman" w:cs="Times New Roman"/>
          <w:sz w:val="24"/>
          <w:szCs w:val="24"/>
        </w:rPr>
        <w:t xml:space="preserve"> using data from two countries. We selected the </w:t>
      </w:r>
      <w:r w:rsidRPr="003A58BC">
        <w:rPr>
          <w:rFonts w:ascii="Times New Roman" w:eastAsia="Times New Roman" w:hAnsi="Times New Roman" w:cs="Times New Roman"/>
          <w:b/>
          <w:sz w:val="24"/>
          <w:szCs w:val="24"/>
        </w:rPr>
        <w:t>United Kingdom</w:t>
      </w:r>
      <w:r w:rsidRPr="003A58BC">
        <w:rPr>
          <w:rFonts w:ascii="Times New Roman" w:eastAsia="Times New Roman" w:hAnsi="Times New Roman" w:cs="Times New Roman"/>
          <w:sz w:val="24"/>
          <w:szCs w:val="24"/>
        </w:rPr>
        <w:t xml:space="preserve"> as the source country and </w:t>
      </w:r>
      <w:r w:rsidRPr="003A58BC">
        <w:rPr>
          <w:rFonts w:ascii="Times New Roman" w:eastAsia="Times New Roman" w:hAnsi="Times New Roman" w:cs="Times New Roman"/>
          <w:b/>
          <w:sz w:val="24"/>
          <w:szCs w:val="24"/>
        </w:rPr>
        <w:t>Canada</w:t>
      </w:r>
      <w:r w:rsidRPr="003A58BC">
        <w:rPr>
          <w:rFonts w:ascii="Times New Roman" w:eastAsia="Times New Roman" w:hAnsi="Times New Roman" w:cs="Times New Roman"/>
          <w:sz w:val="24"/>
          <w:szCs w:val="24"/>
        </w:rPr>
        <w:t xml:space="preserve"> as the foreign country. The analysis covers </w:t>
      </w:r>
      <w:r w:rsidRPr="003A58BC">
        <w:rPr>
          <w:rFonts w:ascii="Times New Roman" w:eastAsia="Times New Roman" w:hAnsi="Times New Roman" w:cs="Times New Roman"/>
          <w:b/>
          <w:sz w:val="24"/>
          <w:szCs w:val="24"/>
        </w:rPr>
        <w:t>10 years of monthly data</w:t>
      </w:r>
      <w:r w:rsidRPr="003A58BC">
        <w:rPr>
          <w:rFonts w:ascii="Times New Roman" w:eastAsia="Times New Roman" w:hAnsi="Times New Roman" w:cs="Times New Roman"/>
          <w:sz w:val="24"/>
          <w:szCs w:val="24"/>
        </w:rPr>
        <w:t>, focusing on the nominal exchange rate, the real exchange rate, and the consumer price index (CPI) for both countries. Our main objective is to test the absolute and relative forms of PPP, model the real exchange rate, and forecast future values. In this analysis, we not only test the validity of PPP but also forecast the real exchange rate using an ARIMA model.</w:t>
      </w:r>
      <w:r w:rsidRPr="003A58BC">
        <w:rPr>
          <w:rFonts w:ascii="Times New Roman" w:hAnsi="Times New Roman" w:cs="Times New Roman"/>
          <w:sz w:val="24"/>
          <w:szCs w:val="24"/>
        </w:rPr>
        <w:br w:type="page"/>
      </w:r>
    </w:p>
    <w:p w:rsidR="00012FC4" w:rsidRPr="003A58BC" w:rsidRDefault="00012FC4">
      <w:pPr>
        <w:pBdr>
          <w:top w:val="nil"/>
          <w:left w:val="nil"/>
          <w:bottom w:val="nil"/>
          <w:right w:val="nil"/>
          <w:between w:val="nil"/>
        </w:pBdr>
        <w:rPr>
          <w:rFonts w:ascii="Times New Roman" w:eastAsia="Times New Roman" w:hAnsi="Times New Roman" w:cs="Times New Roman"/>
          <w:sz w:val="24"/>
          <w:szCs w:val="24"/>
        </w:rPr>
      </w:pPr>
    </w:p>
    <w:p w:rsidR="00012FC4" w:rsidRPr="003A58BC" w:rsidRDefault="00000000">
      <w:pPr>
        <w:pStyle w:val="Heading1"/>
        <w:numPr>
          <w:ilvl w:val="0"/>
          <w:numId w:val="1"/>
        </w:numPr>
        <w:rPr>
          <w:rFonts w:ascii="Times New Roman" w:eastAsia="Times New Roman" w:hAnsi="Times New Roman" w:cs="Times New Roman"/>
          <w:b/>
          <w:sz w:val="24"/>
          <w:szCs w:val="24"/>
        </w:rPr>
      </w:pPr>
      <w:bookmarkStart w:id="2" w:name="_Toc195263892"/>
      <w:r w:rsidRPr="003A58BC">
        <w:rPr>
          <w:rFonts w:ascii="Times New Roman" w:eastAsia="Times New Roman" w:hAnsi="Times New Roman" w:cs="Times New Roman"/>
          <w:b/>
          <w:sz w:val="24"/>
          <w:szCs w:val="24"/>
        </w:rPr>
        <w:t>Data and Methodology</w:t>
      </w:r>
      <w:bookmarkEnd w:id="2"/>
    </w:p>
    <w:p w:rsidR="00012FC4" w:rsidRPr="003A58BC" w:rsidRDefault="00012FC4">
      <w:pPr>
        <w:pBdr>
          <w:top w:val="nil"/>
          <w:left w:val="nil"/>
          <w:bottom w:val="nil"/>
          <w:right w:val="nil"/>
          <w:between w:val="nil"/>
        </w:pBdr>
        <w:rPr>
          <w:rFonts w:ascii="Times New Roman" w:eastAsia="Times New Roman" w:hAnsi="Times New Roman" w:cs="Times New Roman"/>
          <w:b/>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To do this, we collected data from the OECD </w:t>
      </w:r>
      <w:r w:rsidRPr="003A58BC">
        <w:rPr>
          <w:rFonts w:ascii="Times New Roman" w:eastAsia="Times New Roman" w:hAnsi="Times New Roman" w:cs="Times New Roman"/>
          <w:b/>
          <w:sz w:val="24"/>
          <w:szCs w:val="24"/>
        </w:rPr>
        <w:t>Data Explorer for the Consumer Price Index</w:t>
      </w:r>
      <w:r w:rsidRPr="003A58BC">
        <w:rPr>
          <w:rFonts w:ascii="Times New Roman" w:eastAsia="Times New Roman" w:hAnsi="Times New Roman" w:cs="Times New Roman"/>
          <w:sz w:val="24"/>
          <w:szCs w:val="24"/>
        </w:rPr>
        <w:t xml:space="preserve"> (</w:t>
      </w:r>
      <w:r w:rsidRPr="003A58BC">
        <w:rPr>
          <w:rFonts w:ascii="Times New Roman" w:eastAsia="Times New Roman" w:hAnsi="Times New Roman" w:cs="Times New Roman"/>
          <w:b/>
          <w:sz w:val="24"/>
          <w:szCs w:val="24"/>
        </w:rPr>
        <w:t>CPI</w:t>
      </w:r>
      <w:r w:rsidRPr="003A58BC">
        <w:rPr>
          <w:rFonts w:ascii="Times New Roman" w:eastAsia="Times New Roman" w:hAnsi="Times New Roman" w:cs="Times New Roman"/>
          <w:sz w:val="24"/>
          <w:szCs w:val="24"/>
        </w:rPr>
        <w:t xml:space="preserve">) and from the </w:t>
      </w:r>
      <w:r w:rsidRPr="003A58BC">
        <w:rPr>
          <w:rFonts w:ascii="Times New Roman" w:eastAsia="Times New Roman" w:hAnsi="Times New Roman" w:cs="Times New Roman"/>
          <w:b/>
          <w:sz w:val="24"/>
          <w:szCs w:val="24"/>
        </w:rPr>
        <w:t>UK Office for National Statistics (ONS)</w:t>
      </w:r>
      <w:r w:rsidRPr="003A58BC">
        <w:rPr>
          <w:rFonts w:ascii="Times New Roman" w:eastAsia="Times New Roman" w:hAnsi="Times New Roman" w:cs="Times New Roman"/>
          <w:sz w:val="24"/>
          <w:szCs w:val="24"/>
        </w:rPr>
        <w:t xml:space="preserve"> for the nominal exchange rate over the past 10 years </w:t>
      </w:r>
      <w:r w:rsidRPr="003A58BC">
        <w:rPr>
          <w:rFonts w:ascii="Times New Roman" w:eastAsia="Times New Roman" w:hAnsi="Times New Roman" w:cs="Times New Roman"/>
          <w:b/>
          <w:sz w:val="24"/>
          <w:szCs w:val="24"/>
        </w:rPr>
        <w:t>(from 2015 to 2025)</w:t>
      </w:r>
      <w:r w:rsidRPr="003A58BC">
        <w:rPr>
          <w:rFonts w:ascii="Times New Roman" w:eastAsia="Times New Roman" w:hAnsi="Times New Roman" w:cs="Times New Roman"/>
          <w:sz w:val="24"/>
          <w:szCs w:val="24"/>
        </w:rPr>
        <w:t>, using 2015 as the base year. The dataset includes the following variables:</w:t>
      </w:r>
    </w:p>
    <w:p w:rsidR="00012FC4" w:rsidRPr="003A58BC" w:rsidRDefault="00012FC4">
      <w:pPr>
        <w:spacing w:line="240" w:lineRule="auto"/>
        <w:jc w:val="both"/>
        <w:rPr>
          <w:rFonts w:ascii="Times New Roman" w:eastAsia="Times New Roman" w:hAnsi="Times New Roman" w:cs="Times New Roman"/>
          <w:sz w:val="24"/>
          <w:szCs w:val="24"/>
        </w:rPr>
      </w:pPr>
    </w:p>
    <w:p w:rsidR="00012FC4" w:rsidRPr="003A58BC" w:rsidRDefault="00000000">
      <w:pPr>
        <w:numPr>
          <w:ilvl w:val="0"/>
          <w:numId w:val="4"/>
        </w:numPr>
        <w:spacing w:line="240" w:lineRule="auto"/>
        <w:jc w:val="both"/>
        <w:rPr>
          <w:rFonts w:ascii="Times New Roman" w:eastAsia="Times New Roman" w:hAnsi="Times New Roman" w:cs="Times New Roman"/>
          <w:sz w:val="24"/>
          <w:szCs w:val="24"/>
        </w:rPr>
      </w:pPr>
      <w:r w:rsidRPr="003A58BC">
        <w:rPr>
          <w:rFonts w:ascii="Times New Roman" w:eastAsia="Times New Roman" w:hAnsi="Times New Roman" w:cs="Times New Roman"/>
          <w:b/>
          <w:sz w:val="24"/>
          <w:szCs w:val="24"/>
        </w:rPr>
        <w:t>Nominal Exchange Rate (E)</w:t>
      </w:r>
      <w:r w:rsidRPr="003A58BC">
        <w:rPr>
          <w:rFonts w:ascii="Times New Roman" w:eastAsia="Times New Roman" w:hAnsi="Times New Roman" w:cs="Times New Roman"/>
          <w:sz w:val="24"/>
          <w:szCs w:val="24"/>
        </w:rPr>
        <w:t>: The exchange rate at which one currency can be exchanged for another.</w:t>
      </w:r>
    </w:p>
    <w:p w:rsidR="00012FC4" w:rsidRPr="003A58BC" w:rsidRDefault="00000000">
      <w:pPr>
        <w:numPr>
          <w:ilvl w:val="0"/>
          <w:numId w:val="4"/>
        </w:numPr>
        <w:spacing w:line="240" w:lineRule="auto"/>
        <w:jc w:val="both"/>
        <w:rPr>
          <w:rFonts w:ascii="Times New Roman" w:eastAsia="Times New Roman" w:hAnsi="Times New Roman" w:cs="Times New Roman"/>
          <w:sz w:val="24"/>
          <w:szCs w:val="24"/>
        </w:rPr>
      </w:pPr>
      <w:r w:rsidRPr="003A58BC">
        <w:rPr>
          <w:rFonts w:ascii="Times New Roman" w:eastAsia="Times New Roman" w:hAnsi="Times New Roman" w:cs="Times New Roman"/>
          <w:b/>
          <w:sz w:val="24"/>
          <w:szCs w:val="24"/>
        </w:rPr>
        <w:t>Real Exchange Rate (R</w:t>
      </w:r>
      <w:proofErr w:type="gramStart"/>
      <w:r w:rsidRPr="003A58BC">
        <w:rPr>
          <w:rFonts w:ascii="Times New Roman" w:eastAsia="Times New Roman" w:hAnsi="Times New Roman" w:cs="Times New Roman"/>
          <w:b/>
          <w:sz w:val="24"/>
          <w:szCs w:val="24"/>
        </w:rPr>
        <w:t xml:space="preserve">) </w:t>
      </w:r>
      <w:r w:rsidRPr="003A58BC">
        <w:rPr>
          <w:rFonts w:ascii="Times New Roman" w:eastAsia="Times New Roman" w:hAnsi="Times New Roman" w:cs="Times New Roman"/>
          <w:sz w:val="24"/>
          <w:szCs w:val="24"/>
        </w:rPr>
        <w:t>:</w:t>
      </w:r>
      <w:proofErr w:type="gramEnd"/>
      <w:r w:rsidRPr="003A58BC">
        <w:rPr>
          <w:rFonts w:ascii="Times New Roman" w:eastAsia="Times New Roman" w:hAnsi="Times New Roman" w:cs="Times New Roman"/>
          <w:sz w:val="24"/>
          <w:szCs w:val="24"/>
        </w:rPr>
        <w:t xml:space="preserve"> Adjusted for inflation, it reflects the purchasing power between both currencies.</w:t>
      </w:r>
    </w:p>
    <w:p w:rsidR="00012FC4" w:rsidRPr="003A58BC" w:rsidRDefault="00000000">
      <w:pPr>
        <w:numPr>
          <w:ilvl w:val="0"/>
          <w:numId w:val="4"/>
        </w:numPr>
        <w:spacing w:line="240" w:lineRule="auto"/>
        <w:jc w:val="both"/>
        <w:rPr>
          <w:rFonts w:ascii="Times New Roman" w:eastAsia="Times New Roman" w:hAnsi="Times New Roman" w:cs="Times New Roman"/>
          <w:sz w:val="24"/>
          <w:szCs w:val="24"/>
        </w:rPr>
      </w:pPr>
      <w:r w:rsidRPr="003A58BC">
        <w:rPr>
          <w:rFonts w:ascii="Times New Roman" w:eastAsia="Times New Roman" w:hAnsi="Times New Roman" w:cs="Times New Roman"/>
          <w:b/>
          <w:sz w:val="24"/>
          <w:szCs w:val="24"/>
        </w:rPr>
        <w:t>Consumer Price Index (CPI) - Both countries</w:t>
      </w:r>
      <w:r w:rsidRPr="003A58BC">
        <w:rPr>
          <w:rFonts w:ascii="Times New Roman" w:eastAsia="Times New Roman" w:hAnsi="Times New Roman" w:cs="Times New Roman"/>
          <w:sz w:val="24"/>
          <w:szCs w:val="24"/>
        </w:rPr>
        <w:t>: Measures the change in the price levels of a basket of goods and services in each country.</w:t>
      </w:r>
    </w:p>
    <w:p w:rsidR="00012FC4" w:rsidRPr="003A58BC" w:rsidRDefault="00012FC4">
      <w:pPr>
        <w:spacing w:line="240" w:lineRule="auto"/>
        <w:jc w:val="both"/>
        <w:rPr>
          <w:rFonts w:ascii="Times New Roman" w:eastAsia="Times New Roman" w:hAnsi="Times New Roman" w:cs="Times New Roman"/>
          <w:sz w:val="24"/>
          <w:szCs w:val="24"/>
        </w:rPr>
      </w:pPr>
    </w:p>
    <w:p w:rsidR="00012FC4" w:rsidRPr="003A58BC" w:rsidRDefault="00000000">
      <w:pPr>
        <w:spacing w:line="240" w:lineRule="auto"/>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All data manipulation, statistical testing, and forecasting were performed in R using the </w:t>
      </w:r>
      <w:r w:rsidRPr="003A58BC">
        <w:rPr>
          <w:rFonts w:ascii="Times New Roman" w:eastAsia="Times New Roman" w:hAnsi="Times New Roman" w:cs="Times New Roman"/>
          <w:b/>
          <w:sz w:val="24"/>
          <w:szCs w:val="24"/>
        </w:rPr>
        <w:t>forecast</w:t>
      </w:r>
      <w:r w:rsidRPr="003A58BC">
        <w:rPr>
          <w:rFonts w:ascii="Times New Roman" w:eastAsia="Times New Roman" w:hAnsi="Times New Roman" w:cs="Times New Roman"/>
          <w:sz w:val="24"/>
          <w:szCs w:val="24"/>
        </w:rPr>
        <w:t xml:space="preserve">, </w:t>
      </w:r>
      <w:r w:rsidRPr="003A58BC">
        <w:rPr>
          <w:rFonts w:ascii="Times New Roman" w:eastAsia="Times New Roman" w:hAnsi="Times New Roman" w:cs="Times New Roman"/>
          <w:b/>
          <w:sz w:val="24"/>
          <w:szCs w:val="24"/>
        </w:rPr>
        <w:t>tseries</w:t>
      </w:r>
      <w:r w:rsidRPr="003A58BC">
        <w:rPr>
          <w:rFonts w:ascii="Times New Roman" w:eastAsia="Times New Roman" w:hAnsi="Times New Roman" w:cs="Times New Roman"/>
          <w:sz w:val="24"/>
          <w:szCs w:val="24"/>
        </w:rPr>
        <w:t xml:space="preserve">, and </w:t>
      </w:r>
      <w:r w:rsidRPr="003A58BC">
        <w:rPr>
          <w:rFonts w:ascii="Times New Roman" w:eastAsia="Times New Roman" w:hAnsi="Times New Roman" w:cs="Times New Roman"/>
          <w:b/>
          <w:sz w:val="24"/>
          <w:szCs w:val="24"/>
        </w:rPr>
        <w:t>ggplot2</w:t>
      </w:r>
      <w:r w:rsidRPr="003A58BC">
        <w:rPr>
          <w:rFonts w:ascii="Times New Roman" w:eastAsia="Times New Roman" w:hAnsi="Times New Roman" w:cs="Times New Roman"/>
          <w:sz w:val="24"/>
          <w:szCs w:val="24"/>
        </w:rPr>
        <w:t xml:space="preserve"> packages. For all hypothesis tests—including the Augmented Dickey-Fill test for the ADF, cointegration tests, and regression diagnostics—we used a 5% significance level as our general cutoff for rejecting or not rejecting the null hypothesis.</w:t>
      </w:r>
    </w:p>
    <w:p w:rsidR="00012FC4" w:rsidRPr="003A58BC" w:rsidRDefault="00012FC4">
      <w:pPr>
        <w:spacing w:line="240" w:lineRule="auto"/>
        <w:jc w:val="both"/>
        <w:rPr>
          <w:rFonts w:ascii="Times New Roman" w:eastAsia="Times New Roman" w:hAnsi="Times New Roman" w:cs="Times New Roman"/>
          <w:sz w:val="24"/>
          <w:szCs w:val="24"/>
        </w:rPr>
      </w:pPr>
    </w:p>
    <w:p w:rsidR="00012FC4" w:rsidRPr="003A58BC" w:rsidRDefault="00000000">
      <w:pPr>
        <w:spacing w:line="240" w:lineRule="auto"/>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We used the following major formulas:</w:t>
      </w:r>
    </w:p>
    <w:p w:rsidR="00012FC4" w:rsidRPr="003A58BC" w:rsidRDefault="00000000">
      <w:pPr>
        <w:spacing w:line="240" w:lineRule="auto"/>
        <w:jc w:val="both"/>
        <w:rPr>
          <w:rFonts w:ascii="Times New Roman" w:eastAsia="Times New Roman" w:hAnsi="Times New Roman" w:cs="Times New Roman"/>
          <w:sz w:val="24"/>
          <w:szCs w:val="24"/>
        </w:rPr>
      </w:pPr>
      <w:r w:rsidRPr="003A58BC">
        <w:rPr>
          <w:rFonts w:ascii="Times New Roman" w:eastAsia="Times New Roman" w:hAnsi="Times New Roman" w:cs="Times New Roman"/>
          <w:b/>
          <w:sz w:val="24"/>
          <w:szCs w:val="24"/>
        </w:rPr>
        <w:t xml:space="preserve">Absolute PPP </w:t>
      </w:r>
      <w:r w:rsidRPr="003A58BC">
        <w:rPr>
          <w:rFonts w:ascii="Times New Roman" w:eastAsia="Times New Roman" w:hAnsi="Times New Roman" w:cs="Times New Roman"/>
          <w:sz w:val="24"/>
          <w:szCs w:val="24"/>
        </w:rPr>
        <w:t>was tested based on stationarity of the log real exchange rate:</w:t>
      </w:r>
    </w:p>
    <w:p w:rsidR="00012FC4" w:rsidRPr="003A58BC" w:rsidRDefault="00012FC4">
      <w:pPr>
        <w:spacing w:line="240" w:lineRule="auto"/>
        <w:jc w:val="both"/>
        <w:rPr>
          <w:rFonts w:ascii="Times New Roman" w:eastAsia="Times New Roman" w:hAnsi="Times New Roman" w:cs="Times New Roman"/>
          <w:sz w:val="24"/>
          <w:szCs w:val="24"/>
        </w:rPr>
      </w:pPr>
    </w:p>
    <w:p w:rsidR="00012FC4" w:rsidRPr="003A58BC" w:rsidRDefault="00012FC4">
      <w:pPr>
        <w:spacing w:line="240" w:lineRule="auto"/>
        <w:jc w:val="both"/>
        <w:rPr>
          <w:rFonts w:ascii="Times New Roman" w:eastAsia="Times New Roman" w:hAnsi="Times New Roman" w:cs="Times New Roman"/>
          <w:sz w:val="24"/>
          <w:szCs w:val="24"/>
        </w:rPr>
      </w:pPr>
    </w:p>
    <w:p w:rsidR="00012FC4" w:rsidRPr="003A58BC" w:rsidRDefault="00000000">
      <w:pPr>
        <w:jc w:val="center"/>
        <w:rPr>
          <w:rFonts w:ascii="Times New Roman" w:eastAsia="Times New Roman" w:hAnsi="Times New Roman" w:cs="Times New Roman"/>
          <w:b/>
          <w:sz w:val="24"/>
          <w:szCs w:val="24"/>
        </w:rPr>
      </w:pPr>
      <w:r w:rsidRPr="003A58BC">
        <w:rPr>
          <w:rFonts w:ascii="Times New Roman" w:eastAsia="Times New Roman" w:hAnsi="Times New Roman" w:cs="Times New Roman"/>
          <w:b/>
          <w:noProof/>
          <w:sz w:val="24"/>
          <w:szCs w:val="24"/>
        </w:rPr>
        <w:drawing>
          <wp:inline distT="114300" distB="114300" distL="114300" distR="114300">
            <wp:extent cx="1785938" cy="57844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85938" cy="578441"/>
                    </a:xfrm>
                    <a:prstGeom prst="rect">
                      <a:avLst/>
                    </a:prstGeom>
                    <a:ln/>
                  </pic:spPr>
                </pic:pic>
              </a:graphicData>
            </a:graphic>
          </wp:inline>
        </w:drawing>
      </w: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t</m:t>
            </m:r>
          </m:sub>
        </m:sSub>
      </m:oMath>
      <w:r w:rsidRPr="003A58BC">
        <w:rPr>
          <w:rFonts w:ascii="Times New Roman" w:eastAsia="Times New Roman" w:hAnsi="Times New Roman" w:cs="Times New Roman"/>
          <w:sz w:val="24"/>
          <w:szCs w:val="24"/>
        </w:rPr>
        <w:t xml:space="preserve">is the nominal exchange rate,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t</m:t>
            </m:r>
          </m:sub>
        </m:sSub>
      </m:oMath>
      <w:r w:rsidRPr="003A58BC">
        <w:rPr>
          <w:rFonts w:ascii="Times New Roman" w:eastAsia="Times New Roman" w:hAnsi="Times New Roman" w:cs="Times New Roman"/>
          <w:sz w:val="24"/>
          <w:szCs w:val="24"/>
        </w:rPr>
        <w:t xml:space="preserve">​ is the domestic CPI, and </w:t>
      </w: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P</m:t>
            </m:r>
          </m:e>
          <m:sub>
            <m:r>
              <w:rPr>
                <w:rFonts w:ascii="Cambria Math" w:eastAsia="Times New Roman" w:hAnsi="Cambria Math" w:cs="Times New Roman"/>
                <w:sz w:val="24"/>
                <w:szCs w:val="24"/>
              </w:rPr>
              <m:t>t</m:t>
            </m:r>
          </m:sub>
          <m:sup>
            <m:r>
              <w:rPr>
                <w:rFonts w:ascii="Cambria Math" w:eastAsia="Times New Roman" w:hAnsi="Cambria Math" w:cs="Times New Roman"/>
                <w:sz w:val="24"/>
                <w:szCs w:val="24"/>
              </w:rPr>
              <m:t>*</m:t>
            </m:r>
          </m:sup>
        </m:sSubSup>
      </m:oMath>
      <w:r w:rsidRPr="003A58BC">
        <w:rPr>
          <w:rFonts w:ascii="Times New Roman" w:eastAsia="Times New Roman" w:hAnsi="Times New Roman" w:cs="Times New Roman"/>
          <w:sz w:val="24"/>
          <w:szCs w:val="24"/>
        </w:rPr>
        <w:t xml:space="preserve"> is the foreign CPI.</w:t>
      </w: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b/>
          <w:sz w:val="24"/>
          <w:szCs w:val="24"/>
        </w:rPr>
        <w:t>Relative PPP</w:t>
      </w:r>
      <w:r w:rsidRPr="003A58BC">
        <w:rPr>
          <w:rFonts w:ascii="Times New Roman" w:eastAsia="Times New Roman" w:hAnsi="Times New Roman" w:cs="Times New Roman"/>
          <w:sz w:val="24"/>
          <w:szCs w:val="24"/>
        </w:rPr>
        <w:t xml:space="preserve"> was tested using two regression approaches:</w:t>
      </w:r>
    </w:p>
    <w:p w:rsidR="00012FC4" w:rsidRPr="003A58BC" w:rsidRDefault="00000000">
      <w:pPr>
        <w:numPr>
          <w:ilvl w:val="0"/>
          <w:numId w:val="7"/>
        </w:numPr>
        <w:jc w:val="both"/>
        <w:rPr>
          <w:rFonts w:ascii="Times New Roman" w:eastAsia="Times New Roman" w:hAnsi="Times New Roman" w:cs="Times New Roman"/>
          <w:sz w:val="24"/>
          <w:szCs w:val="24"/>
        </w:rPr>
      </w:pPr>
      <w:r w:rsidRPr="003A58BC">
        <w:rPr>
          <w:rFonts w:ascii="Times New Roman" w:eastAsia="Times New Roman" w:hAnsi="Times New Roman" w:cs="Times New Roman"/>
          <w:b/>
          <w:sz w:val="24"/>
          <w:szCs w:val="24"/>
        </w:rPr>
        <w:t>CPI ratio model</w:t>
      </w:r>
      <w:r w:rsidRPr="003A58BC">
        <w:rPr>
          <w:rFonts w:ascii="Times New Roman" w:eastAsia="Times New Roman" w:hAnsi="Times New Roman" w:cs="Times New Roman"/>
          <w:sz w:val="24"/>
          <w:szCs w:val="24"/>
        </w:rPr>
        <w:t>:</w:t>
      </w:r>
    </w:p>
    <w:p w:rsidR="00012FC4" w:rsidRPr="003A58BC" w:rsidRDefault="00000000">
      <w:pPr>
        <w:ind w:left="1440"/>
        <w:jc w:val="center"/>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2462213" cy="536054"/>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462213" cy="536054"/>
                    </a:xfrm>
                    <a:prstGeom prst="rect">
                      <a:avLst/>
                    </a:prstGeom>
                    <a:ln/>
                  </pic:spPr>
                </pic:pic>
              </a:graphicData>
            </a:graphic>
          </wp:inline>
        </w:drawing>
      </w:r>
    </w:p>
    <w:p w:rsidR="00012FC4" w:rsidRPr="003A58BC" w:rsidRDefault="00000000">
      <w:pPr>
        <w:numPr>
          <w:ilvl w:val="0"/>
          <w:numId w:val="5"/>
        </w:numPr>
        <w:jc w:val="both"/>
        <w:rPr>
          <w:rFonts w:ascii="Times New Roman" w:eastAsia="Times New Roman" w:hAnsi="Times New Roman" w:cs="Times New Roman"/>
          <w:sz w:val="24"/>
          <w:szCs w:val="24"/>
        </w:rPr>
      </w:pPr>
      <w:r w:rsidRPr="003A58BC">
        <w:rPr>
          <w:rFonts w:ascii="Times New Roman" w:eastAsia="Times New Roman" w:hAnsi="Times New Roman" w:cs="Times New Roman"/>
          <w:b/>
          <w:sz w:val="24"/>
          <w:szCs w:val="24"/>
        </w:rPr>
        <w:t>Separate CPI variables model</w:t>
      </w:r>
      <w:r w:rsidRPr="003A58BC">
        <w:rPr>
          <w:rFonts w:ascii="Times New Roman" w:eastAsia="Times New Roman" w:hAnsi="Times New Roman" w:cs="Times New Roman"/>
          <w:sz w:val="24"/>
          <w:szCs w:val="24"/>
        </w:rPr>
        <w:t>:</w:t>
      </w:r>
    </w:p>
    <w:p w:rsidR="00012FC4" w:rsidRPr="003A58BC" w:rsidRDefault="00000000">
      <w:pPr>
        <w:ind w:left="720"/>
        <w:jc w:val="center"/>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3214688" cy="466938"/>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214688" cy="466938"/>
                    </a:xfrm>
                    <a:prstGeom prst="rect">
                      <a:avLst/>
                    </a:prstGeom>
                    <a:ln/>
                  </pic:spPr>
                </pic:pic>
              </a:graphicData>
            </a:graphic>
          </wp:inline>
        </w:drawing>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Both models were checked for stationarity of the residuals to evaluate the presence of a long-run equilibrium relationship.</w:t>
      </w:r>
      <w:r w:rsidRPr="003A58BC">
        <w:rPr>
          <w:rFonts w:ascii="Times New Roman" w:hAnsi="Times New Roman" w:cs="Times New Roman"/>
          <w:sz w:val="24"/>
          <w:szCs w:val="24"/>
        </w:rPr>
        <w:br w:type="page"/>
      </w:r>
    </w:p>
    <w:p w:rsidR="00012FC4" w:rsidRPr="003A58BC" w:rsidRDefault="00000000">
      <w:pPr>
        <w:pStyle w:val="Heading1"/>
        <w:numPr>
          <w:ilvl w:val="0"/>
          <w:numId w:val="1"/>
        </w:numPr>
        <w:ind w:left="360"/>
        <w:jc w:val="both"/>
        <w:rPr>
          <w:rFonts w:ascii="Times New Roman" w:eastAsia="Times New Roman" w:hAnsi="Times New Roman" w:cs="Times New Roman"/>
          <w:b/>
          <w:sz w:val="24"/>
          <w:szCs w:val="24"/>
        </w:rPr>
      </w:pPr>
      <w:bookmarkStart w:id="3" w:name="_Toc195263893"/>
      <w:r w:rsidRPr="003A58BC">
        <w:rPr>
          <w:rFonts w:ascii="Times New Roman" w:eastAsia="Times New Roman" w:hAnsi="Times New Roman" w:cs="Times New Roman"/>
          <w:b/>
          <w:sz w:val="24"/>
          <w:szCs w:val="24"/>
        </w:rPr>
        <w:lastRenderedPageBreak/>
        <w:t>Data Exploratory Analysis</w:t>
      </w:r>
      <w:bookmarkEnd w:id="3"/>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Before starting the analysing process, the summary statistics of the raw data were examined to understand the distribution and scale of each variable. As seen in the following summary </w:t>
      </w:r>
      <w:proofErr w:type="gramStart"/>
      <w:r w:rsidRPr="003A58BC">
        <w:rPr>
          <w:rFonts w:ascii="Times New Roman" w:eastAsia="Times New Roman" w:hAnsi="Times New Roman" w:cs="Times New Roman"/>
          <w:sz w:val="24"/>
          <w:szCs w:val="24"/>
        </w:rPr>
        <w:t>table  (</w:t>
      </w:r>
      <w:proofErr w:type="gramEnd"/>
      <w:r w:rsidRPr="003A58BC">
        <w:rPr>
          <w:rFonts w:ascii="Times New Roman" w:eastAsia="Times New Roman" w:hAnsi="Times New Roman" w:cs="Times New Roman"/>
          <w:b/>
          <w:sz w:val="24"/>
          <w:szCs w:val="24"/>
        </w:rPr>
        <w:t xml:space="preserve">Figure 1), </w:t>
      </w:r>
      <w:r w:rsidRPr="003A58BC">
        <w:rPr>
          <w:rFonts w:ascii="Times New Roman" w:eastAsia="Times New Roman" w:hAnsi="Times New Roman" w:cs="Times New Roman"/>
          <w:sz w:val="24"/>
          <w:szCs w:val="24"/>
        </w:rPr>
        <w:t>the CPI home and CPI Foreign had ranges between 99.2 and 135.1, and 98.21 and 128.07, respectively, with average values of approximately 112.3 and 110.95. The Real Exchange Rate and Nominal Exchange Rate displayed similar trends, with nominal rates ranging from 1.489 to 2.054.</w:t>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1600200"/>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1600200"/>
                    </a:xfrm>
                    <a:prstGeom prst="rect">
                      <a:avLst/>
                    </a:prstGeom>
                    <a:ln/>
                  </pic:spPr>
                </pic:pic>
              </a:graphicData>
            </a:graphic>
          </wp:inline>
        </w:drawing>
      </w:r>
    </w:p>
    <w:p w:rsidR="00012FC4" w:rsidRPr="003A58BC" w:rsidRDefault="00012FC4">
      <w:pPr>
        <w:jc w:val="both"/>
        <w:rPr>
          <w:rFonts w:ascii="Times New Roman" w:eastAsia="Times New Roman" w:hAnsi="Times New Roman" w:cs="Times New Roman"/>
          <w:b/>
          <w:sz w:val="24"/>
          <w:szCs w:val="24"/>
        </w:rPr>
      </w:pP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To stabilize the variance and make data suitable for time series modeling, the data were transformed using the natural logarithm using the following formula for this step: </w:t>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b/>
          <w:sz w:val="24"/>
          <w:szCs w:val="24"/>
        </w:rPr>
        <w:t>Log transformation of variables:</w:t>
      </w:r>
      <w:r w:rsidRPr="003A58BC">
        <w:rPr>
          <w:rFonts w:ascii="Times New Roman" w:eastAsia="Times New Roman" w:hAnsi="Times New Roman" w:cs="Times New Roman"/>
          <w:sz w:val="24"/>
          <w:szCs w:val="24"/>
        </w:rPr>
        <w:t xml:space="preserve"> log(E), log(R), </w:t>
      </w:r>
      <w:proofErr w:type="gramStart"/>
      <w:r w:rsidRPr="003A58BC">
        <w:rPr>
          <w:rFonts w:ascii="Times New Roman" w:eastAsia="Times New Roman" w:hAnsi="Times New Roman" w:cs="Times New Roman"/>
          <w:sz w:val="24"/>
          <w:szCs w:val="24"/>
        </w:rPr>
        <w:t>log(</w:t>
      </w:r>
      <w:proofErr w:type="gramEnd"/>
      <w:r w:rsidRPr="003A58BC">
        <w:rPr>
          <w:rFonts w:ascii="Times New Roman" w:eastAsia="Times New Roman" w:hAnsi="Times New Roman" w:cs="Times New Roman"/>
          <w:sz w:val="24"/>
          <w:szCs w:val="24"/>
        </w:rPr>
        <w:t>CPI_home), log(CPI_foreign)</w:t>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After the log transformation, another summary statistics (</w:t>
      </w:r>
      <w:r w:rsidRPr="003A58BC">
        <w:rPr>
          <w:rFonts w:ascii="Times New Roman" w:eastAsia="Times New Roman" w:hAnsi="Times New Roman" w:cs="Times New Roman"/>
          <w:b/>
          <w:sz w:val="24"/>
          <w:szCs w:val="24"/>
        </w:rPr>
        <w:t>Figure 2</w:t>
      </w:r>
      <w:r w:rsidRPr="003A58BC">
        <w:rPr>
          <w:rFonts w:ascii="Times New Roman" w:eastAsia="Times New Roman" w:hAnsi="Times New Roman" w:cs="Times New Roman"/>
          <w:sz w:val="24"/>
          <w:szCs w:val="24"/>
        </w:rPr>
        <w:t>) was executed to see if the variables were CPI home and CPI Foreign Converted properly into a log scale, resulting in a range between 4.597 and 4.906, with the mean increasing slightly to 4.716. Similarly, the Real Exchange Rate and Nominal Exchange Rate also went through log transformation, showing a more compressed range (from 0.3980 to 0.7196 for the real exchange rate, and from 0.4116 to 0.7194 for the nominal exchange rate).</w:t>
      </w: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16891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1689100"/>
                    </a:xfrm>
                    <a:prstGeom prst="rect">
                      <a:avLst/>
                    </a:prstGeom>
                    <a:ln/>
                  </pic:spPr>
                </pic:pic>
              </a:graphicData>
            </a:graphic>
          </wp:inline>
        </w:drawing>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After the variables were transformed, their stationarity was analyzed using the </w:t>
      </w:r>
      <w:r w:rsidRPr="003A58BC">
        <w:rPr>
          <w:rFonts w:ascii="Times New Roman" w:eastAsia="Times New Roman" w:hAnsi="Times New Roman" w:cs="Times New Roman"/>
          <w:b/>
          <w:sz w:val="24"/>
          <w:szCs w:val="24"/>
        </w:rPr>
        <w:t>Augmented Dickey-Fuller (ADF) test</w:t>
      </w:r>
      <w:r w:rsidRPr="003A58BC">
        <w:rPr>
          <w:rFonts w:ascii="Times New Roman" w:eastAsia="Times New Roman" w:hAnsi="Times New Roman" w:cs="Times New Roman"/>
          <w:sz w:val="24"/>
          <w:szCs w:val="24"/>
        </w:rPr>
        <w:t>, which is used for detecting the presence of unit roots in time series data. The results (</w:t>
      </w:r>
      <w:r w:rsidRPr="003A58BC">
        <w:rPr>
          <w:rFonts w:ascii="Times New Roman" w:eastAsia="Times New Roman" w:hAnsi="Times New Roman" w:cs="Times New Roman"/>
          <w:b/>
          <w:sz w:val="24"/>
          <w:szCs w:val="24"/>
        </w:rPr>
        <w:t>Figure 3</w:t>
      </w:r>
      <w:r w:rsidRPr="003A58BC">
        <w:rPr>
          <w:rFonts w:ascii="Times New Roman" w:eastAsia="Times New Roman" w:hAnsi="Times New Roman" w:cs="Times New Roman"/>
          <w:sz w:val="24"/>
          <w:szCs w:val="24"/>
        </w:rPr>
        <w:t xml:space="preserve">) revealed that both nominal and real exchange rates, as well as the </w:t>
      </w:r>
      <w:r w:rsidRPr="003A58BC">
        <w:rPr>
          <w:rFonts w:ascii="Times New Roman" w:eastAsia="Times New Roman" w:hAnsi="Times New Roman" w:cs="Times New Roman"/>
          <w:sz w:val="24"/>
          <w:szCs w:val="24"/>
        </w:rPr>
        <w:lastRenderedPageBreak/>
        <w:t xml:space="preserve">CPI data, exhibited non-stationary </w:t>
      </w:r>
      <w:r w:rsidRPr="003A58BC">
        <w:rPr>
          <w:rFonts w:ascii="Times New Roman" w:eastAsia="Times New Roman" w:hAnsi="Times New Roman" w:cs="Times New Roman"/>
          <w:b/>
          <w:sz w:val="24"/>
          <w:szCs w:val="24"/>
        </w:rPr>
        <w:t>(p-value &gt; 0.05)</w:t>
      </w:r>
      <w:r w:rsidRPr="003A58BC">
        <w:rPr>
          <w:rFonts w:ascii="Times New Roman" w:eastAsia="Times New Roman" w:hAnsi="Times New Roman" w:cs="Times New Roman"/>
          <w:sz w:val="24"/>
          <w:szCs w:val="24"/>
        </w:rPr>
        <w:t xml:space="preserve"> behavior before differencing indicating that the variable had significant </w:t>
      </w:r>
      <w:proofErr w:type="gramStart"/>
      <w:r w:rsidRPr="003A58BC">
        <w:rPr>
          <w:rFonts w:ascii="Times New Roman" w:eastAsia="Times New Roman" w:hAnsi="Times New Roman" w:cs="Times New Roman"/>
          <w:sz w:val="24"/>
          <w:szCs w:val="24"/>
        </w:rPr>
        <w:t xml:space="preserve">trends  </w:t>
      </w:r>
      <w:r w:rsidRPr="003A58BC">
        <w:rPr>
          <w:rFonts w:ascii="Times New Roman" w:eastAsia="Times New Roman" w:hAnsi="Times New Roman" w:cs="Times New Roman"/>
          <w:b/>
          <w:sz w:val="24"/>
          <w:szCs w:val="24"/>
        </w:rPr>
        <w:t>(</w:t>
      </w:r>
      <w:proofErr w:type="gramEnd"/>
      <w:r w:rsidRPr="003A58BC">
        <w:rPr>
          <w:rFonts w:ascii="Times New Roman" w:eastAsia="Times New Roman" w:hAnsi="Times New Roman" w:cs="Times New Roman"/>
          <w:b/>
          <w:sz w:val="24"/>
          <w:szCs w:val="24"/>
        </w:rPr>
        <w:t xml:space="preserve">Figure 4) </w:t>
      </w:r>
      <w:r w:rsidRPr="003A58BC">
        <w:rPr>
          <w:rFonts w:ascii="Times New Roman" w:eastAsia="Times New Roman" w:hAnsi="Times New Roman" w:cs="Times New Roman"/>
          <w:sz w:val="24"/>
          <w:szCs w:val="24"/>
        </w:rPr>
        <w:t>that could lead to bias in the models.</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21209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2120900"/>
                    </a:xfrm>
                    <a:prstGeom prst="rect">
                      <a:avLst/>
                    </a:prstGeom>
                    <a:ln/>
                  </pic:spPr>
                </pic:pic>
              </a:graphicData>
            </a:graphic>
          </wp:inline>
        </w:drawing>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453390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943600" cy="4533900"/>
                    </a:xfrm>
                    <a:prstGeom prst="rect">
                      <a:avLst/>
                    </a:prstGeom>
                    <a:ln/>
                  </pic:spPr>
                </pic:pic>
              </a:graphicData>
            </a:graphic>
          </wp:inline>
        </w:drawing>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pBdr>
          <w:top w:val="nil"/>
          <w:left w:val="nil"/>
          <w:bottom w:val="nil"/>
          <w:right w:val="nil"/>
          <w:between w:val="nil"/>
        </w:pBd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In that case, it was decided to perform first-order differencing on both series to remove these trends, a technique that subtracted each value in our times series from its preceding value to help to eliminate long-term trends. After differencing (</w:t>
      </w:r>
      <w:r w:rsidRPr="003A58BC">
        <w:rPr>
          <w:rFonts w:ascii="Times New Roman" w:eastAsia="Times New Roman" w:hAnsi="Times New Roman" w:cs="Times New Roman"/>
          <w:b/>
          <w:sz w:val="24"/>
          <w:szCs w:val="24"/>
        </w:rPr>
        <w:t>Figure 4</w:t>
      </w:r>
      <w:r w:rsidRPr="003A58BC">
        <w:rPr>
          <w:rFonts w:ascii="Times New Roman" w:eastAsia="Times New Roman" w:hAnsi="Times New Roman" w:cs="Times New Roman"/>
          <w:sz w:val="24"/>
          <w:szCs w:val="24"/>
        </w:rPr>
        <w:t>), the transformed time-series were tested once again to see if they were now stationary (</w:t>
      </w:r>
      <w:r w:rsidRPr="003A58BC">
        <w:rPr>
          <w:rFonts w:ascii="Times New Roman" w:eastAsia="Times New Roman" w:hAnsi="Times New Roman" w:cs="Times New Roman"/>
          <w:b/>
          <w:sz w:val="24"/>
          <w:szCs w:val="24"/>
        </w:rPr>
        <w:t>p-value &lt; 0.05)</w:t>
      </w:r>
      <w:r w:rsidRPr="003A58BC">
        <w:rPr>
          <w:rFonts w:ascii="Times New Roman" w:eastAsia="Times New Roman" w:hAnsi="Times New Roman" w:cs="Times New Roman"/>
          <w:sz w:val="24"/>
          <w:szCs w:val="24"/>
        </w:rPr>
        <w:t xml:space="preserve"> succeeding the expectations of this stage, making them suitable for time series modeling (</w:t>
      </w:r>
      <w:r w:rsidRPr="003A58BC">
        <w:rPr>
          <w:rFonts w:ascii="Times New Roman" w:eastAsia="Times New Roman" w:hAnsi="Times New Roman" w:cs="Times New Roman"/>
          <w:b/>
          <w:sz w:val="24"/>
          <w:szCs w:val="24"/>
        </w:rPr>
        <w:t>Figure 5</w:t>
      </w:r>
      <w:r w:rsidRPr="003A58BC">
        <w:rPr>
          <w:rFonts w:ascii="Times New Roman" w:eastAsia="Times New Roman" w:hAnsi="Times New Roman" w:cs="Times New Roman"/>
          <w:sz w:val="24"/>
          <w:szCs w:val="24"/>
        </w:rPr>
        <w:t xml:space="preserve">). </w:t>
      </w:r>
    </w:p>
    <w:p w:rsidR="00012FC4" w:rsidRPr="003A58BC" w:rsidRDefault="00012FC4">
      <w:pPr>
        <w:pBdr>
          <w:top w:val="nil"/>
          <w:left w:val="nil"/>
          <w:bottom w:val="nil"/>
          <w:right w:val="nil"/>
          <w:between w:val="nil"/>
        </w:pBdr>
        <w:jc w:val="both"/>
        <w:rPr>
          <w:rFonts w:ascii="Times New Roman" w:eastAsia="Times New Roman" w:hAnsi="Times New Roman" w:cs="Times New Roman"/>
          <w:sz w:val="24"/>
          <w:szCs w:val="24"/>
        </w:rPr>
      </w:pPr>
    </w:p>
    <w:p w:rsidR="00012FC4" w:rsidRPr="003A58BC" w:rsidRDefault="00000000">
      <w:pPr>
        <w:pBdr>
          <w:top w:val="nil"/>
          <w:left w:val="nil"/>
          <w:bottom w:val="nil"/>
          <w:right w:val="nil"/>
          <w:between w:val="nil"/>
        </w:pBdr>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18669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1866900"/>
                    </a:xfrm>
                    <a:prstGeom prst="rect">
                      <a:avLst/>
                    </a:prstGeom>
                    <a:ln/>
                  </pic:spPr>
                </pic:pic>
              </a:graphicData>
            </a:graphic>
          </wp:inline>
        </w:drawing>
      </w:r>
    </w:p>
    <w:p w:rsidR="00012FC4" w:rsidRPr="003A58BC" w:rsidRDefault="00012FC4">
      <w:pPr>
        <w:pBdr>
          <w:top w:val="nil"/>
          <w:left w:val="nil"/>
          <w:bottom w:val="nil"/>
          <w:right w:val="nil"/>
          <w:between w:val="nil"/>
        </w:pBdr>
        <w:jc w:val="both"/>
        <w:rPr>
          <w:rFonts w:ascii="Times New Roman" w:eastAsia="Times New Roman" w:hAnsi="Times New Roman" w:cs="Times New Roman"/>
          <w:sz w:val="24"/>
          <w:szCs w:val="24"/>
        </w:rPr>
      </w:pPr>
    </w:p>
    <w:p w:rsidR="00012FC4" w:rsidRPr="003A58BC" w:rsidRDefault="00000000">
      <w:pPr>
        <w:pBdr>
          <w:top w:val="nil"/>
          <w:left w:val="nil"/>
          <w:bottom w:val="nil"/>
          <w:right w:val="nil"/>
          <w:between w:val="nil"/>
        </w:pBdr>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45085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5943600" cy="4508500"/>
                    </a:xfrm>
                    <a:prstGeom prst="rect">
                      <a:avLst/>
                    </a:prstGeom>
                    <a:ln/>
                  </pic:spPr>
                </pic:pic>
              </a:graphicData>
            </a:graphic>
          </wp:inline>
        </w:drawing>
      </w:r>
    </w:p>
    <w:p w:rsidR="00C42590" w:rsidRPr="003A58BC" w:rsidRDefault="00C42590">
      <w:pPr>
        <w:rPr>
          <w:rFonts w:ascii="Times New Roman" w:eastAsia="Times New Roman" w:hAnsi="Times New Roman" w:cs="Times New Roman"/>
          <w:b/>
          <w:sz w:val="24"/>
          <w:szCs w:val="24"/>
        </w:rPr>
      </w:pPr>
      <w:r w:rsidRPr="003A58BC">
        <w:rPr>
          <w:rFonts w:ascii="Times New Roman" w:eastAsia="Times New Roman" w:hAnsi="Times New Roman" w:cs="Times New Roman"/>
          <w:b/>
          <w:sz w:val="24"/>
          <w:szCs w:val="24"/>
        </w:rPr>
        <w:br w:type="page"/>
      </w:r>
    </w:p>
    <w:p w:rsidR="00012FC4" w:rsidRPr="003A58BC" w:rsidRDefault="00000000">
      <w:pPr>
        <w:pStyle w:val="Heading1"/>
        <w:keepNext w:val="0"/>
        <w:keepLines w:val="0"/>
        <w:numPr>
          <w:ilvl w:val="0"/>
          <w:numId w:val="1"/>
        </w:numPr>
        <w:spacing w:before="280"/>
        <w:ind w:left="360"/>
        <w:jc w:val="both"/>
        <w:rPr>
          <w:rFonts w:ascii="Times New Roman" w:eastAsia="Times New Roman" w:hAnsi="Times New Roman" w:cs="Times New Roman"/>
          <w:b/>
          <w:sz w:val="24"/>
          <w:szCs w:val="24"/>
        </w:rPr>
      </w:pPr>
      <w:bookmarkStart w:id="4" w:name="_Toc195263894"/>
      <w:r w:rsidRPr="003A58BC">
        <w:rPr>
          <w:rFonts w:ascii="Times New Roman" w:eastAsia="Times New Roman" w:hAnsi="Times New Roman" w:cs="Times New Roman"/>
          <w:b/>
          <w:sz w:val="24"/>
          <w:szCs w:val="24"/>
        </w:rPr>
        <w:lastRenderedPageBreak/>
        <w:t>Testing the Validity of Purchasing Power Parity (PPP)</w:t>
      </w:r>
      <w:bookmarkEnd w:id="4"/>
      <w:r w:rsidRPr="003A58BC">
        <w:rPr>
          <w:rFonts w:ascii="Times New Roman" w:eastAsia="Times New Roman" w:hAnsi="Times New Roman" w:cs="Times New Roman"/>
          <w:b/>
          <w:sz w:val="24"/>
          <w:szCs w:val="24"/>
        </w:rPr>
        <w:t xml:space="preserve"> </w:t>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After confirming that the stationarity of the series was transformed through the ADF test, the following stage was to proceed to the test </w:t>
      </w:r>
      <w:r w:rsidRPr="003A58BC">
        <w:rPr>
          <w:rFonts w:ascii="Times New Roman" w:eastAsia="Times New Roman" w:hAnsi="Times New Roman" w:cs="Times New Roman"/>
          <w:b/>
          <w:sz w:val="24"/>
          <w:szCs w:val="24"/>
        </w:rPr>
        <w:t>Purchasing Power Parity (PPP)</w:t>
      </w:r>
      <w:r w:rsidRPr="003A58BC">
        <w:rPr>
          <w:rFonts w:ascii="Times New Roman" w:eastAsia="Times New Roman" w:hAnsi="Times New Roman" w:cs="Times New Roman"/>
          <w:sz w:val="24"/>
          <w:szCs w:val="24"/>
        </w:rPr>
        <w:t xml:space="preserve"> hypothesis. The validity of the PPP is key in exchange rate modeling as it helps to determine whether exchange rates are aligned with relative price levels between countries. A </w:t>
      </w:r>
      <w:r w:rsidRPr="003A58BC">
        <w:rPr>
          <w:rFonts w:ascii="Times New Roman" w:eastAsia="Times New Roman" w:hAnsi="Times New Roman" w:cs="Times New Roman"/>
          <w:b/>
          <w:sz w:val="24"/>
          <w:szCs w:val="24"/>
        </w:rPr>
        <w:t xml:space="preserve">unit root test on the log-transformed real exchange rate </w:t>
      </w:r>
      <w:r w:rsidRPr="003A58BC">
        <w:rPr>
          <w:rFonts w:ascii="Times New Roman" w:eastAsia="Times New Roman" w:hAnsi="Times New Roman" w:cs="Times New Roman"/>
          <w:sz w:val="24"/>
          <w:szCs w:val="24"/>
        </w:rPr>
        <w:t>was conducted as the following step. The rationale behind is that, under absolute PPP, the real exchange rate should be stationary, meaning that any deviations from parity are temporary and revert to equilibrium over time.</w:t>
      </w:r>
    </w:p>
    <w:p w:rsidR="00012FC4" w:rsidRPr="003A58BC" w:rsidRDefault="00000000">
      <w:pPr>
        <w:pStyle w:val="Heading2"/>
        <w:keepNext w:val="0"/>
        <w:keepLines w:val="0"/>
        <w:spacing w:before="240" w:after="40"/>
        <w:jc w:val="both"/>
        <w:rPr>
          <w:rFonts w:ascii="Times New Roman" w:eastAsia="Times New Roman" w:hAnsi="Times New Roman" w:cs="Times New Roman"/>
          <w:b/>
          <w:sz w:val="24"/>
          <w:szCs w:val="24"/>
        </w:rPr>
      </w:pPr>
      <w:bookmarkStart w:id="5" w:name="_Toc195263895"/>
      <w:r w:rsidRPr="003A58BC">
        <w:rPr>
          <w:rFonts w:ascii="Times New Roman" w:eastAsia="Times New Roman" w:hAnsi="Times New Roman" w:cs="Times New Roman"/>
          <w:b/>
          <w:sz w:val="24"/>
          <w:szCs w:val="24"/>
        </w:rPr>
        <w:t>Testing Absolute PPP: Unit Root Test on Log Real Exchange Rate</w:t>
      </w:r>
      <w:bookmarkEnd w:id="5"/>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To test the validity of absolute Purchasing Power Parity, we conduct a unit root test on the log-transformed real exchange rate. The formula below indicates that under absolute PPP, the real exchange rate should be stationary, showing that any variation from parity is temporary and revert to equilinrium in the long term. </w:t>
      </w: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26416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2641600"/>
                    </a:xfrm>
                    <a:prstGeom prst="rect">
                      <a:avLst/>
                    </a:prstGeom>
                    <a:ln/>
                  </pic:spPr>
                </pic:pic>
              </a:graphicData>
            </a:graphic>
          </wp:inline>
        </w:drawing>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Using the Augmented Dickey-Fuller (ADF) test, the result of Dickey-Fuller statistics is -2,72 with a p-value of 0.28 (Figure 3). Since the p-value is greater than 0.05, we fail to reject the null hypothesis of a unit root. We then conclude that the real exchange rate is non-stationary. This result indicates that variations from absolute PPP are stable over time without reverting to a mean level. In essence, the exchange rate does not respond rapidly enough to equalize prices across countries, which goes against the expectations set by absolute PPP.</w:t>
      </w:r>
    </w:p>
    <w:p w:rsidR="00012FC4" w:rsidRPr="003A58BC" w:rsidRDefault="00012FC4">
      <w:pPr>
        <w:widowControl w:val="0"/>
        <w:spacing w:line="240" w:lineRule="auto"/>
        <w:jc w:val="both"/>
        <w:rPr>
          <w:rFonts w:ascii="Times New Roman" w:eastAsia="Times New Roman" w:hAnsi="Times New Roman" w:cs="Times New Roman"/>
          <w:sz w:val="24"/>
          <w:szCs w:val="24"/>
        </w:rPr>
      </w:pPr>
    </w:p>
    <w:p w:rsidR="00012FC4" w:rsidRPr="003A58BC" w:rsidRDefault="00012FC4">
      <w:pPr>
        <w:widowControl w:val="0"/>
        <w:spacing w:line="240" w:lineRule="auto"/>
        <w:jc w:val="both"/>
        <w:rPr>
          <w:rFonts w:ascii="Times New Roman" w:eastAsia="Times New Roman" w:hAnsi="Times New Roman" w:cs="Times New Roman"/>
          <w:sz w:val="24"/>
          <w:szCs w:val="24"/>
        </w:rPr>
      </w:pPr>
    </w:p>
    <w:p w:rsidR="00012FC4" w:rsidRPr="003A58BC" w:rsidRDefault="00012FC4">
      <w:pPr>
        <w:widowControl w:val="0"/>
        <w:spacing w:line="240" w:lineRule="auto"/>
        <w:jc w:val="both"/>
        <w:rPr>
          <w:rFonts w:ascii="Times New Roman" w:eastAsia="Times New Roman" w:hAnsi="Times New Roman" w:cs="Times New Roman"/>
          <w:sz w:val="24"/>
          <w:szCs w:val="24"/>
        </w:rPr>
      </w:pPr>
    </w:p>
    <w:p w:rsidR="00012FC4" w:rsidRPr="003A58BC" w:rsidRDefault="00000000">
      <w:pPr>
        <w:pStyle w:val="Heading2"/>
        <w:keepNext w:val="0"/>
        <w:keepLines w:val="0"/>
        <w:spacing w:before="240" w:after="40"/>
        <w:jc w:val="both"/>
        <w:rPr>
          <w:rFonts w:ascii="Times New Roman" w:eastAsia="Times New Roman" w:hAnsi="Times New Roman" w:cs="Times New Roman"/>
          <w:b/>
          <w:sz w:val="24"/>
          <w:szCs w:val="24"/>
        </w:rPr>
      </w:pPr>
      <w:bookmarkStart w:id="6" w:name="_Toc195263896"/>
      <w:r w:rsidRPr="003A58BC">
        <w:rPr>
          <w:rFonts w:ascii="Times New Roman" w:eastAsia="Times New Roman" w:hAnsi="Times New Roman" w:cs="Times New Roman"/>
          <w:b/>
          <w:sz w:val="24"/>
          <w:szCs w:val="24"/>
        </w:rPr>
        <w:t>Testing Relative PPP: Regression Between Log Nominal Exchange Rate and Log CPI Ratio</w:t>
      </w:r>
      <w:bookmarkEnd w:id="6"/>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lastRenderedPageBreak/>
        <w:t>While testing validity of absolute PPP assumes that real exchange rates remain unchanged, relative PPP emphasizes the relationship between changes in nominal exchange rate and changes in price ratio (between domestic and foreign consumer indexes). To assess this, we conduct an Ordinary Least Square (OLS) regression between the log-transformed nominal exchange rate and log-transformed consumer price index ratio (CPI). The ratio is calculated by dividing the domestic Consumer Price Index (CPI) by the foreign CPI.</w:t>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29337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2933700"/>
                    </a:xfrm>
                    <a:prstGeom prst="rect">
                      <a:avLst/>
                    </a:prstGeom>
                    <a:ln/>
                  </pic:spPr>
                </pic:pic>
              </a:graphicData>
            </a:graphic>
          </wp:inline>
        </w:drawing>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 However, before running this regression, we have to ensure that both log of nominal exchange rate and the log of CPI ratio are in the same order of differencing by conducting ADF tests on each series individually. The results suggest that both are stationary after differencing. Before differencing, P-values of Augmented Dickey-Fuller test for Log of nominal exchange rate and log of CPI </w:t>
      </w:r>
      <w:proofErr w:type="gramStart"/>
      <w:r w:rsidRPr="003A58BC">
        <w:rPr>
          <w:rFonts w:ascii="Times New Roman" w:eastAsia="Times New Roman" w:hAnsi="Times New Roman" w:cs="Times New Roman"/>
          <w:sz w:val="24"/>
          <w:szCs w:val="24"/>
        </w:rPr>
        <w:t>ratio  are</w:t>
      </w:r>
      <w:proofErr w:type="gramEnd"/>
      <w:r w:rsidRPr="003A58BC">
        <w:rPr>
          <w:rFonts w:ascii="Times New Roman" w:eastAsia="Times New Roman" w:hAnsi="Times New Roman" w:cs="Times New Roman"/>
          <w:sz w:val="24"/>
          <w:szCs w:val="24"/>
        </w:rPr>
        <w:t xml:space="preserve"> 0.9 and 0.4 respectively (see figure 9). This confirms that both variables are integrated of the same order, making the regression suitable in the context of testing for a long-run equilibrium.</w:t>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17780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43600" cy="1778000"/>
                    </a:xfrm>
                    <a:prstGeom prst="rect">
                      <a:avLst/>
                    </a:prstGeom>
                    <a:ln/>
                  </pic:spPr>
                </pic:pic>
              </a:graphicData>
            </a:graphic>
          </wp:inline>
        </w:drawing>
      </w: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After confirming that they are at the same order level, we conduct a unit root test on residuals from OLS regression using the ADF test. If relative PPP is valid, the residuals will be stationary, suggesting that deviations from the expected relationship are short-lived and tend to return to the mean. ADF tests on the residuals generate a DF statistic of -2,21. Comparing </w:t>
      </w:r>
      <w:r w:rsidRPr="003A58BC">
        <w:rPr>
          <w:rFonts w:ascii="Times New Roman" w:eastAsia="Times New Roman" w:hAnsi="Times New Roman" w:cs="Times New Roman"/>
          <w:sz w:val="24"/>
          <w:szCs w:val="24"/>
        </w:rPr>
        <w:lastRenderedPageBreak/>
        <w:t xml:space="preserve">Angle-Granger critical values, we have -2,21&gt;-3.37 </w:t>
      </w:r>
      <w:proofErr w:type="gramStart"/>
      <w:r w:rsidRPr="003A58BC">
        <w:rPr>
          <w:rFonts w:ascii="Times New Roman" w:eastAsia="Times New Roman" w:hAnsi="Times New Roman" w:cs="Times New Roman"/>
          <w:sz w:val="24"/>
          <w:szCs w:val="24"/>
        </w:rPr>
        <w:t>( 5</w:t>
      </w:r>
      <w:proofErr w:type="gramEnd"/>
      <w:r w:rsidRPr="003A58BC">
        <w:rPr>
          <w:rFonts w:ascii="Times New Roman" w:eastAsia="Times New Roman" w:hAnsi="Times New Roman" w:cs="Times New Roman"/>
          <w:sz w:val="24"/>
          <w:szCs w:val="24"/>
        </w:rPr>
        <w:t xml:space="preserve">% significance level), indicating that  is not sufficiently negative to reject the null hypothesis, indicating that the residuals are non-stationary and thus providing no evidence of cointegration between nominal exchange rate and relative price levels. In other words, relative PPP does not hold in the long run. </w:t>
      </w:r>
    </w:p>
    <w:p w:rsidR="00012FC4" w:rsidRPr="003A58BC" w:rsidRDefault="00000000">
      <w:pPr>
        <w:pStyle w:val="Heading2"/>
        <w:keepNext w:val="0"/>
        <w:keepLines w:val="0"/>
        <w:spacing w:before="240" w:after="40"/>
        <w:jc w:val="both"/>
        <w:rPr>
          <w:rFonts w:ascii="Times New Roman" w:eastAsia="Times New Roman" w:hAnsi="Times New Roman" w:cs="Times New Roman"/>
          <w:b/>
          <w:sz w:val="24"/>
          <w:szCs w:val="24"/>
        </w:rPr>
      </w:pPr>
      <w:bookmarkStart w:id="7" w:name="_Toc195263897"/>
      <w:r w:rsidRPr="003A58BC">
        <w:rPr>
          <w:rFonts w:ascii="Times New Roman" w:eastAsia="Times New Roman" w:hAnsi="Times New Roman" w:cs="Times New Roman"/>
          <w:b/>
          <w:sz w:val="24"/>
          <w:szCs w:val="24"/>
        </w:rPr>
        <w:t xml:space="preserve">Alternative Approach: Testing Relative </w:t>
      </w:r>
      <w:proofErr w:type="gramStart"/>
      <w:r w:rsidRPr="003A58BC">
        <w:rPr>
          <w:rFonts w:ascii="Times New Roman" w:eastAsia="Times New Roman" w:hAnsi="Times New Roman" w:cs="Times New Roman"/>
          <w:b/>
          <w:sz w:val="24"/>
          <w:szCs w:val="24"/>
        </w:rPr>
        <w:t>PPP  by</w:t>
      </w:r>
      <w:proofErr w:type="gramEnd"/>
      <w:r w:rsidRPr="003A58BC">
        <w:rPr>
          <w:rFonts w:ascii="Times New Roman" w:eastAsia="Times New Roman" w:hAnsi="Times New Roman" w:cs="Times New Roman"/>
          <w:b/>
          <w:sz w:val="24"/>
          <w:szCs w:val="24"/>
        </w:rPr>
        <w:t xml:space="preserve"> Regression Between Log Nominal Exchange Rate and separate parameters (β1,β2​)</w:t>
      </w:r>
      <w:bookmarkEnd w:id="7"/>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Given the failure of relative PPP using CPI ratio approach, we attempt an alternative approach by including separate parameters </w:t>
      </w:r>
      <w:r w:rsidRPr="003A58BC">
        <w:rPr>
          <w:rFonts w:ascii="Times New Roman" w:eastAsia="Times New Roman" w:hAnsi="Times New Roman" w:cs="Times New Roman"/>
          <w:b/>
          <w:sz w:val="24"/>
          <w:szCs w:val="24"/>
        </w:rPr>
        <w:t xml:space="preserve">β1 </w:t>
      </w:r>
      <w:proofErr w:type="gramStart"/>
      <w:r w:rsidRPr="003A58BC">
        <w:rPr>
          <w:rFonts w:ascii="Times New Roman" w:eastAsia="Times New Roman" w:hAnsi="Times New Roman" w:cs="Times New Roman"/>
          <w:sz w:val="24"/>
          <w:szCs w:val="24"/>
        </w:rPr>
        <w:t>and</w:t>
      </w:r>
      <w:r w:rsidRPr="003A58BC">
        <w:rPr>
          <w:rFonts w:ascii="Times New Roman" w:eastAsia="Times New Roman" w:hAnsi="Times New Roman" w:cs="Times New Roman"/>
          <w:b/>
          <w:sz w:val="24"/>
          <w:szCs w:val="24"/>
        </w:rPr>
        <w:t xml:space="preserve">  β</w:t>
      </w:r>
      <w:proofErr w:type="gramEnd"/>
      <w:r w:rsidRPr="003A58BC">
        <w:rPr>
          <w:rFonts w:ascii="Times New Roman" w:eastAsia="Times New Roman" w:hAnsi="Times New Roman" w:cs="Times New Roman"/>
          <w:b/>
          <w:sz w:val="24"/>
          <w:szCs w:val="24"/>
        </w:rPr>
        <w:t xml:space="preserve">2 </w:t>
      </w:r>
      <w:r w:rsidRPr="003A58BC">
        <w:rPr>
          <w:rFonts w:ascii="Times New Roman" w:eastAsia="Times New Roman" w:hAnsi="Times New Roman" w:cs="Times New Roman"/>
          <w:sz w:val="24"/>
          <w:szCs w:val="24"/>
        </w:rPr>
        <w:t>instead of using ratio, which may help to explain the economic influences on exchange rate movements.</w:t>
      </w: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32258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43600" cy="3225800"/>
                    </a:xfrm>
                    <a:prstGeom prst="rect">
                      <a:avLst/>
                    </a:prstGeom>
                    <a:ln/>
                  </pic:spPr>
                </pic:pic>
              </a:graphicData>
            </a:graphic>
          </wp:inline>
        </w:drawing>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Again, before conducting OLS calculation, we have to ensure that log of nominal exchange rate, and the log of foreign consumer index and log of domestic consumer index are integrated at the same order level by performing ADF tests on each of those time series (see figure 9). P-values of ADF tests are all above 0.05, indicating non-stationarity among three of them. After this, we could perform OLS regression, and extract the residuals to conduct an ADF test on it. The outcome once again demonstrates </w:t>
      </w:r>
      <w:r w:rsidRPr="003A58BC">
        <w:rPr>
          <w:rFonts w:ascii="Times New Roman" w:eastAsia="Times New Roman" w:hAnsi="Times New Roman" w:cs="Times New Roman"/>
          <w:b/>
          <w:sz w:val="24"/>
          <w:szCs w:val="24"/>
        </w:rPr>
        <w:t>non-stationarity with p-value DF statistic -2.7&gt;-3.37 (</w:t>
      </w:r>
      <w:r w:rsidRPr="003A58BC">
        <w:rPr>
          <w:rFonts w:ascii="Times New Roman" w:eastAsia="Times New Roman" w:hAnsi="Times New Roman" w:cs="Times New Roman"/>
          <w:sz w:val="24"/>
          <w:szCs w:val="24"/>
        </w:rPr>
        <w:t>Angle-Granger critical value)</w:t>
      </w:r>
      <w:r w:rsidRPr="003A58BC">
        <w:rPr>
          <w:rFonts w:ascii="Times New Roman" w:eastAsia="Times New Roman" w:hAnsi="Times New Roman" w:cs="Times New Roman"/>
          <w:b/>
          <w:sz w:val="24"/>
          <w:szCs w:val="24"/>
        </w:rPr>
        <w:t>,</w:t>
      </w:r>
      <w:r w:rsidRPr="003A58BC">
        <w:rPr>
          <w:rFonts w:ascii="Times New Roman" w:eastAsia="Times New Roman" w:hAnsi="Times New Roman" w:cs="Times New Roman"/>
          <w:sz w:val="24"/>
          <w:szCs w:val="24"/>
        </w:rPr>
        <w:t xml:space="preserve"> indicating that even with alternative explanatory variables, the exchange rate does not exhibit a persistent long-run relationship with these fundamental economic factors.</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hAnsi="Times New Roman" w:cs="Times New Roman"/>
          <w:sz w:val="24"/>
          <w:szCs w:val="24"/>
        </w:rPr>
        <w:br w:type="page"/>
      </w:r>
    </w:p>
    <w:p w:rsidR="00012FC4" w:rsidRPr="003A58BC" w:rsidRDefault="00000000">
      <w:pPr>
        <w:pStyle w:val="Heading1"/>
        <w:numPr>
          <w:ilvl w:val="0"/>
          <w:numId w:val="1"/>
        </w:numPr>
        <w:ind w:left="360"/>
        <w:jc w:val="both"/>
        <w:rPr>
          <w:rFonts w:ascii="Times New Roman" w:eastAsia="Times New Roman" w:hAnsi="Times New Roman" w:cs="Times New Roman"/>
          <w:b/>
          <w:sz w:val="24"/>
          <w:szCs w:val="24"/>
        </w:rPr>
      </w:pPr>
      <w:bookmarkStart w:id="8" w:name="_Toc195263898"/>
      <w:r w:rsidRPr="003A58BC">
        <w:rPr>
          <w:rFonts w:ascii="Times New Roman" w:eastAsia="Times New Roman" w:hAnsi="Times New Roman" w:cs="Times New Roman"/>
          <w:b/>
          <w:sz w:val="24"/>
          <w:szCs w:val="24"/>
        </w:rPr>
        <w:lastRenderedPageBreak/>
        <w:t>ARIMA Model selection Forecasting the Real Exchange Rate</w:t>
      </w:r>
      <w:bookmarkEnd w:id="8"/>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This section outlines the application of the Box-Jenkins methodology to model and forecast the real exchange rate using ARIMA models. The process follows five main stages: identification, estimation, diagnostic checking, model selection, and forecasting (Brooks, 2019, p. 269).</w:t>
      </w:r>
    </w:p>
    <w:p w:rsidR="00012FC4" w:rsidRPr="003A58BC" w:rsidRDefault="00000000">
      <w:pPr>
        <w:pStyle w:val="Heading2"/>
        <w:spacing w:before="240" w:after="240"/>
        <w:jc w:val="both"/>
        <w:rPr>
          <w:rFonts w:ascii="Times New Roman" w:eastAsia="Times New Roman" w:hAnsi="Times New Roman" w:cs="Times New Roman"/>
          <w:b/>
          <w:sz w:val="24"/>
          <w:szCs w:val="24"/>
        </w:rPr>
      </w:pPr>
      <w:bookmarkStart w:id="9" w:name="_Toc195263899"/>
      <w:r w:rsidRPr="003A58BC">
        <w:rPr>
          <w:rFonts w:ascii="Times New Roman" w:eastAsia="Times New Roman" w:hAnsi="Times New Roman" w:cs="Times New Roman"/>
          <w:b/>
          <w:sz w:val="24"/>
          <w:szCs w:val="24"/>
        </w:rPr>
        <w:t>Step 1: Identification</w:t>
      </w:r>
      <w:bookmarkEnd w:id="9"/>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The first step is to identify the appropriate model structure by determining the orders of autoregressive (AR), differencing (I), and moving average (MA) components, i.e., the ARIMA(</w:t>
      </w:r>
      <w:proofErr w:type="gramStart"/>
      <w:r w:rsidRPr="003A58BC">
        <w:rPr>
          <w:rFonts w:ascii="Times New Roman" w:eastAsia="Times New Roman" w:hAnsi="Times New Roman" w:cs="Times New Roman"/>
          <w:sz w:val="24"/>
          <w:szCs w:val="24"/>
        </w:rPr>
        <w:t>p,d</w:t>
      </w:r>
      <w:proofErr w:type="gramEnd"/>
      <w:r w:rsidRPr="003A58BC">
        <w:rPr>
          <w:rFonts w:ascii="Times New Roman" w:eastAsia="Times New Roman" w:hAnsi="Times New Roman" w:cs="Times New Roman"/>
          <w:sz w:val="24"/>
          <w:szCs w:val="24"/>
        </w:rPr>
        <w:t>,q) specification (Levendis, 2023, pp. 105–108).</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The autocorrelation function (ACF) of the differenced log real exchange rate series shows a sharp spike at lag 1, followed by a rapid drop-off, indicating an </w:t>
      </w:r>
      <w:proofErr w:type="gramStart"/>
      <w:r w:rsidRPr="003A58BC">
        <w:rPr>
          <w:rFonts w:ascii="Times New Roman" w:eastAsia="Times New Roman" w:hAnsi="Times New Roman" w:cs="Times New Roman"/>
          <w:sz w:val="24"/>
          <w:szCs w:val="24"/>
        </w:rPr>
        <w:t>MA(</w:t>
      </w:r>
      <w:proofErr w:type="gramEnd"/>
      <w:r w:rsidRPr="003A58BC">
        <w:rPr>
          <w:rFonts w:ascii="Times New Roman" w:eastAsia="Times New Roman" w:hAnsi="Times New Roman" w:cs="Times New Roman"/>
          <w:sz w:val="24"/>
          <w:szCs w:val="24"/>
        </w:rPr>
        <w:t>1) process. The partial autocorrelation function (PACF) displays a strong spike at lag 1 and a smaller secondary spike at lag 2, with values trailing off afterward. This suggests the presence of autoregressive components of order one or two.</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339953" cy="3529013"/>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339953" cy="3529013"/>
                    </a:xfrm>
                    <a:prstGeom prst="rect">
                      <a:avLst/>
                    </a:prstGeom>
                    <a:ln/>
                  </pic:spPr>
                </pic:pic>
              </a:graphicData>
            </a:graphic>
          </wp:inline>
        </w:drawing>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Based on these observations, six ARIMA models were chosen: ARIMA(1,1,0) for the AR(1) structure, ARIMA(2,1,0) to include the AR(2) component, ARIMA(0,1,1) for the MA(1) process, ARIMA(0,1,2) to account for a potential second-order moving average component, ARIMA(1,1,1) to capture both AR and MA behavior, and ARIMA(2,1,1) to test whether two autoregressive terms with a moving average term would improve model performance.</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These models were selected to provide a thorough yet parsimonious representation of the data’s underlying dynamics.</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lastRenderedPageBreak/>
        <w:t>Although the ACF and PACF were analyzed using the differenced series, the models were fitted to the raw log real exchange rate, with differencing handled internally by the ARIMA framework for consistency and proper lag alignment. Since the series is differenced (d = 1), no intercept was included. Differencing is expected to remove both stochastic and deterministic trends, and because no evidence of remaining trend or drift was found in the differenced series, including an intercept would risk unnecessary overfitting (Box et al., 2015, pp. 123, 160, 360–364).</w:t>
      </w:r>
    </w:p>
    <w:p w:rsidR="00012FC4" w:rsidRPr="003A58BC" w:rsidRDefault="00000000">
      <w:pPr>
        <w:pStyle w:val="Heading2"/>
        <w:spacing w:before="240" w:after="240"/>
        <w:jc w:val="both"/>
        <w:rPr>
          <w:rFonts w:ascii="Times New Roman" w:eastAsia="Times New Roman" w:hAnsi="Times New Roman" w:cs="Times New Roman"/>
          <w:b/>
          <w:sz w:val="24"/>
          <w:szCs w:val="24"/>
        </w:rPr>
      </w:pPr>
      <w:bookmarkStart w:id="10" w:name="_Toc195263900"/>
      <w:r w:rsidRPr="003A58BC">
        <w:rPr>
          <w:rFonts w:ascii="Times New Roman" w:eastAsia="Times New Roman" w:hAnsi="Times New Roman" w:cs="Times New Roman"/>
          <w:b/>
          <w:sz w:val="24"/>
          <w:szCs w:val="24"/>
        </w:rPr>
        <w:t>Step 2: Estimation</w:t>
      </w:r>
      <w:bookmarkEnd w:id="10"/>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The estimation stage involved fitting six ARIMA models to the log-transformed real exchange rate series using the </w:t>
      </w:r>
      <w:proofErr w:type="gramStart"/>
      <w:r w:rsidRPr="003A58BC">
        <w:rPr>
          <w:rFonts w:ascii="Times New Roman" w:eastAsia="Times New Roman" w:hAnsi="Times New Roman" w:cs="Times New Roman"/>
          <w:sz w:val="24"/>
          <w:szCs w:val="24"/>
        </w:rPr>
        <w:t>Arima(</w:t>
      </w:r>
      <w:proofErr w:type="gramEnd"/>
      <w:r w:rsidRPr="003A58BC">
        <w:rPr>
          <w:rFonts w:ascii="Times New Roman" w:eastAsia="Times New Roman" w:hAnsi="Times New Roman" w:cs="Times New Roman"/>
          <w:sz w:val="24"/>
          <w:szCs w:val="24"/>
        </w:rPr>
        <w:t>) function in R, applying maximum likelihood estimation (MLE). MLE estimates parameters by maximizing the probability of observing the data under the model, accounting for the internal structure of the time series, including moving average components (Brooks, 2019, pp. 269, 307).</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The models estimated were </w:t>
      </w:r>
      <w:proofErr w:type="gramStart"/>
      <w:r w:rsidRPr="003A58BC">
        <w:rPr>
          <w:rFonts w:ascii="Times New Roman" w:eastAsia="Times New Roman" w:hAnsi="Times New Roman" w:cs="Times New Roman"/>
          <w:sz w:val="24"/>
          <w:szCs w:val="24"/>
        </w:rPr>
        <w:t>ARIMA(</w:t>
      </w:r>
      <w:proofErr w:type="gramEnd"/>
      <w:r w:rsidRPr="003A58BC">
        <w:rPr>
          <w:rFonts w:ascii="Times New Roman" w:eastAsia="Times New Roman" w:hAnsi="Times New Roman" w:cs="Times New Roman"/>
          <w:sz w:val="24"/>
          <w:szCs w:val="24"/>
        </w:rPr>
        <w:t>1,1,0), ARIMA(2,1,0), ARIMA(0,1,1), ARIMA(0,1,2), ARIMA(1,1,1), and ARIMA(2,1,1). For each, we recorded key statistics to assess model quality and complexity.</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Coefficients, including AR and MA terms, represent the relationship between current values and past data or errors. Along with these, standard errors were noted, indicating the precision of the estimates. A smaller standard error implies higher confidence in the coefficient value (Brooks, 2019, pp. 110 - 111).</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We also recorded the log-likelihood, a measure of model fit, and used penalized fit measures, AIC and BIC (the information criterions), to account for model complexity. Lower AIC and BIC values indicate more efficient models, with BIC penalizing complexity more heavily (Levendis, 2023, pp. 80 - 81; Brooks, 2019, p. </w:t>
      </w:r>
      <w:proofErr w:type="gramStart"/>
      <w:r w:rsidRPr="003A58BC">
        <w:rPr>
          <w:rFonts w:ascii="Times New Roman" w:eastAsia="Times New Roman" w:hAnsi="Times New Roman" w:cs="Times New Roman"/>
          <w:sz w:val="24"/>
          <w:szCs w:val="24"/>
        </w:rPr>
        <w:t>271 )</w:t>
      </w:r>
      <w:proofErr w:type="gramEnd"/>
      <w:r w:rsidRPr="003A58BC">
        <w:rPr>
          <w:rFonts w:ascii="Times New Roman" w:eastAsia="Times New Roman" w:hAnsi="Times New Roman" w:cs="Times New Roman"/>
          <w:sz w:val="24"/>
          <w:szCs w:val="24"/>
        </w:rPr>
        <w:t>.</w:t>
      </w: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274320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943600" cy="2743200"/>
                    </a:xfrm>
                    <a:prstGeom prst="rect">
                      <a:avLst/>
                    </a:prstGeom>
                    <a:ln/>
                  </pic:spPr>
                </pic:pic>
              </a:graphicData>
            </a:graphic>
          </wp:inline>
        </w:drawing>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lastRenderedPageBreak/>
        <w:t xml:space="preserve">Model 3 (ARIMA 0,1,1) had the lowest AIC (-607.00) and BIC (-601.42), with a single </w:t>
      </w:r>
      <w:proofErr w:type="gramStart"/>
      <w:r w:rsidRPr="003A58BC">
        <w:rPr>
          <w:rFonts w:ascii="Times New Roman" w:eastAsia="Times New Roman" w:hAnsi="Times New Roman" w:cs="Times New Roman"/>
          <w:sz w:val="24"/>
          <w:szCs w:val="24"/>
        </w:rPr>
        <w:t>MA(</w:t>
      </w:r>
      <w:proofErr w:type="gramEnd"/>
      <w:r w:rsidRPr="003A58BC">
        <w:rPr>
          <w:rFonts w:ascii="Times New Roman" w:eastAsia="Times New Roman" w:hAnsi="Times New Roman" w:cs="Times New Roman"/>
          <w:sz w:val="24"/>
          <w:szCs w:val="24"/>
        </w:rPr>
        <w:t>1) coefficient of 0.3104 and standard error of 0.0967. It was parsimonious and well-fitting. Models 2 (ARIMA 2,1,0) and 4 (ARIMA 0,1,2) performed well but had slightly higher AIC and BIC values. Model 6 (ARIMA 2,1,1) had higher standard errors and AIC/BIC values, suggesting potential overfitting and instability.</w:t>
      </w:r>
    </w:p>
    <w:p w:rsidR="00012FC4" w:rsidRPr="003A58BC" w:rsidRDefault="00000000">
      <w:pPr>
        <w:pStyle w:val="Heading2"/>
        <w:spacing w:before="240" w:after="240"/>
        <w:jc w:val="both"/>
        <w:rPr>
          <w:rFonts w:ascii="Times New Roman" w:eastAsia="Times New Roman" w:hAnsi="Times New Roman" w:cs="Times New Roman"/>
          <w:b/>
          <w:sz w:val="24"/>
          <w:szCs w:val="24"/>
        </w:rPr>
      </w:pPr>
      <w:bookmarkStart w:id="11" w:name="_Toc195263901"/>
      <w:r w:rsidRPr="003A58BC">
        <w:rPr>
          <w:rFonts w:ascii="Times New Roman" w:eastAsia="Times New Roman" w:hAnsi="Times New Roman" w:cs="Times New Roman"/>
          <w:b/>
          <w:sz w:val="24"/>
          <w:szCs w:val="24"/>
        </w:rPr>
        <w:t>Step 3:  Diagnostic checking</w:t>
      </w:r>
      <w:bookmarkEnd w:id="11"/>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Diagnostic checking ensures that the ARIMA models adequately capture the dynamics of the real exchange rate series. A well-specified model should leave residuals that are random, uncorrelated, and homoscedastic, meaning they behave like white noise. This confirms the model has captured all underlying structure in the data (Luo, 2024).</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Two key statistical tests were performed: the t-test for coefficient significance and the Ljung-Box Q-test for residual autocorrelation.</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The t-test tested whether each AR and MA coefficient was significantly different from zero. The null hypothesis (H₀) was that the coefficient equals zero, suggesting it does not significantly contribute to the model, while the alternative hypothesis (H₁) was that the coefficient differs significantly from zero (Brooks, 2019, p. 131). In Model 1 (ARIMA 1,1,0), the </w:t>
      </w:r>
      <w:proofErr w:type="gramStart"/>
      <w:r w:rsidRPr="003A58BC">
        <w:rPr>
          <w:rFonts w:ascii="Times New Roman" w:eastAsia="Times New Roman" w:hAnsi="Times New Roman" w:cs="Times New Roman"/>
          <w:sz w:val="24"/>
          <w:szCs w:val="24"/>
        </w:rPr>
        <w:t>AR(</w:t>
      </w:r>
      <w:proofErr w:type="gramEnd"/>
      <w:r w:rsidRPr="003A58BC">
        <w:rPr>
          <w:rFonts w:ascii="Times New Roman" w:eastAsia="Times New Roman" w:hAnsi="Times New Roman" w:cs="Times New Roman"/>
          <w:sz w:val="24"/>
          <w:szCs w:val="24"/>
        </w:rPr>
        <w:t>1) coefficient was significant (t = 2.49), but in Model 5 (ARIMA 1,1,1), the AR(1) term was not significant (t = -0.86). Model 6 (ARIMA 2,1,1) had all three coefficients (</w:t>
      </w:r>
      <w:proofErr w:type="gramStart"/>
      <w:r w:rsidRPr="003A58BC">
        <w:rPr>
          <w:rFonts w:ascii="Times New Roman" w:eastAsia="Times New Roman" w:hAnsi="Times New Roman" w:cs="Times New Roman"/>
          <w:sz w:val="24"/>
          <w:szCs w:val="24"/>
        </w:rPr>
        <w:t>AR(</w:t>
      </w:r>
      <w:proofErr w:type="gramEnd"/>
      <w:r w:rsidRPr="003A58BC">
        <w:rPr>
          <w:rFonts w:ascii="Times New Roman" w:eastAsia="Times New Roman" w:hAnsi="Times New Roman" w:cs="Times New Roman"/>
          <w:sz w:val="24"/>
          <w:szCs w:val="24"/>
        </w:rPr>
        <w:t>1), AR(2), and MA(1)) insignificant, indicating potential overfitting and unnecessary complexity in the model.</w:t>
      </w:r>
    </w:p>
    <w:p w:rsidR="00012FC4" w:rsidRPr="003A58BC" w:rsidRDefault="00012FC4">
      <w:pPr>
        <w:spacing w:before="240" w:after="240"/>
        <w:jc w:val="both"/>
        <w:rPr>
          <w:rFonts w:ascii="Times New Roman" w:eastAsia="Times New Roman" w:hAnsi="Times New Roman" w:cs="Times New Roman"/>
          <w:sz w:val="24"/>
          <w:szCs w:val="24"/>
        </w:rPr>
      </w:pP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lastRenderedPageBreak/>
        <w:drawing>
          <wp:inline distT="114300" distB="114300" distL="114300" distR="114300">
            <wp:extent cx="5943600" cy="3898900"/>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5943600" cy="3898900"/>
                    </a:xfrm>
                    <a:prstGeom prst="rect">
                      <a:avLst/>
                    </a:prstGeom>
                    <a:ln/>
                  </pic:spPr>
                </pic:pic>
              </a:graphicData>
            </a:graphic>
          </wp:inline>
        </w:drawing>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In addition to the t-test, the Ljung-Box Q-test was performed to check for residual autocorrelation at lags 4, 8, and 12. The null hypothesis (H₀) of the Q-test was that the residuals are uncorrelated (white noise), while the alternative hypothesis (H₁) was that autocorrelation exists (Box, 2015, pp. 583–590). All models passed the Q-test with p-values well above the 0.05 threshold, indicating no autocorrelation in the residuals. For example, Model 3 had p-values of 0.819, 0.674, and 0.594 at lags 4, 8, and 12.</w:t>
      </w: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24130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943600" cy="2413000"/>
                    </a:xfrm>
                    <a:prstGeom prst="rect">
                      <a:avLst/>
                    </a:prstGeom>
                    <a:ln/>
                  </pic:spPr>
                </pic:pic>
              </a:graphicData>
            </a:graphic>
          </wp:inline>
        </w:drawing>
      </w:r>
    </w:p>
    <w:p w:rsidR="00012FC4" w:rsidRPr="003A58BC" w:rsidRDefault="00012FC4">
      <w:pPr>
        <w:spacing w:before="240" w:after="240"/>
        <w:jc w:val="both"/>
        <w:rPr>
          <w:rFonts w:ascii="Times New Roman" w:eastAsia="Times New Roman" w:hAnsi="Times New Roman" w:cs="Times New Roman"/>
          <w:sz w:val="24"/>
          <w:szCs w:val="24"/>
        </w:rPr>
      </w:pP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Residual plots supported these findings, showing no significant spikes in the ACF and standardized residuals randomly scattered with no patterns or outliers. The plot of the Ljung-</w:t>
      </w:r>
      <w:r w:rsidRPr="003A58BC">
        <w:rPr>
          <w:rFonts w:ascii="Times New Roman" w:eastAsia="Times New Roman" w:hAnsi="Times New Roman" w:cs="Times New Roman"/>
          <w:sz w:val="24"/>
          <w:szCs w:val="24"/>
        </w:rPr>
        <w:lastRenderedPageBreak/>
        <w:t>Box p-values remained above the significance threshold, confirming the residuals behaved as expected.</w:t>
      </w:r>
      <w:r w:rsidRPr="003A58BC">
        <w:rPr>
          <w:rFonts w:ascii="Times New Roman" w:eastAsia="Times New Roman" w:hAnsi="Times New Roman" w:cs="Times New Roman"/>
          <w:noProof/>
          <w:sz w:val="24"/>
          <w:szCs w:val="24"/>
        </w:rPr>
        <w:drawing>
          <wp:inline distT="114300" distB="114300" distL="114300" distR="114300">
            <wp:extent cx="5843588" cy="3830172"/>
            <wp:effectExtent l="0" t="0" r="0" b="0"/>
            <wp:docPr id="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843588" cy="3830172"/>
                    </a:xfrm>
                    <a:prstGeom prst="rect">
                      <a:avLst/>
                    </a:prstGeom>
                    <a:ln/>
                  </pic:spPr>
                </pic:pic>
              </a:graphicData>
            </a:graphic>
          </wp:inline>
        </w:drawing>
      </w:r>
      <w:r w:rsidRPr="003A58BC">
        <w:rPr>
          <w:rFonts w:ascii="Times New Roman" w:eastAsia="Times New Roman" w:hAnsi="Times New Roman" w:cs="Times New Roman"/>
          <w:noProof/>
          <w:sz w:val="24"/>
          <w:szCs w:val="24"/>
        </w:rPr>
        <w:drawing>
          <wp:inline distT="114300" distB="114300" distL="114300" distR="114300">
            <wp:extent cx="5943600" cy="39370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5943600" cy="3937000"/>
                    </a:xfrm>
                    <a:prstGeom prst="rect">
                      <a:avLst/>
                    </a:prstGeom>
                    <a:ln/>
                  </pic:spPr>
                </pic:pic>
              </a:graphicData>
            </a:graphic>
          </wp:inline>
        </w:drawing>
      </w:r>
      <w:r w:rsidRPr="003A58BC">
        <w:rPr>
          <w:rFonts w:ascii="Times New Roman" w:eastAsia="Times New Roman" w:hAnsi="Times New Roman" w:cs="Times New Roman"/>
          <w:sz w:val="24"/>
          <w:szCs w:val="24"/>
        </w:rPr>
        <w:t xml:space="preserve">These diagnostic checks confirm that all six models are statistically adequate in terms of residual behavior. However, the presence of insignificant coefficients in several models raises </w:t>
      </w:r>
      <w:r w:rsidRPr="003A58BC">
        <w:rPr>
          <w:rFonts w:ascii="Times New Roman" w:eastAsia="Times New Roman" w:hAnsi="Times New Roman" w:cs="Times New Roman"/>
          <w:sz w:val="24"/>
          <w:szCs w:val="24"/>
        </w:rPr>
        <w:lastRenderedPageBreak/>
        <w:t>concerns about overfitting and the inclusion of unnecessary terms, which is addressed in the next step through model selection.</w:t>
      </w:r>
    </w:p>
    <w:p w:rsidR="00012FC4" w:rsidRPr="003A58BC" w:rsidRDefault="00000000">
      <w:pPr>
        <w:pStyle w:val="Heading2"/>
        <w:spacing w:before="240" w:after="240"/>
        <w:jc w:val="both"/>
        <w:rPr>
          <w:rFonts w:ascii="Times New Roman" w:eastAsia="Times New Roman" w:hAnsi="Times New Roman" w:cs="Times New Roman"/>
          <w:b/>
          <w:sz w:val="24"/>
          <w:szCs w:val="24"/>
        </w:rPr>
      </w:pPr>
      <w:bookmarkStart w:id="12" w:name="_Toc195263902"/>
      <w:r w:rsidRPr="003A58BC">
        <w:rPr>
          <w:rFonts w:ascii="Times New Roman" w:eastAsia="Times New Roman" w:hAnsi="Times New Roman" w:cs="Times New Roman"/>
          <w:b/>
          <w:sz w:val="24"/>
          <w:szCs w:val="24"/>
        </w:rPr>
        <w:t>Step 4: Model Selection</w:t>
      </w:r>
      <w:bookmarkEnd w:id="12"/>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Model 3 (</w:t>
      </w:r>
      <w:proofErr w:type="gramStart"/>
      <w:r w:rsidRPr="003A58BC">
        <w:rPr>
          <w:rFonts w:ascii="Times New Roman" w:eastAsia="Times New Roman" w:hAnsi="Times New Roman" w:cs="Times New Roman"/>
          <w:sz w:val="24"/>
          <w:szCs w:val="24"/>
        </w:rPr>
        <w:t>ARIMA(</w:t>
      </w:r>
      <w:proofErr w:type="gramEnd"/>
      <w:r w:rsidRPr="003A58BC">
        <w:rPr>
          <w:rFonts w:ascii="Times New Roman" w:eastAsia="Times New Roman" w:hAnsi="Times New Roman" w:cs="Times New Roman"/>
          <w:sz w:val="24"/>
          <w:szCs w:val="24"/>
        </w:rPr>
        <w:t>0,1,1)) emerges as the best model for forecasting the real exchange rate based on several key criteria. Model 1 (</w:t>
      </w:r>
      <w:proofErr w:type="gramStart"/>
      <w:r w:rsidRPr="003A58BC">
        <w:rPr>
          <w:rFonts w:ascii="Times New Roman" w:eastAsia="Times New Roman" w:hAnsi="Times New Roman" w:cs="Times New Roman"/>
          <w:sz w:val="24"/>
          <w:szCs w:val="24"/>
        </w:rPr>
        <w:t>ARIMA(</w:t>
      </w:r>
      <w:proofErr w:type="gramEnd"/>
      <w:r w:rsidRPr="003A58BC">
        <w:rPr>
          <w:rFonts w:ascii="Times New Roman" w:eastAsia="Times New Roman" w:hAnsi="Times New Roman" w:cs="Times New Roman"/>
          <w:sz w:val="24"/>
          <w:szCs w:val="24"/>
        </w:rPr>
        <w:t>1,1,0)), Model 2 (ARIMA(2,1,0)), and Model 3 all have significant AR(1) and MA(1) coefficients, indicating meaningful contributions to explaining the data. In contrast, Model 5 (</w:t>
      </w:r>
      <w:proofErr w:type="gramStart"/>
      <w:r w:rsidRPr="003A58BC">
        <w:rPr>
          <w:rFonts w:ascii="Times New Roman" w:eastAsia="Times New Roman" w:hAnsi="Times New Roman" w:cs="Times New Roman"/>
          <w:sz w:val="24"/>
          <w:szCs w:val="24"/>
        </w:rPr>
        <w:t>ARIMA(</w:t>
      </w:r>
      <w:proofErr w:type="gramEnd"/>
      <w:r w:rsidRPr="003A58BC">
        <w:rPr>
          <w:rFonts w:ascii="Times New Roman" w:eastAsia="Times New Roman" w:hAnsi="Times New Roman" w:cs="Times New Roman"/>
          <w:sz w:val="24"/>
          <w:szCs w:val="24"/>
        </w:rPr>
        <w:t>1,1,1)) has an insignificant AR(1) coefficient (t-value = -0.86), and Model 6 (ARIMA(2,1,1)) has multiple non-significant coefficients, suggesting overfitting and lack of additional value from extra parameters.</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Model 3 has the lowest AIC and BIC, indicating the best fit with the fewest parameters. Despite more parameters, Model 6 has higher AIC and BIC values, suggesting overfitting. Model 1 and Model 5 perform well but don't surpass Model 3 in terms of fit and simplicity.</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The Ljung-Box Q-test, assessing autocorrelation in residuals, shows all models pass with p-values above 0.05, indicating no autocorrelation. Model 3 performs particularly well, with high p-values across all lags, supporting its reliability.</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Finally, Model 3 has the lowest Sum of Squared Residuals (SSR), meaning it produces the smallest errors between observed and predicted values.</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313690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943600" cy="3136900"/>
                    </a:xfrm>
                    <a:prstGeom prst="rect">
                      <a:avLst/>
                    </a:prstGeom>
                    <a:ln/>
                  </pic:spPr>
                </pic:pic>
              </a:graphicData>
            </a:graphic>
          </wp:inline>
        </w:drawing>
      </w:r>
    </w:p>
    <w:p w:rsidR="00012FC4" w:rsidRPr="003A58BC" w:rsidRDefault="00012FC4">
      <w:pPr>
        <w:spacing w:before="240" w:after="240"/>
        <w:jc w:val="both"/>
        <w:rPr>
          <w:rFonts w:ascii="Times New Roman" w:eastAsia="Times New Roman" w:hAnsi="Times New Roman" w:cs="Times New Roman"/>
          <w:sz w:val="24"/>
          <w:szCs w:val="24"/>
        </w:rPr>
      </w:pP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In summary, Model 3 (</w:t>
      </w:r>
      <w:proofErr w:type="gramStart"/>
      <w:r w:rsidRPr="003A58BC">
        <w:rPr>
          <w:rFonts w:ascii="Times New Roman" w:eastAsia="Times New Roman" w:hAnsi="Times New Roman" w:cs="Times New Roman"/>
          <w:sz w:val="24"/>
          <w:szCs w:val="24"/>
        </w:rPr>
        <w:t>ARIMA(</w:t>
      </w:r>
      <w:proofErr w:type="gramEnd"/>
      <w:r w:rsidRPr="003A58BC">
        <w:rPr>
          <w:rFonts w:ascii="Times New Roman" w:eastAsia="Times New Roman" w:hAnsi="Times New Roman" w:cs="Times New Roman"/>
          <w:sz w:val="24"/>
          <w:szCs w:val="24"/>
        </w:rPr>
        <w:t>0,1,1)) is the most suitable choice, excelling in AIC, BIC, SSR, and simplicity compared to Models 1 and 5. Model 6's complexity and weaker performance make it less viable, solidifying Model 3 as the optimal option for forecasting the real exchange rate.</w:t>
      </w:r>
    </w:p>
    <w:p w:rsidR="00012FC4" w:rsidRPr="003A58BC" w:rsidRDefault="00000000">
      <w:pPr>
        <w:pStyle w:val="Heading2"/>
        <w:spacing w:before="240" w:after="240"/>
        <w:jc w:val="both"/>
        <w:rPr>
          <w:rFonts w:ascii="Times New Roman" w:eastAsia="Times New Roman" w:hAnsi="Times New Roman" w:cs="Times New Roman"/>
          <w:b/>
          <w:sz w:val="24"/>
          <w:szCs w:val="24"/>
        </w:rPr>
      </w:pPr>
      <w:bookmarkStart w:id="13" w:name="_Toc195263903"/>
      <w:r w:rsidRPr="003A58BC">
        <w:rPr>
          <w:rFonts w:ascii="Times New Roman" w:eastAsia="Times New Roman" w:hAnsi="Times New Roman" w:cs="Times New Roman"/>
          <w:b/>
          <w:sz w:val="24"/>
          <w:szCs w:val="24"/>
        </w:rPr>
        <w:lastRenderedPageBreak/>
        <w:t>Step 5: Forecasting</w:t>
      </w:r>
      <w:bookmarkEnd w:id="13"/>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The </w:t>
      </w:r>
      <w:proofErr w:type="gramStart"/>
      <w:r w:rsidRPr="003A58BC">
        <w:rPr>
          <w:rFonts w:ascii="Times New Roman" w:eastAsia="Times New Roman" w:hAnsi="Times New Roman" w:cs="Times New Roman"/>
          <w:sz w:val="24"/>
          <w:szCs w:val="24"/>
        </w:rPr>
        <w:t>ARIMA(</w:t>
      </w:r>
      <w:proofErr w:type="gramEnd"/>
      <w:r w:rsidRPr="003A58BC">
        <w:rPr>
          <w:rFonts w:ascii="Times New Roman" w:eastAsia="Times New Roman" w:hAnsi="Times New Roman" w:cs="Times New Roman"/>
          <w:sz w:val="24"/>
          <w:szCs w:val="24"/>
        </w:rPr>
        <w:t>0,1,1) model was chosen as the best option for forecasting the real exchange rate from February 2025 to January 2026. The point forecast remains constant at 0.5119, but confidence intervals widen over time, showing increased uncertainty. For instance, the 95% interval expands from 0.4746–0.5492 in February 2025 to 0.3454–0.6784 by January 2026, illustrating growing variability.</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349250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5943600" cy="3492500"/>
                    </a:xfrm>
                    <a:prstGeom prst="rect">
                      <a:avLst/>
                    </a:prstGeom>
                    <a:ln/>
                  </pic:spPr>
                </pic:pic>
              </a:graphicData>
            </a:graphic>
          </wp:inline>
        </w:drawing>
      </w:r>
      <w:r w:rsidRPr="003A58BC">
        <w:rPr>
          <w:rFonts w:ascii="Times New Roman" w:eastAsia="Times New Roman" w:hAnsi="Times New Roman" w:cs="Times New Roman"/>
          <w:sz w:val="24"/>
          <w:szCs w:val="24"/>
        </w:rPr>
        <w:t xml:space="preserve"> The forecast plot visually represents the point forecasts along with the 80% and 95% confidence intervals. The shaded areas in the plot provide a clear view of the uncertainty around the predictions, with the wider 95% interval indicating greater uncertainty about future values.</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4621337" cy="3007151"/>
            <wp:effectExtent l="0" t="0" r="1905" b="3175"/>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4627980" cy="3011474"/>
                    </a:xfrm>
                    <a:prstGeom prst="rect">
                      <a:avLst/>
                    </a:prstGeom>
                    <a:ln/>
                  </pic:spPr>
                </pic:pic>
              </a:graphicData>
            </a:graphic>
          </wp:inline>
        </w:drawing>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lastRenderedPageBreak/>
        <w:t>Residual analysis confirmed the model’s adequacy. The Ljung-Box test, with a Q-statistic of 31.081 and a p-value of 0.1208, showed no significant autocorrelation in the residuals, which resemble white noise. Residual plots revealed no discernible patterns, while the autocorrelation function (ACF) showed all spikes within bounds. A histogram indicated normal distribution, further validating the model’s reliability.</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19431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5943600" cy="1943100"/>
                    </a:xfrm>
                    <a:prstGeom prst="rect">
                      <a:avLst/>
                    </a:prstGeom>
                    <a:ln/>
                  </pic:spPr>
                </pic:pic>
              </a:graphicData>
            </a:graphic>
          </wp:inline>
        </w:drawing>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943600" cy="39370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5943600" cy="3937000"/>
                    </a:xfrm>
                    <a:prstGeom prst="rect">
                      <a:avLst/>
                    </a:prstGeom>
                    <a:ln/>
                  </pic:spPr>
                </pic:pic>
              </a:graphicData>
            </a:graphic>
          </wp:inline>
        </w:drawing>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Although metrics such as Mean Absolute Error (MAE), Mean Squared Error (MSE), and Root Mean Squared Error (RMSE) were not computed due to unavailable data, the residual diagnostics provide strong evidence of the model’s reliability (Brooks, 2019, p. 285). The residuals are centered around zero and lack significant correlations, further validating the model’s suitability for forecasting the future real exchange rate.</w:t>
      </w:r>
    </w:p>
    <w:p w:rsidR="00012FC4" w:rsidRPr="003A58BC" w:rsidRDefault="00000000">
      <w:pPr>
        <w:pStyle w:val="Heading1"/>
        <w:spacing w:before="280" w:after="80"/>
        <w:jc w:val="both"/>
        <w:rPr>
          <w:rFonts w:ascii="Times New Roman" w:eastAsia="Times New Roman" w:hAnsi="Times New Roman" w:cs="Times New Roman"/>
          <w:b/>
          <w:sz w:val="24"/>
          <w:szCs w:val="24"/>
        </w:rPr>
      </w:pPr>
      <w:bookmarkStart w:id="14" w:name="_mlaecgad4nwr" w:colFirst="0" w:colLast="0"/>
      <w:bookmarkEnd w:id="14"/>
      <w:r w:rsidRPr="003A58BC">
        <w:rPr>
          <w:rFonts w:ascii="Times New Roman" w:hAnsi="Times New Roman" w:cs="Times New Roman"/>
          <w:sz w:val="24"/>
          <w:szCs w:val="24"/>
        </w:rPr>
        <w:br w:type="page"/>
      </w:r>
      <w:bookmarkStart w:id="15" w:name="_l1qf78y8qqsn" w:colFirst="0" w:colLast="0"/>
      <w:bookmarkEnd w:id="15"/>
    </w:p>
    <w:p w:rsidR="00012FC4" w:rsidRPr="003A58BC" w:rsidRDefault="00000000">
      <w:pPr>
        <w:pStyle w:val="Heading1"/>
        <w:spacing w:before="280" w:after="80"/>
        <w:jc w:val="both"/>
        <w:rPr>
          <w:rFonts w:ascii="Times New Roman" w:eastAsia="Times New Roman" w:hAnsi="Times New Roman" w:cs="Times New Roman"/>
          <w:b/>
          <w:sz w:val="24"/>
          <w:szCs w:val="24"/>
        </w:rPr>
      </w:pPr>
      <w:bookmarkStart w:id="16" w:name="_Toc195263904"/>
      <w:r w:rsidRPr="003A58BC">
        <w:rPr>
          <w:rFonts w:ascii="Times New Roman" w:eastAsia="Times New Roman" w:hAnsi="Times New Roman" w:cs="Times New Roman"/>
          <w:b/>
          <w:sz w:val="24"/>
          <w:szCs w:val="24"/>
        </w:rPr>
        <w:lastRenderedPageBreak/>
        <w:t>6. Results and Discussion</w:t>
      </w:r>
      <w:bookmarkEnd w:id="16"/>
    </w:p>
    <w:p w:rsidR="00012FC4" w:rsidRPr="003A58BC" w:rsidRDefault="00000000">
      <w:pPr>
        <w:pStyle w:val="Heading2"/>
        <w:spacing w:before="240"/>
        <w:jc w:val="both"/>
        <w:rPr>
          <w:rFonts w:ascii="Times New Roman" w:eastAsia="Times New Roman" w:hAnsi="Times New Roman" w:cs="Times New Roman"/>
          <w:b/>
          <w:sz w:val="24"/>
          <w:szCs w:val="24"/>
        </w:rPr>
      </w:pPr>
      <w:bookmarkStart w:id="17" w:name="_Toc195263905"/>
      <w:r w:rsidRPr="003A58BC">
        <w:rPr>
          <w:rFonts w:ascii="Times New Roman" w:eastAsia="Times New Roman" w:hAnsi="Times New Roman" w:cs="Times New Roman"/>
          <w:b/>
          <w:sz w:val="24"/>
          <w:szCs w:val="24"/>
        </w:rPr>
        <w:t>6.1 Summary of Key Findings</w:t>
      </w:r>
      <w:bookmarkEnd w:id="17"/>
    </w:p>
    <w:p w:rsidR="00012FC4" w:rsidRPr="003A58BC" w:rsidRDefault="00000000">
      <w:pPr>
        <w:pStyle w:val="Heading3"/>
        <w:spacing w:before="240" w:after="240"/>
        <w:jc w:val="both"/>
        <w:rPr>
          <w:rFonts w:ascii="Times New Roman" w:eastAsia="Times New Roman" w:hAnsi="Times New Roman" w:cs="Times New Roman"/>
          <w:b/>
          <w:color w:val="000000"/>
          <w:sz w:val="24"/>
          <w:szCs w:val="24"/>
        </w:rPr>
      </w:pPr>
      <w:bookmarkStart w:id="18" w:name="_Toc195263906"/>
      <w:r w:rsidRPr="003A58BC">
        <w:rPr>
          <w:rFonts w:ascii="Times New Roman" w:eastAsia="Times New Roman" w:hAnsi="Times New Roman" w:cs="Times New Roman"/>
          <w:b/>
          <w:color w:val="000000"/>
          <w:sz w:val="24"/>
          <w:szCs w:val="24"/>
        </w:rPr>
        <w:t>6.1.1 Results and Validity Analysis of Purchasing Power Parity (PPP)</w:t>
      </w:r>
      <w:bookmarkEnd w:id="18"/>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Gungsuh" w:hAnsi="Times New Roman" w:cs="Times New Roman"/>
          <w:sz w:val="24"/>
          <w:szCs w:val="24"/>
        </w:rPr>
        <w:t>The results of Absolute purchasing power parity (Absolute PPP) show that the null hypothesis cannot be rejected (ADF statistic is − 2.72, p value is 0.28 (&gt;0.05)). This leads to the conclusion that the real exchange rate is non-stationary and the divergence from the absolute PPP is persistent rather than a transitory fluctuation. This suggests that absolute PPP does not hold and that exchange rates fail to adjust quickly enough to equalize cross-country price levels.</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Gungsuh" w:hAnsi="Times New Roman" w:cs="Times New Roman"/>
          <w:sz w:val="24"/>
          <w:szCs w:val="24"/>
        </w:rPr>
        <w:t>For the Relative purchasing power parity (PPP) test, the ADF statistic of the resulting residual is − 2.21, which is greater than the critical value of − 3.37 (5% significance level), which also shows that the null hypothesis of non-stationarity cannot be rejected. In this regard, the CPI is further split and regressed, which further verifies the failure of relative PPP.</w:t>
      </w:r>
    </w:p>
    <w:p w:rsidR="00012FC4" w:rsidRPr="003A58BC" w:rsidRDefault="00000000">
      <w:pPr>
        <w:pStyle w:val="Heading3"/>
        <w:spacing w:before="240" w:after="240"/>
        <w:jc w:val="both"/>
        <w:rPr>
          <w:rFonts w:ascii="Times New Roman" w:eastAsia="Times New Roman" w:hAnsi="Times New Roman" w:cs="Times New Roman"/>
          <w:b/>
          <w:color w:val="000000"/>
          <w:sz w:val="24"/>
          <w:szCs w:val="24"/>
        </w:rPr>
      </w:pPr>
      <w:bookmarkStart w:id="19" w:name="_Toc195263907"/>
      <w:r w:rsidRPr="003A58BC">
        <w:rPr>
          <w:rFonts w:ascii="Times New Roman" w:eastAsia="Times New Roman" w:hAnsi="Times New Roman" w:cs="Times New Roman"/>
          <w:b/>
          <w:color w:val="000000"/>
          <w:sz w:val="24"/>
          <w:szCs w:val="24"/>
        </w:rPr>
        <w:t>6.1.2 Time Series Modeling Results and Applicability Analysis of Forecasting Model</w:t>
      </w:r>
      <w:bookmarkEnd w:id="19"/>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Based on the Box-Jenkins methodology and through a systematic modeling process, we constructed six models. The following is the performance comparison of the modeling results:</w:t>
      </w:r>
    </w:p>
    <w:p w:rsidR="00012FC4" w:rsidRPr="003A58BC" w:rsidRDefault="00000000">
      <w:pPr>
        <w:spacing w:before="240" w:after="240"/>
        <w:jc w:val="center"/>
        <w:rPr>
          <w:rFonts w:ascii="Times New Roman" w:eastAsia="Times New Roman" w:hAnsi="Times New Roman" w:cs="Times New Roman"/>
          <w:sz w:val="24"/>
          <w:szCs w:val="24"/>
        </w:rPr>
      </w:pPr>
      <w:r w:rsidRPr="003A58BC">
        <w:rPr>
          <w:rFonts w:ascii="Times New Roman" w:eastAsia="Times New Roman" w:hAnsi="Times New Roman" w:cs="Times New Roman"/>
          <w:noProof/>
          <w:sz w:val="24"/>
          <w:szCs w:val="24"/>
        </w:rPr>
        <w:drawing>
          <wp:inline distT="114300" distB="114300" distL="114300" distR="114300">
            <wp:extent cx="5220021" cy="4317476"/>
            <wp:effectExtent l="0" t="0" r="0" b="635"/>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5224314" cy="4321027"/>
                    </a:xfrm>
                    <a:prstGeom prst="rect">
                      <a:avLst/>
                    </a:prstGeom>
                    <a:ln/>
                  </pic:spPr>
                </pic:pic>
              </a:graphicData>
            </a:graphic>
          </wp:inline>
        </w:drawing>
      </w:r>
    </w:p>
    <w:p w:rsidR="00012FC4" w:rsidRPr="003A58BC" w:rsidRDefault="00012FC4">
      <w:pPr>
        <w:spacing w:before="240" w:after="240"/>
        <w:jc w:val="both"/>
        <w:rPr>
          <w:rFonts w:ascii="Times New Roman" w:eastAsia="Times New Roman" w:hAnsi="Times New Roman" w:cs="Times New Roman"/>
          <w:sz w:val="24"/>
          <w:szCs w:val="24"/>
        </w:rPr>
      </w:pP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lastRenderedPageBreak/>
        <w:t>Finally, the optimal prediction model ARIMA (0,1,1) model is determined according to the statistical significance (parameter t test value needs to be significant), information criterion, model simplicity, and judgment criterion of white noise residual diagnosis.</w:t>
      </w:r>
    </w:p>
    <w:p w:rsidR="00012FC4" w:rsidRPr="003A58BC" w:rsidRDefault="00000000">
      <w:pPr>
        <w:spacing w:before="240" w:after="240"/>
        <w:jc w:val="both"/>
        <w:rPr>
          <w:rFonts w:ascii="Times New Roman" w:eastAsia="Times New Roman" w:hAnsi="Times New Roman" w:cs="Times New Roman"/>
          <w:sz w:val="24"/>
          <w:szCs w:val="24"/>
        </w:rPr>
      </w:pPr>
      <w:proofErr w:type="gramStart"/>
      <w:r w:rsidRPr="003A58BC">
        <w:rPr>
          <w:rFonts w:ascii="Times New Roman" w:eastAsia="Times New Roman" w:hAnsi="Times New Roman" w:cs="Times New Roman"/>
          <w:sz w:val="24"/>
          <w:szCs w:val="24"/>
        </w:rPr>
        <w:t>ARIMA(</w:t>
      </w:r>
      <w:proofErr w:type="gramEnd"/>
      <w:r w:rsidRPr="003A58BC">
        <w:rPr>
          <w:rFonts w:ascii="Times New Roman" w:eastAsia="Times New Roman" w:hAnsi="Times New Roman" w:cs="Times New Roman"/>
          <w:sz w:val="24"/>
          <w:szCs w:val="24"/>
        </w:rPr>
        <w:t>0,1,1) (optimal model) : AIC/BIC is the lowest (-607.00/-601.42), the sum of squared residuals is the lowest (SSR=0.04316), and the goodness of fit is the best; the one-parameter model is easy to estimate and interpret and is suitable for real-time forecasting; the residuals passed all diagnostic tests (Ljung-Box p&gt;0.5) and showed no autocorrelation or heteroscedasticity, indicating strong robustness. However, MA (1) only captures the error shocks of the previous period, which is insufficient in response to long-term trends or structural changes and may also underestimate the risk of market breaks (constant point forecast (0.5119)).</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This model is suitable for short-term (1-3 months) exchange rate fluctuation prediction, the trend tracking and capture of the market stable period and the need to quickly calculate real-time forecasts. It is not suitable for the prediction of extreme events such as policy shocks or financial crises (Cheung et al., 2005).</w:t>
      </w:r>
    </w:p>
    <w:p w:rsidR="00012FC4" w:rsidRPr="003A58BC" w:rsidRDefault="00000000">
      <w:pPr>
        <w:pStyle w:val="Heading2"/>
        <w:spacing w:before="240" w:after="240" w:line="480" w:lineRule="auto"/>
        <w:jc w:val="both"/>
        <w:rPr>
          <w:rFonts w:ascii="Times New Roman" w:eastAsia="Times New Roman" w:hAnsi="Times New Roman" w:cs="Times New Roman"/>
          <w:b/>
          <w:sz w:val="24"/>
          <w:szCs w:val="24"/>
        </w:rPr>
      </w:pPr>
      <w:bookmarkStart w:id="20" w:name="_Toc195263908"/>
      <w:r w:rsidRPr="003A58BC">
        <w:rPr>
          <w:rFonts w:ascii="Times New Roman" w:eastAsia="Times New Roman" w:hAnsi="Times New Roman" w:cs="Times New Roman"/>
          <w:b/>
          <w:sz w:val="24"/>
          <w:szCs w:val="24"/>
        </w:rPr>
        <w:t>6.2 Implications for Banks/Policymakers</w:t>
      </w:r>
      <w:bookmarkEnd w:id="20"/>
    </w:p>
    <w:p w:rsidR="00012FC4" w:rsidRPr="003A58BC" w:rsidRDefault="00000000">
      <w:pPr>
        <w:pStyle w:val="Heading3"/>
        <w:spacing w:before="240" w:after="240" w:line="480" w:lineRule="auto"/>
        <w:jc w:val="both"/>
        <w:rPr>
          <w:rFonts w:ascii="Times New Roman" w:eastAsia="Times New Roman" w:hAnsi="Times New Roman" w:cs="Times New Roman"/>
          <w:b/>
          <w:color w:val="000000"/>
          <w:sz w:val="24"/>
          <w:szCs w:val="24"/>
        </w:rPr>
      </w:pPr>
      <w:bookmarkStart w:id="21" w:name="_Toc195263909"/>
      <w:r w:rsidRPr="003A58BC">
        <w:rPr>
          <w:rFonts w:ascii="Times New Roman" w:eastAsia="Times New Roman" w:hAnsi="Times New Roman" w:cs="Times New Roman"/>
          <w:b/>
          <w:color w:val="000000"/>
          <w:sz w:val="24"/>
          <w:szCs w:val="24"/>
        </w:rPr>
        <w:t>6.2.1 Implications from PPP Test Results</w:t>
      </w:r>
      <w:bookmarkEnd w:id="21"/>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For exchange rate system, it is not appropriate to rely solely on PPP as the basis of exchange rate anchoring, but to establish an exchange rate evaluation framework including multiple factors (Rogoff, 1996) ; since CPI differentials are not adjusted across borders through exchange rates and the price transmission mechanism is blocked, monetary policy Monetary policy should pay more attention to domestic inflation expectations </w:t>
      </w:r>
      <w:r w:rsidRPr="003A58BC">
        <w:rPr>
          <w:rFonts w:ascii="Times New Roman" w:eastAsia="Times New Roman" w:hAnsi="Times New Roman" w:cs="Times New Roman"/>
          <w:sz w:val="24"/>
          <w:szCs w:val="24"/>
          <w:highlight w:val="white"/>
        </w:rPr>
        <w:t>(Cavallo et al., 2014)</w:t>
      </w:r>
      <w:r w:rsidRPr="003A58BC">
        <w:rPr>
          <w:rFonts w:ascii="Times New Roman" w:eastAsia="Times New Roman" w:hAnsi="Times New Roman" w:cs="Times New Roman"/>
          <w:sz w:val="24"/>
          <w:szCs w:val="24"/>
        </w:rPr>
        <w:t>; for the risk hedging strategy, the risk of PPP failure can be compensated by extending the hedging contract term, and the dynamic hedging ratio can be adopted; in the asset valuation of international investment decision, the traditional PPP valuation model should be revised to increase the weight of local market factors (Bartram et al., 2010).</w:t>
      </w:r>
    </w:p>
    <w:p w:rsidR="00012FC4" w:rsidRPr="003A58BC" w:rsidRDefault="00000000">
      <w:pPr>
        <w:pStyle w:val="Heading3"/>
        <w:spacing w:before="240" w:after="240" w:line="480" w:lineRule="auto"/>
        <w:jc w:val="both"/>
        <w:rPr>
          <w:rFonts w:ascii="Times New Roman" w:eastAsia="Times New Roman" w:hAnsi="Times New Roman" w:cs="Times New Roman"/>
          <w:b/>
          <w:color w:val="000000"/>
          <w:sz w:val="24"/>
          <w:szCs w:val="24"/>
        </w:rPr>
      </w:pPr>
      <w:bookmarkStart w:id="22" w:name="_Toc195263910"/>
      <w:r w:rsidRPr="003A58BC">
        <w:rPr>
          <w:rFonts w:ascii="Times New Roman" w:eastAsia="Times New Roman" w:hAnsi="Times New Roman" w:cs="Times New Roman"/>
          <w:b/>
          <w:color w:val="000000"/>
          <w:sz w:val="24"/>
          <w:szCs w:val="24"/>
        </w:rPr>
        <w:t>6.2.2 Implications from ARIMA Model Prediction</w:t>
      </w:r>
      <w:bookmarkEnd w:id="22"/>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In terms of trading strategy, the 1–3-month prediction interval of ARIMA (0,1,1) can be used to set the trading threshold and optimize the timing of opening/closing positions by combining with the lag effect of MA (1); adjust foreign currency provisions according to forecast fluctuations, match the currency maturity structure of assets and liabilities, and implement liquidity management; in terms of foreign exchange intervention, we can make a progressive intervention strategy by referring to the forecast interval, and establish an automatic response mechanism of "forecast error trigger" </w:t>
      </w:r>
      <w:r w:rsidRPr="003A58BC">
        <w:rPr>
          <w:rFonts w:ascii="Times New Roman" w:eastAsia="Times New Roman" w:hAnsi="Times New Roman" w:cs="Times New Roman"/>
          <w:sz w:val="24"/>
          <w:szCs w:val="24"/>
          <w:highlight w:val="white"/>
        </w:rPr>
        <w:t>(Dominguez, 1998)</w:t>
      </w:r>
      <w:r w:rsidRPr="003A58BC">
        <w:rPr>
          <w:rFonts w:ascii="Times New Roman" w:eastAsia="Times New Roman" w:hAnsi="Times New Roman" w:cs="Times New Roman"/>
          <w:sz w:val="24"/>
          <w:szCs w:val="24"/>
        </w:rPr>
        <w:t>.</w:t>
      </w:r>
    </w:p>
    <w:p w:rsidR="00012FC4" w:rsidRPr="003A58BC" w:rsidRDefault="00000000">
      <w:pPr>
        <w:pStyle w:val="Heading2"/>
        <w:spacing w:before="240" w:after="240" w:line="480" w:lineRule="auto"/>
        <w:jc w:val="both"/>
        <w:rPr>
          <w:rFonts w:ascii="Times New Roman" w:eastAsia="Times New Roman" w:hAnsi="Times New Roman" w:cs="Times New Roman"/>
          <w:b/>
          <w:sz w:val="24"/>
          <w:szCs w:val="24"/>
        </w:rPr>
      </w:pPr>
      <w:bookmarkStart w:id="23" w:name="_Toc195263911"/>
      <w:r w:rsidRPr="003A58BC">
        <w:rPr>
          <w:rFonts w:ascii="Times New Roman" w:eastAsia="Times New Roman" w:hAnsi="Times New Roman" w:cs="Times New Roman"/>
          <w:b/>
          <w:sz w:val="24"/>
          <w:szCs w:val="24"/>
        </w:rPr>
        <w:lastRenderedPageBreak/>
        <w:t>6.3 Limitations of the Study</w:t>
      </w:r>
      <w:bookmarkEnd w:id="23"/>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The PPP test does not cover the price difference of non-tradables, the heterogeneity of consumption preferences, institutional trade barriers and other factors.</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The boundary of ARIMA model is not suitable for extreme scenarios of currency crisis, the initial stage of digital currency shock and other scenarios, and subsequent measures such as the establishment of model failure warning indicators can be taken for optimization.</w:t>
      </w:r>
    </w:p>
    <w:p w:rsidR="00012FC4" w:rsidRPr="003A58BC" w:rsidRDefault="00000000">
      <w:pPr>
        <w:spacing w:before="240" w:after="240"/>
        <w:jc w:val="both"/>
        <w:rPr>
          <w:rFonts w:ascii="Times New Roman" w:eastAsia="Times New Roman" w:hAnsi="Times New Roman" w:cs="Times New Roman"/>
          <w:sz w:val="24"/>
          <w:szCs w:val="24"/>
        </w:rPr>
      </w:pPr>
      <w:r w:rsidRPr="003A58BC">
        <w:rPr>
          <w:rFonts w:ascii="Times New Roman" w:hAnsi="Times New Roman" w:cs="Times New Roman"/>
          <w:sz w:val="24"/>
          <w:szCs w:val="24"/>
        </w:rPr>
        <w:br w:type="page"/>
      </w:r>
    </w:p>
    <w:p w:rsidR="00012FC4" w:rsidRPr="003A58BC" w:rsidRDefault="00012FC4">
      <w:pPr>
        <w:spacing w:before="240" w:after="240"/>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b/>
          <w:sz w:val="24"/>
          <w:szCs w:val="24"/>
        </w:rPr>
      </w:pPr>
      <w:r w:rsidRPr="003A58BC">
        <w:rPr>
          <w:rFonts w:ascii="Times New Roman" w:eastAsia="Times New Roman" w:hAnsi="Times New Roman" w:cs="Times New Roman"/>
          <w:b/>
          <w:sz w:val="24"/>
          <w:szCs w:val="24"/>
        </w:rPr>
        <w:t>7. Conclusion</w:t>
      </w:r>
    </w:p>
    <w:p w:rsidR="00012FC4" w:rsidRPr="003A58BC" w:rsidRDefault="00012FC4">
      <w:pPr>
        <w:jc w:val="both"/>
        <w:rPr>
          <w:rFonts w:ascii="Times New Roman" w:eastAsia="Times New Roman" w:hAnsi="Times New Roman" w:cs="Times New Roman"/>
          <w:sz w:val="24"/>
          <w:szCs w:val="24"/>
        </w:rPr>
      </w:pPr>
    </w:p>
    <w:p w:rsidR="00012FC4" w:rsidRPr="003A58BC" w:rsidRDefault="00000000">
      <w:p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The ADF tests confirmed that the original nominal and real exchange rate series, domestic and foreign CPI data, were non-stationary but became stationary after first differencing, showing integration of order one (</w:t>
      </w:r>
      <w:proofErr w:type="gramStart"/>
      <w:r w:rsidRPr="003A58BC">
        <w:rPr>
          <w:rFonts w:ascii="Times New Roman" w:eastAsia="Times New Roman" w:hAnsi="Times New Roman" w:cs="Times New Roman"/>
          <w:sz w:val="24"/>
          <w:szCs w:val="24"/>
        </w:rPr>
        <w:t>I(</w:t>
      </w:r>
      <w:proofErr w:type="gramEnd"/>
      <w:r w:rsidRPr="003A58BC">
        <w:rPr>
          <w:rFonts w:ascii="Times New Roman" w:eastAsia="Times New Roman" w:hAnsi="Times New Roman" w:cs="Times New Roman"/>
          <w:sz w:val="24"/>
          <w:szCs w:val="24"/>
        </w:rPr>
        <w:t xml:space="preserve">1)). Tests for absolute and relative PPP showed that deviations from parity are persistent, suggesting that real-world exchange rates reflect additional factors—such as policy interventions or market sentiment—beyond relative prices alone. </w:t>
      </w:r>
      <w:proofErr w:type="gramStart"/>
      <w:r w:rsidRPr="003A58BC">
        <w:rPr>
          <w:rFonts w:ascii="Times New Roman" w:eastAsia="Times New Roman" w:hAnsi="Times New Roman" w:cs="Times New Roman"/>
          <w:sz w:val="24"/>
          <w:szCs w:val="24"/>
        </w:rPr>
        <w:t>ARIMA(</w:t>
      </w:r>
      <w:proofErr w:type="gramEnd"/>
      <w:r w:rsidRPr="003A58BC">
        <w:rPr>
          <w:rFonts w:ascii="Times New Roman" w:eastAsia="Times New Roman" w:hAnsi="Times New Roman" w:cs="Times New Roman"/>
          <w:sz w:val="24"/>
          <w:szCs w:val="24"/>
        </w:rPr>
        <w:t>0,1,1) was proved as the best model, balancing parsimony with robust residual diagnostics and strong fit criteria (AIC/BIC). Although it is effective for short-term forecasts, this may not capture structural shifts or policy shocks, if without further refinement or macroeconomic indicators. Overall, although PPP provides theoretical perspectives, actual exchange rates can diverge for market frictions, and a carefully selected ARIMA model can offer practical short-run predictive power.</w:t>
      </w:r>
    </w:p>
    <w:p w:rsidR="00012FC4" w:rsidRPr="003A58BC" w:rsidRDefault="00000000">
      <w:pPr>
        <w:pStyle w:val="Heading1"/>
        <w:jc w:val="both"/>
        <w:rPr>
          <w:rFonts w:ascii="Times New Roman" w:eastAsia="Times New Roman" w:hAnsi="Times New Roman" w:cs="Times New Roman"/>
          <w:b/>
          <w:sz w:val="24"/>
          <w:szCs w:val="24"/>
        </w:rPr>
      </w:pPr>
      <w:bookmarkStart w:id="24" w:name="_ewb79ng2ecxk" w:colFirst="0" w:colLast="0"/>
      <w:bookmarkEnd w:id="24"/>
      <w:r w:rsidRPr="003A58BC">
        <w:rPr>
          <w:rFonts w:ascii="Times New Roman" w:hAnsi="Times New Roman" w:cs="Times New Roman"/>
          <w:sz w:val="24"/>
          <w:szCs w:val="24"/>
        </w:rPr>
        <w:br w:type="page"/>
      </w:r>
    </w:p>
    <w:p w:rsidR="00012FC4" w:rsidRPr="003A58BC" w:rsidRDefault="00000000">
      <w:pPr>
        <w:pStyle w:val="Heading1"/>
        <w:jc w:val="both"/>
        <w:rPr>
          <w:rFonts w:ascii="Times New Roman" w:eastAsia="Times New Roman" w:hAnsi="Times New Roman" w:cs="Times New Roman"/>
          <w:b/>
          <w:sz w:val="24"/>
          <w:szCs w:val="24"/>
        </w:rPr>
      </w:pPr>
      <w:bookmarkStart w:id="25" w:name="_Toc195263912"/>
      <w:r w:rsidRPr="003A58BC">
        <w:rPr>
          <w:rFonts w:ascii="Times New Roman" w:eastAsia="Times New Roman" w:hAnsi="Times New Roman" w:cs="Times New Roman"/>
          <w:b/>
          <w:sz w:val="24"/>
          <w:szCs w:val="24"/>
        </w:rPr>
        <w:lastRenderedPageBreak/>
        <w:t>References</w:t>
      </w:r>
      <w:bookmarkEnd w:id="25"/>
    </w:p>
    <w:p w:rsidR="00012FC4" w:rsidRPr="003A58BC" w:rsidRDefault="00012FC4">
      <w:pPr>
        <w:jc w:val="both"/>
        <w:rPr>
          <w:rFonts w:ascii="Times New Roman" w:eastAsia="Times New Roman" w:hAnsi="Times New Roman" w:cs="Times New Roman"/>
          <w:b/>
          <w:sz w:val="24"/>
          <w:szCs w:val="24"/>
        </w:rPr>
      </w:pPr>
    </w:p>
    <w:p w:rsidR="00012FC4" w:rsidRPr="003A58BC" w:rsidRDefault="00000000">
      <w:pPr>
        <w:numPr>
          <w:ilvl w:val="0"/>
          <w:numId w:val="6"/>
        </w:num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Bartram, S. M., Brown, G. W., &amp; Minton, B. A. (2010). </w:t>
      </w:r>
      <w:r w:rsidRPr="003A58BC">
        <w:rPr>
          <w:rFonts w:ascii="Times New Roman" w:eastAsia="Times New Roman" w:hAnsi="Times New Roman" w:cs="Times New Roman"/>
          <w:i/>
          <w:sz w:val="24"/>
          <w:szCs w:val="24"/>
        </w:rPr>
        <w:t>Resolving the exposure puzzle: The many facets of exchange rate exposure</w:t>
      </w:r>
      <w:r w:rsidRPr="003A58BC">
        <w:rPr>
          <w:rFonts w:ascii="Times New Roman" w:eastAsia="Times New Roman" w:hAnsi="Times New Roman" w:cs="Times New Roman"/>
          <w:sz w:val="24"/>
          <w:szCs w:val="24"/>
        </w:rPr>
        <w:t xml:space="preserve">. Journal of Financial Economics, </w:t>
      </w:r>
      <w:r w:rsidRPr="003A58BC">
        <w:rPr>
          <w:rFonts w:ascii="Times New Roman" w:eastAsia="Times New Roman" w:hAnsi="Times New Roman" w:cs="Times New Roman"/>
          <w:i/>
          <w:sz w:val="24"/>
          <w:szCs w:val="24"/>
        </w:rPr>
        <w:t>95</w:t>
      </w:r>
      <w:r w:rsidRPr="003A58BC">
        <w:rPr>
          <w:rFonts w:ascii="Times New Roman" w:eastAsia="Times New Roman" w:hAnsi="Times New Roman" w:cs="Times New Roman"/>
          <w:sz w:val="24"/>
          <w:szCs w:val="24"/>
        </w:rPr>
        <w:t xml:space="preserve">(2), 148–173. </w:t>
      </w:r>
      <w:r w:rsidRPr="003A58BC">
        <w:rPr>
          <w:rFonts w:ascii="Times New Roman" w:eastAsia="Times New Roman" w:hAnsi="Times New Roman" w:cs="Times New Roman"/>
          <w:color w:val="1155CC"/>
          <w:sz w:val="24"/>
          <w:szCs w:val="24"/>
          <w:u w:val="single"/>
        </w:rPr>
        <w:t>https://doi.org/10.1016/j.jfineco.2009.09.002</w:t>
      </w:r>
    </w:p>
    <w:p w:rsidR="00012FC4" w:rsidRPr="003A58BC" w:rsidRDefault="00000000">
      <w:pPr>
        <w:numPr>
          <w:ilvl w:val="0"/>
          <w:numId w:val="6"/>
        </w:num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Box, G. E. P., Jenkins, G. M., Reinsel, G. C., &amp; Ljung, G. M. (2015). </w:t>
      </w:r>
      <w:r w:rsidRPr="003A58BC">
        <w:rPr>
          <w:rFonts w:ascii="Times New Roman" w:eastAsia="Times New Roman" w:hAnsi="Times New Roman" w:cs="Times New Roman"/>
          <w:i/>
          <w:sz w:val="24"/>
          <w:szCs w:val="24"/>
        </w:rPr>
        <w:t>Time series analysis: Forecasting and control</w:t>
      </w:r>
      <w:r w:rsidRPr="003A58BC">
        <w:rPr>
          <w:rFonts w:ascii="Times New Roman" w:eastAsia="Times New Roman" w:hAnsi="Times New Roman" w:cs="Times New Roman"/>
          <w:sz w:val="24"/>
          <w:szCs w:val="24"/>
        </w:rPr>
        <w:t xml:space="preserve"> (5th ed.). Wiley.</w:t>
      </w:r>
    </w:p>
    <w:p w:rsidR="00012FC4" w:rsidRPr="003A58BC" w:rsidRDefault="00000000">
      <w:pPr>
        <w:numPr>
          <w:ilvl w:val="0"/>
          <w:numId w:val="3"/>
        </w:num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Box, G. E. P. (2015). </w:t>
      </w:r>
      <w:r w:rsidRPr="003A58BC">
        <w:rPr>
          <w:rFonts w:ascii="Times New Roman" w:eastAsia="Times New Roman" w:hAnsi="Times New Roman" w:cs="Times New Roman"/>
          <w:i/>
          <w:sz w:val="24"/>
          <w:szCs w:val="24"/>
        </w:rPr>
        <w:t>Time series analysis: Forecasting and control</w:t>
      </w:r>
      <w:r w:rsidRPr="003A58BC">
        <w:rPr>
          <w:rFonts w:ascii="Times New Roman" w:eastAsia="Times New Roman" w:hAnsi="Times New Roman" w:cs="Times New Roman"/>
          <w:sz w:val="24"/>
          <w:szCs w:val="24"/>
        </w:rPr>
        <w:t xml:space="preserve"> (1st ed.). John Wiley &amp; Sons.</w:t>
      </w:r>
    </w:p>
    <w:p w:rsidR="00012FC4" w:rsidRPr="003A58BC" w:rsidRDefault="00000000">
      <w:pPr>
        <w:numPr>
          <w:ilvl w:val="0"/>
          <w:numId w:val="2"/>
        </w:num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Brooks, C. (2019). </w:t>
      </w:r>
      <w:r w:rsidRPr="003A58BC">
        <w:rPr>
          <w:rFonts w:ascii="Times New Roman" w:eastAsia="Times New Roman" w:hAnsi="Times New Roman" w:cs="Times New Roman"/>
          <w:i/>
          <w:sz w:val="24"/>
          <w:szCs w:val="24"/>
        </w:rPr>
        <w:t>Introductory econometrics for finance</w:t>
      </w:r>
      <w:r w:rsidRPr="003A58BC">
        <w:rPr>
          <w:rFonts w:ascii="Times New Roman" w:eastAsia="Times New Roman" w:hAnsi="Times New Roman" w:cs="Times New Roman"/>
          <w:sz w:val="24"/>
          <w:szCs w:val="24"/>
        </w:rPr>
        <w:t xml:space="preserve"> (2nd ed.). Cambridge University Press.</w:t>
      </w:r>
    </w:p>
    <w:p w:rsidR="00012FC4" w:rsidRPr="003A58BC" w:rsidRDefault="00000000">
      <w:pPr>
        <w:numPr>
          <w:ilvl w:val="0"/>
          <w:numId w:val="2"/>
        </w:num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Cavallo, A., Neiman, B., &amp; Rigobon, R. (2014). C</w:t>
      </w:r>
      <w:r w:rsidRPr="003A58BC">
        <w:rPr>
          <w:rFonts w:ascii="Times New Roman" w:eastAsia="Times New Roman" w:hAnsi="Times New Roman" w:cs="Times New Roman"/>
          <w:i/>
          <w:sz w:val="24"/>
          <w:szCs w:val="24"/>
        </w:rPr>
        <w:t>urrency Unions, Product Introductions, and the Real Exchange Rate.</w:t>
      </w:r>
      <w:r w:rsidRPr="003A58BC">
        <w:rPr>
          <w:rFonts w:ascii="Times New Roman" w:eastAsia="Times New Roman" w:hAnsi="Times New Roman" w:cs="Times New Roman"/>
          <w:sz w:val="24"/>
          <w:szCs w:val="24"/>
        </w:rPr>
        <w:t xml:space="preserve"> The Quarterly Journal of Economics, </w:t>
      </w:r>
      <w:r w:rsidRPr="003A58BC">
        <w:rPr>
          <w:rFonts w:ascii="Times New Roman" w:eastAsia="Times New Roman" w:hAnsi="Times New Roman" w:cs="Times New Roman"/>
          <w:i/>
          <w:sz w:val="24"/>
          <w:szCs w:val="24"/>
        </w:rPr>
        <w:t>129</w:t>
      </w:r>
      <w:r w:rsidRPr="003A58BC">
        <w:rPr>
          <w:rFonts w:ascii="Times New Roman" w:eastAsia="Times New Roman" w:hAnsi="Times New Roman" w:cs="Times New Roman"/>
          <w:sz w:val="24"/>
          <w:szCs w:val="24"/>
        </w:rPr>
        <w:t xml:space="preserve">(2), 529–595. </w:t>
      </w:r>
      <w:r w:rsidRPr="003A58BC">
        <w:rPr>
          <w:rFonts w:ascii="Times New Roman" w:eastAsia="Times New Roman" w:hAnsi="Times New Roman" w:cs="Times New Roman"/>
          <w:color w:val="1155CC"/>
          <w:sz w:val="24"/>
          <w:szCs w:val="24"/>
          <w:u w:val="single"/>
        </w:rPr>
        <w:t>https://doi.org/10.1093/qje/qju008</w:t>
      </w:r>
    </w:p>
    <w:p w:rsidR="00012FC4" w:rsidRPr="003A58BC" w:rsidRDefault="00000000">
      <w:pPr>
        <w:numPr>
          <w:ilvl w:val="0"/>
          <w:numId w:val="2"/>
        </w:num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Cheung, Y.-W., Chinn, M. D., &amp; Pascual, A. G. (2005). </w:t>
      </w:r>
      <w:r w:rsidRPr="003A58BC">
        <w:rPr>
          <w:rFonts w:ascii="Times New Roman" w:eastAsia="Times New Roman" w:hAnsi="Times New Roman" w:cs="Times New Roman"/>
          <w:i/>
          <w:sz w:val="24"/>
          <w:szCs w:val="24"/>
        </w:rPr>
        <w:t>Empirical exchange rate models of the nineties: Are any fit to survive?</w:t>
      </w:r>
      <w:r w:rsidRPr="003A58BC">
        <w:rPr>
          <w:rFonts w:ascii="Times New Roman" w:eastAsia="Times New Roman" w:hAnsi="Times New Roman" w:cs="Times New Roman"/>
          <w:sz w:val="24"/>
          <w:szCs w:val="24"/>
        </w:rPr>
        <w:t xml:space="preserve"> Journal of International Money and Finance, </w:t>
      </w:r>
      <w:r w:rsidRPr="003A58BC">
        <w:rPr>
          <w:rFonts w:ascii="Times New Roman" w:eastAsia="Times New Roman" w:hAnsi="Times New Roman" w:cs="Times New Roman"/>
          <w:i/>
          <w:sz w:val="24"/>
          <w:szCs w:val="24"/>
        </w:rPr>
        <w:t>24</w:t>
      </w:r>
      <w:r w:rsidRPr="003A58BC">
        <w:rPr>
          <w:rFonts w:ascii="Times New Roman" w:eastAsia="Times New Roman" w:hAnsi="Times New Roman" w:cs="Times New Roman"/>
          <w:sz w:val="24"/>
          <w:szCs w:val="24"/>
        </w:rPr>
        <w:t>(7), 1150–1175.</w:t>
      </w:r>
      <w:r w:rsidRPr="003A58BC">
        <w:rPr>
          <w:rFonts w:ascii="Times New Roman" w:eastAsia="Times New Roman" w:hAnsi="Times New Roman" w:cs="Times New Roman"/>
          <w:color w:val="1155CC"/>
          <w:sz w:val="24"/>
          <w:szCs w:val="24"/>
          <w:u w:val="single"/>
        </w:rPr>
        <w:t xml:space="preserve"> </w:t>
      </w:r>
      <w:hyperlink r:id="rId35">
        <w:r w:rsidRPr="003A58BC">
          <w:rPr>
            <w:rFonts w:ascii="Times New Roman" w:eastAsia="Times New Roman" w:hAnsi="Times New Roman" w:cs="Times New Roman"/>
            <w:color w:val="1155CC"/>
            <w:sz w:val="24"/>
            <w:szCs w:val="24"/>
            <w:u w:val="single"/>
          </w:rPr>
          <w:t>https://doi.org/10.1016/j.jimonfin.2005.08.002</w:t>
        </w:r>
      </w:hyperlink>
    </w:p>
    <w:p w:rsidR="00012FC4" w:rsidRPr="003A58BC" w:rsidRDefault="00000000">
      <w:pPr>
        <w:numPr>
          <w:ilvl w:val="0"/>
          <w:numId w:val="2"/>
        </w:num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Dominguez, K. M. (1998). C</w:t>
      </w:r>
      <w:r w:rsidRPr="003A58BC">
        <w:rPr>
          <w:rFonts w:ascii="Times New Roman" w:eastAsia="Times New Roman" w:hAnsi="Times New Roman" w:cs="Times New Roman"/>
          <w:i/>
          <w:sz w:val="24"/>
          <w:szCs w:val="24"/>
        </w:rPr>
        <w:t>entral bank intervention and exchange rate volatility</w:t>
      </w:r>
      <w:r w:rsidRPr="003A58BC">
        <w:rPr>
          <w:rFonts w:ascii="Times New Roman" w:eastAsia="Times New Roman" w:hAnsi="Times New Roman" w:cs="Times New Roman"/>
          <w:sz w:val="24"/>
          <w:szCs w:val="24"/>
        </w:rPr>
        <w:t xml:space="preserve">. Journal of International Money and Finance, </w:t>
      </w:r>
      <w:r w:rsidRPr="003A58BC">
        <w:rPr>
          <w:rFonts w:ascii="Times New Roman" w:eastAsia="Times New Roman" w:hAnsi="Times New Roman" w:cs="Times New Roman"/>
          <w:i/>
          <w:sz w:val="24"/>
          <w:szCs w:val="24"/>
        </w:rPr>
        <w:t>17</w:t>
      </w:r>
      <w:r w:rsidRPr="003A58BC">
        <w:rPr>
          <w:rFonts w:ascii="Times New Roman" w:eastAsia="Times New Roman" w:hAnsi="Times New Roman" w:cs="Times New Roman"/>
          <w:sz w:val="24"/>
          <w:szCs w:val="24"/>
        </w:rPr>
        <w:t xml:space="preserve">(1), 161–190. </w:t>
      </w:r>
      <w:r w:rsidRPr="003A58BC">
        <w:rPr>
          <w:rFonts w:ascii="Times New Roman" w:eastAsia="Times New Roman" w:hAnsi="Times New Roman" w:cs="Times New Roman"/>
          <w:color w:val="1155CC"/>
          <w:sz w:val="24"/>
          <w:szCs w:val="24"/>
          <w:u w:val="single"/>
        </w:rPr>
        <w:t>https://doi.org/10.1016/s0261-5606(97)98055-4</w:t>
      </w:r>
    </w:p>
    <w:p w:rsidR="00012FC4" w:rsidRPr="003A58BC" w:rsidRDefault="00000000">
      <w:pPr>
        <w:numPr>
          <w:ilvl w:val="0"/>
          <w:numId w:val="2"/>
        </w:num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Levendis, J. D. (2023). </w:t>
      </w:r>
      <w:r w:rsidRPr="003A58BC">
        <w:rPr>
          <w:rFonts w:ascii="Times New Roman" w:eastAsia="Times New Roman" w:hAnsi="Times New Roman" w:cs="Times New Roman"/>
          <w:i/>
          <w:sz w:val="24"/>
          <w:szCs w:val="24"/>
        </w:rPr>
        <w:t>Time series econometrics: Learning through replication</w:t>
      </w:r>
      <w:r w:rsidRPr="003A58BC">
        <w:rPr>
          <w:rFonts w:ascii="Times New Roman" w:eastAsia="Times New Roman" w:hAnsi="Times New Roman" w:cs="Times New Roman"/>
          <w:sz w:val="24"/>
          <w:szCs w:val="24"/>
        </w:rPr>
        <w:t xml:space="preserve"> (2nd ed.). Springer.</w:t>
      </w:r>
    </w:p>
    <w:p w:rsidR="00012FC4" w:rsidRPr="003A58BC" w:rsidRDefault="00000000">
      <w:pPr>
        <w:numPr>
          <w:ilvl w:val="0"/>
          <w:numId w:val="2"/>
        </w:numPr>
        <w:jc w:val="both"/>
        <w:rPr>
          <w:rFonts w:ascii="Times New Roman" w:eastAsia="Times New Roman" w:hAnsi="Times New Roman" w:cs="Times New Roman"/>
          <w:sz w:val="24"/>
          <w:szCs w:val="24"/>
        </w:rPr>
      </w:pPr>
      <w:r w:rsidRPr="003A58BC">
        <w:rPr>
          <w:rFonts w:ascii="Times New Roman" w:eastAsia="Times New Roman" w:hAnsi="Times New Roman" w:cs="Times New Roman"/>
          <w:sz w:val="24"/>
          <w:szCs w:val="24"/>
        </w:rPr>
        <w:t xml:space="preserve">Luo, L. (2024). </w:t>
      </w:r>
      <w:r w:rsidRPr="003A58BC">
        <w:rPr>
          <w:rFonts w:ascii="Times New Roman" w:eastAsia="Times New Roman" w:hAnsi="Times New Roman" w:cs="Times New Roman"/>
          <w:i/>
          <w:sz w:val="24"/>
          <w:szCs w:val="24"/>
        </w:rPr>
        <w:t>Statistical model validation through white noise hypothesis testing in regression analysis and ARIMA models.</w:t>
      </w:r>
      <w:r w:rsidRPr="003A58BC">
        <w:rPr>
          <w:rFonts w:ascii="Times New Roman" w:eastAsia="Times New Roman" w:hAnsi="Times New Roman" w:cs="Times New Roman"/>
          <w:sz w:val="24"/>
          <w:szCs w:val="24"/>
        </w:rPr>
        <w:t xml:space="preserve"> Theoretical and Natural Science, 50(1), 99–104. </w:t>
      </w:r>
      <w:hyperlink r:id="rId36">
        <w:r w:rsidRPr="003A58BC">
          <w:rPr>
            <w:rFonts w:ascii="Times New Roman" w:eastAsia="Times New Roman" w:hAnsi="Times New Roman" w:cs="Times New Roman"/>
            <w:color w:val="1155CC"/>
            <w:sz w:val="24"/>
            <w:szCs w:val="24"/>
            <w:u w:val="single"/>
          </w:rPr>
          <w:t>https://doi.org/10.54254/2753-8818/50/20240672</w:t>
        </w:r>
      </w:hyperlink>
    </w:p>
    <w:p w:rsidR="00012FC4" w:rsidRPr="003A58BC" w:rsidRDefault="00000000">
      <w:pPr>
        <w:numPr>
          <w:ilvl w:val="0"/>
          <w:numId w:val="2"/>
        </w:numPr>
        <w:jc w:val="both"/>
        <w:rPr>
          <w:rFonts w:ascii="Times New Roman" w:eastAsia="Times New Roman" w:hAnsi="Times New Roman" w:cs="Times New Roman"/>
          <w:sz w:val="24"/>
          <w:szCs w:val="24"/>
        </w:rPr>
      </w:pPr>
      <w:r w:rsidRPr="003A58BC">
        <w:rPr>
          <w:rFonts w:ascii="Times New Roman" w:eastAsia="Times New Roman" w:hAnsi="Times New Roman" w:cs="Times New Roman"/>
          <w:i/>
          <w:color w:val="05103E"/>
          <w:sz w:val="24"/>
          <w:szCs w:val="24"/>
        </w:rPr>
        <w:t>Monetary policy and central banking</w:t>
      </w:r>
      <w:r w:rsidRPr="003A58BC">
        <w:rPr>
          <w:rFonts w:ascii="Times New Roman" w:eastAsia="Times New Roman" w:hAnsi="Times New Roman" w:cs="Times New Roman"/>
          <w:color w:val="05103E"/>
          <w:sz w:val="24"/>
          <w:szCs w:val="24"/>
        </w:rPr>
        <w:t xml:space="preserve">. (n.d.). </w:t>
      </w:r>
      <w:hyperlink r:id="rId37">
        <w:r w:rsidRPr="003A58BC">
          <w:rPr>
            <w:rFonts w:ascii="Times New Roman" w:eastAsia="Times New Roman" w:hAnsi="Times New Roman" w:cs="Times New Roman"/>
            <w:color w:val="1155CC"/>
            <w:sz w:val="24"/>
            <w:szCs w:val="24"/>
            <w:u w:val="single"/>
          </w:rPr>
          <w:t>https://www.imf.org/en/About/Factsheets/Sheets/2023/monetary-policy-and-central-banking</w:t>
        </w:r>
      </w:hyperlink>
    </w:p>
    <w:p w:rsidR="00012FC4" w:rsidRPr="003A58BC" w:rsidRDefault="00000000">
      <w:pPr>
        <w:numPr>
          <w:ilvl w:val="0"/>
          <w:numId w:val="2"/>
        </w:numPr>
        <w:jc w:val="both"/>
        <w:rPr>
          <w:rFonts w:ascii="Times New Roman" w:eastAsia="Times New Roman" w:hAnsi="Times New Roman" w:cs="Times New Roman"/>
          <w:color w:val="05103E"/>
          <w:sz w:val="24"/>
          <w:szCs w:val="24"/>
        </w:rPr>
      </w:pPr>
      <w:r w:rsidRPr="003A58BC">
        <w:rPr>
          <w:rFonts w:ascii="Times New Roman" w:eastAsia="Times New Roman" w:hAnsi="Times New Roman" w:cs="Times New Roman"/>
          <w:i/>
          <w:color w:val="05103E"/>
          <w:sz w:val="24"/>
          <w:szCs w:val="24"/>
        </w:rPr>
        <w:t>Times Series: Cointegration</w:t>
      </w:r>
      <w:r w:rsidRPr="003A58BC">
        <w:rPr>
          <w:rFonts w:ascii="Times New Roman" w:eastAsia="Times New Roman" w:hAnsi="Times New Roman" w:cs="Times New Roman"/>
          <w:color w:val="05103E"/>
          <w:sz w:val="24"/>
          <w:szCs w:val="24"/>
        </w:rPr>
        <w:t xml:space="preserve">. (n.d.). </w:t>
      </w:r>
      <w:hyperlink r:id="rId38">
        <w:r w:rsidRPr="003A58BC">
          <w:rPr>
            <w:rFonts w:ascii="Times New Roman" w:eastAsia="Times New Roman" w:hAnsi="Times New Roman" w:cs="Times New Roman"/>
            <w:color w:val="1155CC"/>
            <w:sz w:val="24"/>
            <w:szCs w:val="24"/>
            <w:u w:val="single"/>
          </w:rPr>
          <w:t>https://pure.au.dk/ws/portalfiles/portal/82215843/rp14_38.pdf</w:t>
        </w:r>
      </w:hyperlink>
    </w:p>
    <w:p w:rsidR="00012FC4" w:rsidRPr="003A58BC" w:rsidRDefault="00000000">
      <w:pPr>
        <w:numPr>
          <w:ilvl w:val="0"/>
          <w:numId w:val="2"/>
        </w:numPr>
        <w:jc w:val="both"/>
        <w:rPr>
          <w:rFonts w:ascii="Times New Roman" w:eastAsia="Times New Roman" w:hAnsi="Times New Roman" w:cs="Times New Roman"/>
          <w:color w:val="05103E"/>
          <w:sz w:val="24"/>
          <w:szCs w:val="24"/>
        </w:rPr>
      </w:pPr>
      <w:r w:rsidRPr="003A58BC">
        <w:rPr>
          <w:rFonts w:ascii="Times New Roman" w:eastAsia="Times New Roman" w:hAnsi="Times New Roman" w:cs="Times New Roman"/>
          <w:color w:val="05103E"/>
          <w:sz w:val="24"/>
          <w:szCs w:val="24"/>
        </w:rPr>
        <w:t>Rogoff, K. (1996)</w:t>
      </w:r>
      <w:r w:rsidRPr="003A58BC">
        <w:rPr>
          <w:rFonts w:ascii="Times New Roman" w:eastAsia="Times New Roman" w:hAnsi="Times New Roman" w:cs="Times New Roman"/>
          <w:b/>
          <w:color w:val="05103E"/>
          <w:sz w:val="24"/>
          <w:szCs w:val="24"/>
        </w:rPr>
        <w:t>.</w:t>
      </w:r>
      <w:r w:rsidRPr="003A58BC">
        <w:rPr>
          <w:rFonts w:ascii="Times New Roman" w:eastAsia="Times New Roman" w:hAnsi="Times New Roman" w:cs="Times New Roman"/>
          <w:color w:val="05103E"/>
          <w:sz w:val="24"/>
          <w:szCs w:val="24"/>
        </w:rPr>
        <w:t xml:space="preserve"> </w:t>
      </w:r>
      <w:r w:rsidRPr="003A58BC">
        <w:rPr>
          <w:rFonts w:ascii="Times New Roman" w:eastAsia="Times New Roman" w:hAnsi="Times New Roman" w:cs="Times New Roman"/>
          <w:i/>
          <w:color w:val="05103E"/>
          <w:sz w:val="24"/>
          <w:szCs w:val="24"/>
        </w:rPr>
        <w:t>The purchasing power parity puzzle.</w:t>
      </w:r>
      <w:r w:rsidRPr="003A58BC">
        <w:rPr>
          <w:rFonts w:ascii="Times New Roman" w:eastAsia="Times New Roman" w:hAnsi="Times New Roman" w:cs="Times New Roman"/>
          <w:color w:val="05103E"/>
          <w:sz w:val="24"/>
          <w:szCs w:val="24"/>
        </w:rPr>
        <w:t xml:space="preserve"> Journal of Economic Literature, 34(2), 647–668.</w:t>
      </w:r>
    </w:p>
    <w:p w:rsidR="00012FC4" w:rsidRPr="003A58BC" w:rsidRDefault="00012FC4">
      <w:pPr>
        <w:jc w:val="both"/>
        <w:rPr>
          <w:rFonts w:ascii="Times New Roman" w:eastAsia="Times New Roman" w:hAnsi="Times New Roman" w:cs="Times New Roman"/>
          <w:color w:val="05103E"/>
          <w:sz w:val="24"/>
          <w:szCs w:val="24"/>
        </w:rPr>
      </w:pPr>
    </w:p>
    <w:p w:rsidR="00012FC4" w:rsidRPr="003A58BC" w:rsidRDefault="00012FC4">
      <w:pPr>
        <w:jc w:val="both"/>
        <w:rPr>
          <w:rFonts w:ascii="Times New Roman" w:eastAsia="Times New Roman" w:hAnsi="Times New Roman" w:cs="Times New Roman"/>
          <w:color w:val="05103E"/>
          <w:sz w:val="24"/>
          <w:szCs w:val="24"/>
        </w:rPr>
      </w:pPr>
    </w:p>
    <w:sectPr w:rsidR="00012FC4" w:rsidRPr="003A58BC" w:rsidSect="00C42590">
      <w:footerReference w:type="first" r:id="rId39"/>
      <w:pgSz w:w="11900" w:h="16840"/>
      <w:pgMar w:top="1440" w:right="1440" w:bottom="1440" w:left="1440" w:header="720" w:footer="72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D07AE" w:rsidRDefault="008D07AE">
      <w:pPr>
        <w:spacing w:line="240" w:lineRule="auto"/>
      </w:pPr>
      <w:r>
        <w:separator/>
      </w:r>
    </w:p>
  </w:endnote>
  <w:endnote w:type="continuationSeparator" w:id="0">
    <w:p w:rsidR="008D07AE" w:rsidRDefault="008D07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2FC4" w:rsidRDefault="00012FC4">
    <w:pPr>
      <w:rPr>
        <w:rFonts w:ascii="Times New Roman" w:eastAsia="Times New Roman" w:hAnsi="Times New Roman" w:cs="Times New Roman"/>
        <w:sz w:val="26"/>
        <w:szCs w:val="26"/>
      </w:rPr>
    </w:pPr>
  </w:p>
  <w:p w:rsidR="00012FC4" w:rsidRDefault="00012FC4">
    <w:pPr>
      <w:jc w:val="right"/>
      <w:rPr>
        <w:rFonts w:ascii="Times New Roman" w:eastAsia="Times New Roman" w:hAnsi="Times New Roman" w:cs="Times New Roman"/>
      </w:rPr>
    </w:pPr>
  </w:p>
  <w:p w:rsidR="00012FC4" w:rsidRDefault="00012FC4">
    <w:pPr>
      <w:jc w:val="right"/>
    </w:pPr>
  </w:p>
  <w:p w:rsidR="00012FC4" w:rsidRDefault="00012FC4">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2FC4" w:rsidRDefault="00012FC4">
    <w:pPr>
      <w:jc w:val="right"/>
      <w:rPr>
        <w:rFonts w:ascii="Times New Roman" w:eastAsia="Times New Roman" w:hAnsi="Times New Roman" w:cs="Times New Roman"/>
        <w:sz w:val="24"/>
        <w:szCs w:val="24"/>
      </w:rPr>
    </w:pPr>
  </w:p>
  <w:p w:rsidR="00012FC4" w:rsidRDefault="00012FC4">
    <w:pPr>
      <w:jc w:val="right"/>
      <w:rPr>
        <w:rFonts w:ascii="Times New Roman" w:eastAsia="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2FC4" w:rsidRDefault="00012FC4">
    <w:pPr>
      <w:jc w:val="both"/>
      <w:rPr>
        <w:rFonts w:ascii="Times New Roman" w:eastAsia="Times New Roman" w:hAnsi="Times New Roman" w:cs="Times New Roman"/>
        <w:b/>
        <w:sz w:val="24"/>
        <w:szCs w:val="24"/>
      </w:rPr>
    </w:pPr>
  </w:p>
  <w:p w:rsidR="00012FC4"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C42590">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2FC4" w:rsidRDefault="00012F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D07AE" w:rsidRDefault="008D07AE">
      <w:pPr>
        <w:spacing w:line="240" w:lineRule="auto"/>
      </w:pPr>
      <w:r>
        <w:separator/>
      </w:r>
    </w:p>
  </w:footnote>
  <w:footnote w:type="continuationSeparator" w:id="0">
    <w:p w:rsidR="008D07AE" w:rsidRDefault="008D07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2DE"/>
    <w:multiLevelType w:val="multilevel"/>
    <w:tmpl w:val="F7D8B7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835D19"/>
    <w:multiLevelType w:val="multilevel"/>
    <w:tmpl w:val="86E22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AA64C3"/>
    <w:multiLevelType w:val="multilevel"/>
    <w:tmpl w:val="9B98B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004867"/>
    <w:multiLevelType w:val="multilevel"/>
    <w:tmpl w:val="C6D20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851CB3"/>
    <w:multiLevelType w:val="multilevel"/>
    <w:tmpl w:val="8A24F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254A98"/>
    <w:multiLevelType w:val="multilevel"/>
    <w:tmpl w:val="CF50A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F73AE8"/>
    <w:multiLevelType w:val="multilevel"/>
    <w:tmpl w:val="4B462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86950851">
    <w:abstractNumId w:val="0"/>
  </w:num>
  <w:num w:numId="2" w16cid:durableId="1490947562">
    <w:abstractNumId w:val="2"/>
  </w:num>
  <w:num w:numId="3" w16cid:durableId="2095128772">
    <w:abstractNumId w:val="5"/>
  </w:num>
  <w:num w:numId="4" w16cid:durableId="592201716">
    <w:abstractNumId w:val="1"/>
  </w:num>
  <w:num w:numId="5" w16cid:durableId="2060594508">
    <w:abstractNumId w:val="4"/>
  </w:num>
  <w:num w:numId="6" w16cid:durableId="1368918890">
    <w:abstractNumId w:val="3"/>
  </w:num>
  <w:num w:numId="7" w16cid:durableId="1517386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FC4"/>
    <w:rsid w:val="00012FC4"/>
    <w:rsid w:val="003A58BC"/>
    <w:rsid w:val="008D07AE"/>
    <w:rsid w:val="00C4259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035B"/>
  <w15:docId w15:val="{1EE9F2C6-0814-AA46-AB0B-7C9AF686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C42590"/>
    <w:pPr>
      <w:spacing w:after="100"/>
    </w:pPr>
  </w:style>
  <w:style w:type="paragraph" w:styleId="TOC2">
    <w:name w:val="toc 2"/>
    <w:basedOn w:val="Normal"/>
    <w:next w:val="Normal"/>
    <w:autoRedefine/>
    <w:uiPriority w:val="39"/>
    <w:unhideWhenUsed/>
    <w:rsid w:val="00C42590"/>
    <w:pPr>
      <w:spacing w:after="100"/>
      <w:ind w:left="220"/>
    </w:pPr>
  </w:style>
  <w:style w:type="paragraph" w:styleId="TOC3">
    <w:name w:val="toc 3"/>
    <w:basedOn w:val="Normal"/>
    <w:next w:val="Normal"/>
    <w:autoRedefine/>
    <w:uiPriority w:val="39"/>
    <w:unhideWhenUsed/>
    <w:rsid w:val="00C42590"/>
    <w:pPr>
      <w:spacing w:after="100"/>
      <w:ind w:left="440"/>
    </w:pPr>
  </w:style>
  <w:style w:type="character" w:styleId="Hyperlink">
    <w:name w:val="Hyperlink"/>
    <w:basedOn w:val="DefaultParagraphFont"/>
    <w:uiPriority w:val="99"/>
    <w:unhideWhenUsed/>
    <w:rsid w:val="00C425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4.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imf.org/en/About/Factsheets/Sheets/2023/monetary-policy-and-central-banking"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54254/2753-8818/50/20240672"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1016/j.jimonfin.2005.08.002" TargetMode="Externa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pure.au.dk/ws/portalfiles/portal/82215843/rp14_3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4304</Words>
  <Characters>24536</Characters>
  <Application>Microsoft Office Word</Application>
  <DocSecurity>0</DocSecurity>
  <Lines>204</Lines>
  <Paragraphs>57</Paragraphs>
  <ScaleCrop>false</ScaleCrop>
  <Company/>
  <LinksUpToDate>false</LinksUpToDate>
  <CharactersWithSpaces>28783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2025-04-11T10:31:00Z</dcterms:created>
  <dcterms:modified xsi:type="dcterms:W3CDTF">2025-04-11T10:38:00Z</dcterms:modified>
</cp:coreProperties>
</file>