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8161B"/>
          <w:sz w:val="44"/>
        </w:rPr>
        <w:t>GiwaCard — Team Introduction</w:t>
      </w:r>
    </w:p>
    <w:p>
      <w:pPr>
        <w:spacing w:after="320"/>
      </w:pPr>
      <w:r>
        <w:rPr>
          <w:color w:val="6B6B72"/>
          <w:sz w:val="20"/>
        </w:rPr>
        <w:t>GASOK application · question 3 of 12</w:t>
      </w:r>
    </w:p>
    <w:p>
      <w:pPr>
        <w:spacing w:before="120" w:after="120"/>
      </w:pPr>
      <w:r>
        <w:rPr>
          <w:b/>
          <w:color w:val="18161B"/>
          <w:sz w:val="30"/>
        </w:rPr>
        <w:t>Team size</w:t>
      </w:r>
    </w:p>
    <w:p>
      <w:r>
        <w:rPr>
          <w:b/>
        </w:rPr>
        <w:t xml:space="preserve">One. </w:t>
      </w:r>
      <w:r>
        <w:rPr>
          <w:b w:val="0"/>
        </w:rPr>
        <w:t>GiwaCard is built and maintained by a single developer. Everything in this application — the contracts, the CLI, the MCP server, the merchant service, the dashboard, and the site — is the work of one person, and the git history is a single author throughout.</w:t>
      </w:r>
    </w:p>
    <w:p>
      <w:r>
        <w:rPr>
          <w:i w:val="0"/>
        </w:rPr>
        <w:t>I state that plainly rather than padding a roster, because a reviewer can check it in thirty seconds and a padded team is the fastest way to lose their trust. GASOK accepts individual applicants, and the question worth answering is not how many of us there are but whether one person can carry this to Demoday. The evidence for that is below.</w:t>
      </w:r>
    </w:p>
    <w:p>
      <w:pPr>
        <w:spacing w:before="320" w:after="120"/>
      </w:pPr>
      <w:r>
        <w:rPr>
          <w:b/>
          <w:color w:val="18161B"/>
          <w:sz w:val="30"/>
        </w:rPr>
        <w:t>Member</w:t>
      </w:r>
    </w:p>
    <w:p>
      <w:pPr>
        <w:spacing w:before="80" w:after="160"/>
      </w:pPr>
      <w:r>
        <w:rPr>
          <w:b/>
          <w:color w:val="18161B"/>
          <w:sz w:val="26"/>
        </w:rPr>
        <w:t>Axel Urwawuska Atar Ubby</w:t>
      </w:r>
    </w:p>
    <w:tbl>
      <w:tblPr>
        <w:tblStyle w:val="LightGrid-Accent1"/>
        <w:tblW w:type="auto" w:w="0"/>
        <w:jc w:val="left"/>
        <w:tblLook w:firstColumn="1" w:firstRow="1" w:lastColumn="0" w:lastRow="0" w:noHBand="0" w:noVBand="1" w:val="04A0"/>
      </w:tblPr>
      <w:tblGrid>
        <w:gridCol w:w="4680"/>
        <w:gridCol w:w="4680"/>
      </w:tblGrid>
      <w:tr>
        <w:tc>
          <w:tcPr>
            <w:tcW w:type="dxa" w:w="2304"/>
          </w:tcPr>
          <w:p>
            <w:r>
              <w:rPr>
                <w:b/>
              </w:rPr>
              <w:t>Role</w:t>
            </w:r>
          </w:p>
        </w:tc>
        <w:tc>
          <w:tcPr>
            <w:tcW w:type="dxa" w:w="6336"/>
          </w:tcPr>
          <w:p>
            <w:r>
              <w:t>Founder and sole engineer — protocol, tooling, backend, frontend</w:t>
            </w:r>
          </w:p>
        </w:tc>
      </w:tr>
      <w:tr>
        <w:tc>
          <w:tcPr>
            <w:tcW w:type="dxa" w:w="2304"/>
          </w:tcPr>
          <w:p>
            <w:r>
              <w:rPr>
                <w:b/>
              </w:rPr>
              <w:t>Nationality</w:t>
            </w:r>
          </w:p>
        </w:tc>
        <w:tc>
          <w:tcPr>
            <w:tcW w:type="dxa" w:w="6336"/>
          </w:tcPr>
          <w:p>
            <w:r>
              <w:t>Indonesian</w:t>
            </w:r>
          </w:p>
        </w:tc>
      </w:tr>
      <w:tr>
        <w:tc>
          <w:tcPr>
            <w:tcW w:type="dxa" w:w="2304"/>
          </w:tcPr>
          <w:p>
            <w:r>
              <w:rPr>
                <w:b/>
              </w:rPr>
              <w:t>Based in</w:t>
            </w:r>
          </w:p>
        </w:tc>
        <w:tc>
          <w:tcPr>
            <w:tcW w:type="dxa" w:w="6336"/>
          </w:tcPr>
          <w:p>
            <w:r>
              <w:rPr>
                <w:color w:val="B42C2C"/>
              </w:rPr>
              <w:t>[FILL: city]</w:t>
            </w:r>
          </w:p>
        </w:tc>
      </w:tr>
      <w:tr>
        <w:tc>
          <w:tcPr>
            <w:tcW w:type="dxa" w:w="2304"/>
          </w:tcPr>
          <w:p>
            <w:r>
              <w:rPr>
                <w:b/>
              </w:rPr>
              <w:t>GitHub</w:t>
            </w:r>
          </w:p>
        </w:tc>
        <w:tc>
          <w:tcPr>
            <w:tcW w:type="dxa" w:w="6336"/>
          </w:tcPr>
          <w:p>
            <w:r>
              <w:t>github.com/Lexirieru</w:t>
            </w:r>
          </w:p>
        </w:tc>
      </w:tr>
      <w:tr>
        <w:tc>
          <w:tcPr>
            <w:tcW w:type="dxa" w:w="2304"/>
          </w:tcPr>
          <w:p>
            <w:r>
              <w:rPr>
                <w:b/>
              </w:rPr>
              <w:t>Email</w:t>
            </w:r>
          </w:p>
        </w:tc>
        <w:tc>
          <w:tcPr>
            <w:tcW w:type="dxa" w:w="6336"/>
          </w:tcPr>
          <w:p>
            <w:r>
              <w:rPr>
                <w:color w:val="B42C2C"/>
              </w:rPr>
              <w:t>[FILL: contact email]</w:t>
            </w:r>
          </w:p>
        </w:tc>
      </w:tr>
      <w:tr>
        <w:tc>
          <w:tcPr>
            <w:tcW w:type="dxa" w:w="2304"/>
          </w:tcPr>
          <w:p>
            <w:r>
              <w:rPr>
                <w:b/>
              </w:rPr>
              <w:t>X / Telegram</w:t>
            </w:r>
          </w:p>
        </w:tc>
        <w:tc>
          <w:tcPr>
            <w:tcW w:type="dxa" w:w="6336"/>
          </w:tcPr>
          <w:p>
            <w:r>
              <w:rPr>
                <w:color w:val="B42C2C"/>
              </w:rPr>
              <w:t>[FILL: handle, if you want one listed]</w:t>
            </w:r>
          </w:p>
        </w:tc>
      </w:tr>
      <w:tr>
        <w:tc>
          <w:tcPr>
            <w:tcW w:type="dxa" w:w="2304"/>
          </w:tcPr>
          <w:p>
            <w:r>
              <w:rPr>
                <w:b/>
              </w:rPr>
              <w:t>Availability</w:t>
            </w:r>
          </w:p>
        </w:tc>
        <w:tc>
          <w:tcPr>
            <w:tcW w:type="dxa" w:w="6336"/>
          </w:tcPr>
          <w:p>
            <w:r>
              <w:rPr>
                <w:color w:val="B42C2C"/>
              </w:rPr>
              <w:t>[FILL: full-time or part-time, hours per week]</w:t>
            </w:r>
          </w:p>
        </w:tc>
      </w:tr>
    </w:tbl>
    <w:p/>
    <w:p>
      <w:pPr>
        <w:spacing w:before="200" w:after="120"/>
      </w:pPr>
      <w:r>
        <w:rPr>
          <w:b/>
          <w:color w:val="18161B"/>
          <w:sz w:val="24"/>
        </w:rPr>
        <w:t>What I built for this application</w:t>
      </w:r>
    </w:p>
    <w:p>
      <w:r>
        <w:rPr>
          <w:i w:val="0"/>
        </w:rPr>
        <w:t>Every layer of GiwaCard, shipped and verifiable:</w:t>
      </w:r>
    </w:p>
    <w:p>
      <w:pPr>
        <w:pStyle w:val="ListBullet"/>
      </w:pPr>
      <w:r>
        <w:rPr>
          <w:b/>
        </w:rPr>
        <w:t>Smart contracts</w:t>
      </w:r>
      <w:r>
        <w:rPr>
          <w:b w:val="0"/>
        </w:rPr>
        <w:t xml:space="preserve"> — CardVault and gUSD, both UUPS-upgradeable, deployed and source-verified on GIWA Sepolia. 78 tests covering the acceptance examples, the revoke/charge race, daily-cap window rollover, cross-owner isolation, and a V1→V2 upgrade that asserts storage survives.</w:t>
      </w:r>
    </w:p>
    <w:p>
      <w:pPr>
        <w:pStyle w:val="ListBullet"/>
      </w:pPr>
      <w:r>
        <w:rPr>
          <w:b/>
        </w:rPr>
        <w:t>giwacard</w:t>
      </w:r>
      <w:r>
        <w:rPr>
          <w:b w:val="0"/>
        </w:rPr>
        <w:t xml:space="preserve"> — published on npm. One package carrying an interactive CLI, an MCP server with seven agent-facing tools, a local approval daemon, and an Agent Skill. 542 tests.</w:t>
      </w:r>
    </w:p>
    <w:p>
      <w:pPr>
        <w:pStyle w:val="ListBullet"/>
      </w:pPr>
      <w:r>
        <w:rPr>
          <w:b/>
        </w:rPr>
        <w:t>Merchant service</w:t>
      </w:r>
      <w:r>
        <w:rPr>
          <w:b w:val="0"/>
        </w:rPr>
        <w:t xml:space="preserve"> — a paid API and its x402-style facilitator, live on Railway, settling real charges against the vault. 215 tests.</w:t>
      </w:r>
    </w:p>
    <w:p>
      <w:pPr>
        <w:pStyle w:val="ListBullet"/>
      </w:pPr>
      <w:r>
        <w:rPr>
          <w:b/>
        </w:rPr>
        <w:t>Owner dashboard</w:t>
      </w:r>
      <w:r>
        <w:rPr>
          <w:b w:val="0"/>
        </w:rPr>
        <w:t xml:space="preserve"> — Next.js with Reown AppKit, live on Vercel. 125 tests.</w:t>
      </w:r>
    </w:p>
    <w:p>
      <w:pPr>
        <w:pStyle w:val="ListBullet"/>
      </w:pPr>
      <w:r>
        <w:rPr>
          <w:b/>
        </w:rPr>
        <w:t>Landing page</w:t>
      </w:r>
      <w:r>
        <w:rPr>
          <w:b w:val="0"/>
        </w:rPr>
        <w:t xml:space="preserve"> — live on Vercel.</w:t>
      </w:r>
    </w:p>
    <w:p>
      <w:r>
        <w:rPr>
          <w:i w:val="0"/>
        </w:rPr>
        <w:t>Roughly 40,000 lines across Solidity and TypeScript, 960 tests passing, and every contract published for reading rather than described.</w:t>
      </w:r>
    </w:p>
    <w:p>
      <w:pPr>
        <w:spacing w:before="240" w:after="120"/>
      </w:pPr>
      <w:r>
        <w:rPr>
          <w:b/>
          <w:color w:val="18161B"/>
          <w:sz w:val="24"/>
        </w:rPr>
        <w:t>Core strengths</w:t>
      </w:r>
    </w:p>
    <w:p>
      <w:r>
        <w:rPr>
          <w:b/>
        </w:rPr>
        <w:t xml:space="preserve">I ship the whole stack. </w:t>
      </w:r>
      <w:r>
        <w:rPr>
          <w:b w:val="0"/>
        </w:rPr>
        <w:t>A protocol is not a product until someone can install it, and this one goes from npx giwacard to a paid API call without a second person in the loop. Solidity, TypeScript, contract deployment and verification, CLI ergonomics, MCP integration, and frontend all sit inside one head, which removes the coordination cost that usually slows a small team down.</w:t>
      </w:r>
    </w:p>
    <w:p>
      <w:r>
        <w:rPr>
          <w:b/>
        </w:rPr>
        <w:t xml:space="preserve">I design against the failure, not the demo. </w:t>
      </w:r>
      <w:r>
        <w:rPr>
          <w:b w:val="0"/>
        </w:rPr>
        <w:t>The parts of GiwaCard I am most confident about are the ones that say no: an agent has no tool that can approve its own overspend, and a test asserts that against the live tool list rather than a constant. Card limits are enforced by the contract, so a prompt-injected agent cannot argue its way past them. Secrets are redacted in two independent layers because either alone fails open.</w:t>
      </w:r>
    </w:p>
    <w:p>
      <w:r>
        <w:rPr>
          <w:b/>
        </w:rPr>
        <w:t xml:space="preserve">I correct my own architecture when the code disagrees with the plan. </w:t>
      </w:r>
      <w:r>
        <w:rPr>
          <w:b w:val="0"/>
        </w:rPr>
        <w:t>The payment direction in this project was originally wrong — the design had the agent pushing payment when the contract requires the merchant to pull it. It would never have worked. Rather than patch around it I reversed the direction across three packages and corrected the planning document, including the parts already written down. The repository records that decision and its reasoning.</w:t>
      </w:r>
    </w:p>
    <w:p>
      <w:r>
        <w:rPr>
          <w:b/>
        </w:rPr>
        <w:t xml:space="preserve">I document for the next reader, including when the next reader is a machine. </w:t>
      </w:r>
      <w:r>
        <w:rPr>
          <w:b w:val="0"/>
        </w:rPr>
        <w:t>Every directory carries its own notes on the traps that cost real time to find, and the install runbook is written to be executed by a coding agent rather than read by a human.</w:t>
      </w:r>
    </w:p>
    <w:p>
      <w:pPr>
        <w:spacing w:before="240" w:after="120"/>
      </w:pPr>
      <w:r>
        <w:rPr>
          <w:b/>
          <w:color w:val="18161B"/>
          <w:sz w:val="24"/>
        </w:rPr>
        <w:t>Background</w:t>
      </w:r>
    </w:p>
    <w:p>
      <w:r>
        <w:rPr>
          <w:b w:val="0"/>
          <w:color w:val="B42C2C"/>
        </w:rPr>
        <w:t>[FILL: education — university, programme, year]</w:t>
      </w:r>
    </w:p>
    <w:p>
      <w:r>
        <w:rPr>
          <w:b w:val="0"/>
          <w:color w:val="B42C2C"/>
        </w:rPr>
        <w:t>[FILL: prior work or projects worth naming — shipped products, hackathons, open source, employment. Two or three lines is enough; link anything public.]</w:t>
      </w:r>
    </w:p>
    <w:p>
      <w:r>
        <w:rPr>
          <w:b w:val="0"/>
          <w:color w:val="B42C2C"/>
        </w:rPr>
        <w:t>[FILL: any prior onchain work — protocols, audits, testnet deployments.]</w:t>
      </w:r>
    </w:p>
    <w:p>
      <w:pPr>
        <w:spacing w:before="320" w:after="120"/>
      </w:pPr>
      <w:r>
        <w:rPr>
          <w:b/>
          <w:color w:val="18161B"/>
          <w:sz w:val="30"/>
        </w:rPr>
        <w:t>Why one person is enough to reach Demoday</w:t>
      </w:r>
    </w:p>
    <w:p>
      <w:r>
        <w:rPr>
          <w:i w:val="0"/>
        </w:rPr>
        <w:t>The scope that remains is deliberately narrow. The contracts are deployed and verified, the package is published, and all four surfaces are live. What is left before Demoday is an end-to-end run on the live chain, the B2B issuing surface, and gas sponsorship — extensions of what already exists rather than new foundations.</w:t>
      </w:r>
    </w:p>
    <w:p>
      <w:r>
        <w:rPr>
          <w:b w:val="0"/>
        </w:rPr>
        <w:t xml:space="preserve">If the programme's support makes it sensible to grow the team, the first hire would be </w:t>
      </w:r>
      <w:r>
        <w:rPr>
          <w:b w:val="0"/>
          <w:color w:val="B42C2C"/>
        </w:rPr>
        <w:t>[FILL: e.g. a frontend engineer, or a developer-relations person]</w:t>
      </w:r>
      <w:r>
        <w:rPr>
          <w:b w:val="0"/>
        </w:rPr>
        <w:t xml:space="preserve">, because </w:t>
      </w:r>
      <w:r>
        <w:rPr>
          <w:b w:val="0"/>
          <w:color w:val="B42C2C"/>
        </w:rPr>
        <w:t>[FILL: one sentence on the bottleneck that hire removes]</w:t>
      </w:r>
      <w:r>
        <w:rPr>
          <w:b w:val="0"/>
        </w:rPr>
        <w:t>.</w:t>
      </w:r>
    </w:p>
    <w:p>
      <w:pPr>
        <w:spacing w:before="320" w:after="120"/>
      </w:pPr>
      <w:r>
        <w:rPr>
          <w:b/>
          <w:color w:val="18161B"/>
          <w:sz w:val="30"/>
        </w:rPr>
        <w:t>Verify any of this</w:t>
      </w:r>
    </w:p>
    <w:tbl>
      <w:tblPr>
        <w:tblStyle w:val="LightGrid-Accent1"/>
        <w:tblW w:type="auto" w:w="0"/>
        <w:jc w:val="left"/>
        <w:tblLook w:firstColumn="1" w:firstRow="1" w:lastColumn="0" w:lastRow="0" w:noHBand="0" w:noVBand="1" w:val="04A0"/>
      </w:tblPr>
      <w:tblGrid>
        <w:gridCol w:w="4680"/>
        <w:gridCol w:w="4680"/>
      </w:tblGrid>
      <w:tr>
        <w:tc>
          <w:tcPr>
            <w:tcW w:type="dxa" w:w="2304"/>
          </w:tcPr>
          <w:p>
            <w:r>
              <w:rPr>
                <w:b/>
              </w:rPr>
              <w:t>Contracts</w:t>
            </w:r>
          </w:p>
        </w:tc>
        <w:tc>
          <w:tcPr>
            <w:tcW w:type="dxa" w:w="6336"/>
          </w:tcPr>
          <w:p>
            <w:r>
              <w:t>sepolia-explorer.giwa.io/address/0xD89395Df78aaFdF86b330899d1C6189211e88750</w:t>
            </w:r>
          </w:p>
        </w:tc>
      </w:tr>
      <w:tr>
        <w:tc>
          <w:tcPr>
            <w:tcW w:type="dxa" w:w="2304"/>
          </w:tcPr>
          <w:p>
            <w:r>
              <w:rPr>
                <w:b/>
              </w:rPr>
              <w:t>gUSD</w:t>
            </w:r>
          </w:p>
        </w:tc>
        <w:tc>
          <w:tcPr>
            <w:tcW w:type="dxa" w:w="6336"/>
          </w:tcPr>
          <w:p>
            <w:r>
              <w:t>sepolia-explorer.giwa.io/address/0xADa0466303441102cb16F8Ec1594C744d603F746</w:t>
            </w:r>
          </w:p>
        </w:tc>
      </w:tr>
      <w:tr>
        <w:tc>
          <w:tcPr>
            <w:tcW w:type="dxa" w:w="2304"/>
          </w:tcPr>
          <w:p>
            <w:r>
              <w:rPr>
                <w:b/>
              </w:rPr>
              <w:t>Package</w:t>
            </w:r>
          </w:p>
        </w:tc>
        <w:tc>
          <w:tcPr>
            <w:tcW w:type="dxa" w:w="6336"/>
          </w:tcPr>
          <w:p>
            <w:r>
              <w:t>npmjs.com/package/giwacard</w:t>
            </w:r>
          </w:p>
        </w:tc>
      </w:tr>
      <w:tr>
        <w:tc>
          <w:tcPr>
            <w:tcW w:type="dxa" w:w="2304"/>
          </w:tcPr>
          <w:p>
            <w:r>
              <w:rPr>
                <w:b/>
              </w:rPr>
              <w:t>Source</w:t>
            </w:r>
          </w:p>
        </w:tc>
        <w:tc>
          <w:tcPr>
            <w:tcW w:type="dxa" w:w="6336"/>
          </w:tcPr>
          <w:p>
            <w:r>
              <w:t>github.com/Lexirieru/agentcard</w:t>
            </w:r>
          </w:p>
        </w:tc>
      </w:tr>
      <w:tr>
        <w:tc>
          <w:tcPr>
            <w:tcW w:type="dxa" w:w="2304"/>
          </w:tcPr>
          <w:p>
            <w:r>
              <w:rPr>
                <w:b/>
              </w:rPr>
              <w:t>Landing page</w:t>
            </w:r>
          </w:p>
        </w:tc>
        <w:tc>
          <w:tcPr>
            <w:tcW w:type="dxa" w:w="6336"/>
          </w:tcPr>
          <w:p>
            <w:r>
              <w:t>agentcard-eta.vercel.app</w:t>
            </w:r>
          </w:p>
        </w:tc>
      </w:tr>
      <w:tr>
        <w:tc>
          <w:tcPr>
            <w:tcW w:type="dxa" w:w="2304"/>
          </w:tcPr>
          <w:p>
            <w:r>
              <w:rPr>
                <w:b/>
              </w:rPr>
              <w:t>Dashboard</w:t>
            </w:r>
          </w:p>
        </w:tc>
        <w:tc>
          <w:tcPr>
            <w:tcW w:type="dxa" w:w="6336"/>
          </w:tcPr>
          <w:p>
            <w:r>
              <w:t>agentcard-fe.vercel.app</w:t>
            </w:r>
          </w:p>
        </w:tc>
      </w:tr>
      <w:tr>
        <w:tc>
          <w:tcPr>
            <w:tcW w:type="dxa" w:w="2304"/>
          </w:tcPr>
          <w:p>
            <w:r>
              <w:rPr>
                <w:b/>
              </w:rPr>
              <w:t>Demo merchant</w:t>
            </w:r>
          </w:p>
        </w:tc>
        <w:tc>
          <w:tcPr>
            <w:tcW w:type="dxa" w:w="6336"/>
          </w:tcPr>
          <w:p>
            <w:r>
              <w:t>agentcard-production.up.railway.app</w:t>
            </w:r>
          </w:p>
        </w:tc>
      </w:tr>
    </w:tbl>
    <w:p/>
    <w:p>
      <w:pPr>
        <w:spacing w:before="200"/>
      </w:pPr>
      <w:r>
        <w:rPr>
          <w:i/>
          <w:color w:val="6B6B72"/>
          <w:sz w:val="19"/>
        </w:rPr>
        <w:t>Before submitting: replace every red [FILL: …] placeholder, then export to PDF or share with “Anyone with the link can view”.</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816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