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5B9BD5"/>
          <w:sz w:val="26"/>
        </w:rPr>
        <w:t>SYSTEMPRO</w:t>
      </w:r>
    </w:p>
    <w:p>
      <w:pPr>
        <w:pStyle w:val="Title"/>
        <w:spacing w:after="160"/>
      </w:pPr>
      <w:r>
        <w:t>NFC-e - Documentação de Testes e Checklist de Homologação</w:t>
      </w:r>
    </w:p>
    <w:p>
      <w:pPr>
        <w:spacing w:after="240"/>
      </w:pPr>
      <w:r>
        <w:rPr>
          <w:rFonts w:ascii="Aptos" w:hAnsi="Aptos"/>
          <w:color w:val="444444"/>
          <w:sz w:val="24"/>
        </w:rPr>
        <w:t>Guia operacional para validar a configuração fiscal, comunicação com a SEFAZ/MG e o ciclo de vida da NFC-e antes da entrega ao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22"/>
              </w:rPr>
              <w:t>Objetivo do documento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Registrar o que já foi concluído no SystemPro, definir o que ainda precisa ser comprovado em ambiente fiscal de homologação e fornecer um checklist único para evitar perda de etapas.</w:t>
            </w:r>
          </w:p>
        </w:tc>
      </w:tr>
    </w:tbl>
    <w:p>
      <w:pPr>
        <w:spacing w:before="320" w:after="80"/>
      </w:pPr>
      <w:r>
        <w:rPr>
          <w:rFonts w:ascii="Aptos" w:hAnsi="Aptos"/>
          <w:b/>
          <w:color w:val="1F4E79"/>
          <w:sz w:val="24"/>
        </w:rPr>
        <w:t>Status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76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Interpretação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Implementação/configuração já realizada e validada no projeto.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PENDENTE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Ainda precisa de teste funcional/fiscal ou evidência objetiva.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ATENÇÃO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Precisa de revisão antes da liberação, mesmo que exista implementação.</w:t>
            </w:r>
          </w:p>
        </w:tc>
      </w:tr>
      <w:tr>
        <w:tc>
          <w:tcPr>
            <w:tcW w:type="dxa" w:w="5184"/>
          </w:tcPr>
          <w:p>
            <w:r>
              <w:t>CONCLUÍDO LOCALMENTE</w:t>
            </w:r>
          </w:p>
        </w:tc>
        <w:tc>
          <w:tcPr>
            <w:tcW w:type="dxa" w:w="5184"/>
          </w:tcPr>
          <w:p>
            <w:r>
              <w:t>Implementação e regressão técnica aprovadas localmente; ainda não substitui prova fiscal real na SEF/MG.</w:t>
            </w:r>
          </w:p>
        </w:tc>
      </w:tr>
      <w:tr>
        <w:tc>
          <w:tcPr>
            <w:tcW w:type="dxa" w:w="5184"/>
          </w:tcPr>
          <w:p>
            <w:r>
              <w:t>BLOQUEADO</w:t>
            </w:r>
          </w:p>
        </w:tc>
        <w:tc>
          <w:tcPr>
            <w:tcW w:type="dxa" w:w="5184"/>
          </w:tcPr>
          <w:p>
            <w:r>
              <w:t>Depende de requisito externo ainda indisponível, como CNPJ/IE/credenciamento/certificado A1 real.</w:t>
            </w:r>
          </w:p>
        </w:tc>
      </w:tr>
      <w:tr>
        <w:tc>
          <w:tcPr>
            <w:tcW w:type="dxa" w:w="5184"/>
          </w:tcPr>
          <w:p>
            <w:r>
              <w:t>N/A</w:t>
            </w:r>
          </w:p>
        </w:tc>
        <w:tc>
          <w:tcPr>
            <w:tcW w:type="dxa" w:w="5184"/>
          </w:tcPr>
          <w:p>
            <w:r>
              <w:t>Item não aplicável ao fluxo fiscal adotado ou ao modelo NFC-e 65.</w:t>
            </w:r>
          </w:p>
        </w:tc>
      </w:tr>
    </w:tbl>
    <w:p>
      <w:pPr>
        <w:spacing w:before="200"/>
      </w:pPr>
      <w:r>
        <w:rPr>
          <w:rFonts w:ascii="Aptos" w:hAnsi="Aptos"/>
          <w:b/>
          <w:color w:val="C00000"/>
          <w:sz w:val="21"/>
        </w:rPr>
        <w:t>Regra principal:</w:t>
      </w:r>
      <w:r>
        <w:rPr>
          <w:rFonts w:ascii="Aptos" w:hAnsi="Aptos"/>
          <w:sz w:val="21"/>
        </w:rPr>
        <w:t xml:space="preserve"> conexão com a SEFAZ e salvamento da configuração não equivalem à homologação do emissor. A homologação só deve ser considerada concluída depois de uma NFC-e de teste ser efetivamente autorizada e seu ciclo posterior ser validado.</w:t>
      </w:r>
    </w:p>
    <w:p>
      <w:pPr>
        <w:pStyle w:val="Heading1"/>
      </w:pPr>
      <w:r>
        <w:t>1. Como funciona o fluxo fiscal do SystemPro</w:t>
      </w:r>
    </w:p>
    <w:p>
      <w:r>
        <w:t>A arquitetura atual separa a configuração do domínio fiscal e mantém uma única tela para a experiência do usuário. A empresa proprietária é a referência da configuração fiscal do ambiente; os serviços de empresa e estabelecimento fiscal continuam separados no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3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Empresa proprietária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Identificação cadastral da empresa usada como referência fiscal do ambiente.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Estabelecimento fiscal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Parâmetros específicos do emissor: ambiente, regime, série, numeração, CSC e certificado.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Sefaz Gateway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Comunicação SOAP com os Web Services da SEF/MG, assinatura e tratamento dos retornos fiscais.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Venda/NFC-e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Geração do documento fiscal, envio, consulta e eventos fiscais do ciclo da NFC-e.</w:t>
            </w:r>
          </w:p>
        </w:tc>
      </w:tr>
    </w:tbl>
    <w:p>
      <w:r>
        <w:rPr>
          <w:rFonts w:ascii="Aptos" w:hAnsi="Aptos"/>
          <w:b/>
          <w:sz w:val="21"/>
        </w:rPr>
        <w:t xml:space="preserve">Fluxo esperado: </w:t>
      </w:r>
      <w:r>
        <w:rPr>
          <w:rFonts w:ascii="Aptos" w:hAnsi="Aptos"/>
          <w:sz w:val="21"/>
        </w:rPr>
        <w:t>configuração -&gt; teste de serviço -&gt; emissão em homologação -&gt; autorização -&gt; consulta -&gt; cancelamento -&gt; DANFE/QR Code -&gt; repetição de casos de rejeição -&gt; somente então produção.</w:t>
      </w:r>
    </w:p>
    <w:p>
      <w:pPr>
        <w:pStyle w:val="Heading1"/>
      </w:pPr>
      <w:r>
        <w:t>2. O que já está concluído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4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2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 que foi concluído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Unificação da configuração fiscal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antiga separação CompanyComponent + CompanyFormComponent + FiscalSettingsComponent foi substituída por uma única tela de Fiscal/NFC-e.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Cadastro da empresa proprietária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tela passou a seguir o padrão de cadastro dos módulos Clientes/Fornecedores, com identificação, contatos, endereços, máscaras e validações.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Tratamento da empresa inexistente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 404 de negócio "A empresa proprietária do sistema ainda não foi cadastrada" passou a ser interpretado como ausência de empresa, exibindo o formulário em vez de manter o loading.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Configuração do estabelecimento fiscal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 tela contempla os dados necessários para o estabelecimento emissor, mantendo os serviços de Company e FiscalEstablishment separados.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Tipagem do formulário fiscal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Campos obrigatórios do formulário foram alinhados ao contrato FiscalEstablishmentRequest sem casts para mascarar nulabilidade.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Build do frontend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Os erros de TypeScript reportados durante o build foram corrigidos e o build voltou a avançar.</w:t>
            </w:r>
          </w:p>
        </w:tc>
      </w:tr>
      <w:tr>
        <w:tc>
          <w:tcPr>
            <w:tcW w:type="dxa" w:w="3456"/>
          </w:tcPr>
          <w:p>
            <w:r>
              <w:t>Persistência da venda desacoplada da emissão fiscal</w:t>
            </w:r>
          </w:p>
        </w:tc>
        <w:tc>
          <w:tcPr>
            <w:tcW w:type="dxa" w:w="3456"/>
          </w:tcPr>
          <w:p>
            <w:r>
              <w:t>CONCLUÍDO</w:t>
            </w:r>
          </w:p>
        </w:tc>
        <w:tc>
          <w:tcPr>
            <w:tcW w:type="dxa" w:w="3456"/>
          </w:tcPr>
          <w:p>
            <w:r>
              <w:t>A venda é persistida antes da tentativa fiscal; a NFC-e permanece em AGUARDANDO_AUTORIZACAO quando a emissão não pode prosseguir, inclusive sem A1 real.</w:t>
            </w:r>
          </w:p>
        </w:tc>
      </w:tr>
      <w:tr>
        <w:tc>
          <w:tcPr>
            <w:tcW w:type="dxa" w:w="3456"/>
          </w:tcPr>
          <w:p>
            <w:r>
              <w:t>Contingência offline NFC-e</w:t>
            </w:r>
          </w:p>
        </w:tc>
        <w:tc>
          <w:tcPr>
            <w:tcW w:type="dxa" w:w="3456"/>
          </w:tcPr>
          <w:p>
            <w:r>
              <w:t>CONCLUÍDO LOCALMENTE</w:t>
            </w:r>
          </w:p>
        </w:tc>
        <w:tc>
          <w:tcPr>
            <w:tcW w:type="dxa" w:w="3456"/>
          </w:tcPr>
          <w:p>
            <w:r>
              <w:t>Fluxo tpEmis=9 implementado com dhCont/xJust, chave própria, QR Code v3 offline assinado, DANFE de contingência e transmissão posterior do mesmo XML/chave persistidos.</w:t>
            </w:r>
          </w:p>
        </w:tc>
      </w:tr>
      <w:tr>
        <w:tc>
          <w:tcPr>
            <w:tcW w:type="dxa" w:w="3456"/>
          </w:tcPr>
          <w:p>
            <w:r>
              <w:t>Fila operacional de pendências fiscais</w:t>
            </w:r>
          </w:p>
        </w:tc>
        <w:tc>
          <w:tcPr>
            <w:tcW w:type="dxa" w:w="3456"/>
          </w:tcPr>
          <w:p>
            <w:r>
              <w:t>CONCLUÍDO</w:t>
            </w:r>
          </w:p>
        </w:tc>
        <w:tc>
          <w:tcPr>
            <w:tcW w:type="dxa" w:w="3456"/>
          </w:tcPr>
          <w:p>
            <w:r>
              <w:t>PDV possui consulta persistente e paginada das pendências fiscais, sem depender apenas da lista de vendas recentes.</w:t>
            </w:r>
          </w:p>
        </w:tc>
      </w:tr>
      <w:tr>
        <w:tc>
          <w:tcPr>
            <w:tcW w:type="dxa" w:w="3456"/>
          </w:tcPr>
          <w:p>
            <w:r>
              <w:t>Recuperação e máquina de estados fiscal</w:t>
            </w:r>
          </w:p>
        </w:tc>
        <w:tc>
          <w:tcPr>
            <w:tcW w:type="dxa" w:w="3456"/>
          </w:tcPr>
          <w:p>
            <w:r>
              <w:t>CONCLUÍDO</w:t>
            </w:r>
          </w:p>
        </w:tc>
        <w:tc>
          <w:tcPr>
            <w:tcW w:type="dxa" w:w="3456"/>
          </w:tcPr>
          <w:p>
            <w:r>
              <w:t>PENDENTE_CONSULTA e CANCELAMENTO_PENDENTE possuem recuperações distintas; backend impõe invariantes de estado e regressão matricial backend/frontend foi aprovada.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22"/>
              </w:rPr>
              <w:t>Importante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Os itens acima são conclusão de implementação do projeto. Eles não significam que o ambiente fiscal externo já foi homologado pela SEF/MG. Essa comprovação começa nas etapas pendentes do checklist abaixo.</w:t>
            </w:r>
          </w:p>
        </w:tc>
      </w:tr>
    </w:tbl>
    <w:p>
      <w:pPr>
        <w:pStyle w:val="Heading1"/>
      </w:pPr>
      <w:r>
        <w:t>3. O que o teste "Status SEFAZ" prova</w:t>
      </w:r>
    </w:p>
    <w:p>
      <w:r>
        <w:t>O SystemPro possui teste de disponibilidade do serviço NFC-e. Em Minas Gerais, o Web Service NFeStatusServico4 existe em homologação e produção. O resultado positivo comprova comunicação e resposta do serviço, além de exercitar o caminho de certificado/TLS/SOAP previsto pelo emissor.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Teste</w:t>
            </w:r>
          </w:p>
        </w:tc>
        <w:tc>
          <w:tcPr>
            <w:tcW w:type="dxa" w:w="38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 que ele comprova</w:t>
            </w:r>
          </w:p>
        </w:tc>
        <w:tc>
          <w:tcPr>
            <w:tcW w:type="dxa" w:w="34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 que ele NÃO comprova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NFeStatusServico4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Conectividade com a SEF/MG e resposta do Web Service de status; validação do caminho técnico de comunicação.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Não comprova que o XML da NFC-e está correto nem que uma nota será autorizada.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NFeAutorizacao4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Envio do lote/documento fiscal e retorno de autorização/rejeição.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Não garante, sozinho, que consulta, cancelamento, DANFE e QR Code estejam corretos.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NFeConsultaProtocolo4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Capacidade de consultar posteriormente o documento/protocolo na SEF/MG.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Não substitui o teste de autorização inicial.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NFeRecepcaoEvento4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Capacidade de enviar eventos, como cancelamento, quando aplicável.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Não valida toda a emissão.</w:t>
            </w:r>
          </w:p>
        </w:tc>
      </w:tr>
    </w:tbl>
    <w:p>
      <w:pPr>
        <w:pStyle w:val="Heading1"/>
      </w:pPr>
      <w:r>
        <w:t>4. Pré-requisitos para homologação real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Empresa contribuinte de teste com CNPJ e Inscrição Estadual compatíveis com o cenário.</w:t>
      </w:r>
    </w:p>
    <w:p>
      <w:pPr>
        <w:pStyle w:val="ListBullet"/>
        <w:spacing w:after="60"/>
      </w:pPr>
      <w:r>
        <w:t>• Credenciamento para emissão de NFC-e em Minas Gerais e configuração do ambiente fiscal aplicável.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Certificado digital ICP-Brasil compatível com o emissor e respectiva senha, quando aplicável ao fluxo do SystemPro.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Produtos de teste com cadastro fiscal consistente: NCM, origem, CFOP/CST/CSOSN e demais campos exigidos pelo cenário.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Acesso ao ambiente de homologação e conhecimento dos dados de série/numeração que serão usados apenas para teste.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22"/>
              </w:rPr>
              <w:t>CSC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A SEF/MG informa que o CSC é usado para garantir autoria/autenticidade do DANFE NFC-e e participa da validação do QR Code. O ID associado ao CSC é utilizado na consulta/validação do QR Code.</w:t>
            </w:r>
          </w:p>
        </w:tc>
      </w:tr>
    </w:tbl>
    <w:p>
      <w:pPr>
        <w:pStyle w:val="Heading1"/>
      </w:pPr>
      <w:r>
        <w:t>5. Roteiro recomendado de homologação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1. Cadastrar a empresa proprietária - </w:t>
      </w:r>
      <w:r>
        <w:rPr>
          <w:rFonts w:ascii="Aptos" w:hAnsi="Aptos"/>
          <w:sz w:val="21"/>
        </w:rPr>
        <w:t>Preencher dados cadastrais, contatos e endereço; salvar e recarregar a tela para confirmar persistência.</w:t>
      </w:r>
    </w:p>
    <w:p>
      <w:pPr>
        <w:spacing w:after="40"/>
      </w:pPr>
      <w:r>
        <w:t>2. Configurar o estabelecimento fiscal - Selecionar empresa, ambiente HOMOLOGAÇÃO, regime tributário, série/numeração e certificado. CSC/ID CSC não é requisito do QR Code v3 online.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3. Executar o teste de status - </w:t>
      </w:r>
      <w:r>
        <w:rPr>
          <w:rFonts w:ascii="Aptos" w:hAnsi="Aptos"/>
          <w:sz w:val="21"/>
        </w:rPr>
        <w:t>Usar o botão de teste do SystemPro. Registrar data/hora, ambiente, resultado e mensagem/código retornado.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4. Criar um produto fiscal de teste - </w:t>
      </w:r>
      <w:r>
        <w:rPr>
          <w:rFonts w:ascii="Aptos" w:hAnsi="Aptos"/>
          <w:sz w:val="21"/>
        </w:rPr>
        <w:t>Usar um produto simples e fiscalmente consistente. Registrar todos os parâmetros tributários usados.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5. Emitir uma NFC-e de teste - </w:t>
      </w:r>
      <w:r>
        <w:rPr>
          <w:rFonts w:ascii="Aptos" w:hAnsi="Aptos"/>
          <w:sz w:val="21"/>
        </w:rPr>
        <w:t>Realizar uma venda pequena no ambiente de homologação e guardar ID da venda, número, série e retorno da SEF/MG.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6. Confirmar AUTORIZAÇÃO - </w:t>
      </w:r>
      <w:r>
        <w:rPr>
          <w:rFonts w:ascii="Aptos" w:hAnsi="Aptos"/>
          <w:sz w:val="21"/>
        </w:rPr>
        <w:t>Verificar chave de acesso, protocolo, status e XML autorizado.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7. Consultar a NFC-e depois da emissão - </w:t>
      </w:r>
      <w:r>
        <w:rPr>
          <w:rFonts w:ascii="Aptos" w:hAnsi="Aptos"/>
          <w:sz w:val="21"/>
        </w:rPr>
        <w:t>Executar a consulta posterior e conferir se o SystemPro reproduz o mesmo status e protocolo.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8. Validar DANFE/QR Code - </w:t>
      </w:r>
      <w:r>
        <w:rPr>
          <w:rFonts w:ascii="Aptos" w:hAnsi="Aptos"/>
          <w:sz w:val="21"/>
        </w:rPr>
        <w:t>Gerar/imprimir a representação auxiliar e testar o QR Code no portal de homologação; conferir os dados exibidos.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9. Cancelar a NFC-e de teste - </w:t>
      </w:r>
      <w:r>
        <w:rPr>
          <w:rFonts w:ascii="Aptos" w:hAnsi="Aptos"/>
          <w:sz w:val="21"/>
        </w:rPr>
        <w:t>Enviar evento de cancelamento e confirmar retorno/autorização do evento e atualização do status no SystemPro.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10. Executar casos de rejeição - </w:t>
      </w:r>
      <w:r>
        <w:rPr>
          <w:rFonts w:ascii="Aptos" w:hAnsi="Aptos"/>
          <w:sz w:val="21"/>
        </w:rPr>
        <w:t>Forçar cenários controlados de dados fiscais inválidos e confirmar que a rejeição é registrada sem corromper a venda ou consumir numeração indevidamente.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11. Repetir com mais de um cenário fiscal - </w:t>
      </w:r>
      <w:r>
        <w:rPr>
          <w:rFonts w:ascii="Aptos" w:hAnsi="Aptos"/>
          <w:sz w:val="21"/>
        </w:rPr>
        <w:t>Cobrir, no mínimo, os regimes/cenários que o cliente-alvo realmente usará.</w:t>
      </w:r>
    </w:p>
    <w:p>
      <w:pPr>
        <w:spacing w:after="40"/>
      </w:pPr>
      <w:r>
        <w:rPr>
          <w:rFonts w:ascii="Aptos" w:hAnsi="Aptos"/>
          <w:b/>
          <w:color w:val="1F4E79"/>
          <w:sz w:val="21"/>
        </w:rPr>
        <w:t xml:space="preserve">12. Liberar produção - </w:t>
      </w:r>
      <w:r>
        <w:rPr>
          <w:rFonts w:ascii="Aptos" w:hAnsi="Aptos"/>
          <w:sz w:val="21"/>
        </w:rPr>
        <w:t>Somente depois de todas as evidências conferidas, habilitar o uso produtivo e registrar formalmente a versão homologada.</w:t>
      </w:r>
    </w:p>
    <w:p>
      <w:r>
        <w:br w:type="page"/>
      </w:r>
    </w:p>
    <w:p>
      <w:pPr>
        <w:pStyle w:val="Heading1"/>
      </w:pPr>
      <w:r>
        <w:t>6. Checklist mestre de homologação</w:t>
      </w:r>
    </w:p>
    <w:p>
      <w:r>
        <w:t>Marque como CONCLUÍDO apenas quando houver uma evidência verificável. Para os itens fiscais abaixo, a evidência preferencial é o retorno real da SEF/MG e os arquivos/documentos produzidos pelo SystemPro.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47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#</w:t>
            </w:r>
          </w:p>
        </w:tc>
        <w:tc>
          <w:tcPr>
            <w:tcW w:type="dxa" w:w="367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2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92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Evidência / observação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01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Arquitetura da tela Fiscal/NFC-e unificada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Tela única criada e componentes antigos removidos.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02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Cadastro da empresa proprietária no padrão dos módulos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Campos formatados, máscaras e validações alinhadas ao padrão de Clientes/Fornecedores.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03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Empresa inexistente tratada como estado de cadastro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404 de ausência não deixa loading infinito; formulário aparece.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04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Salvar e recarregar empresa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Validado no desenvolvimento; repetir após deploy final para evidência de homologação.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05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Configurar estabelecimento emissor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Tela e contrato de configuração implementados.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06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Ambiente HOMOLOGAÇÃO configurado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PENDENTE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Depende de dados reais do ambiente de homologação.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07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Certificado A1 válido instalado/testado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PENDENTE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Validação local do A1 concluída; ainda falta certificado real do emissor e comunicação TLS real.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08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CSC e ID CSC válidos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N/A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Substituído no fluxo online pelo QR Code v3; CSC/ID CSC não é requisito desse fluxo.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09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Teste NFeStatusServico4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PENDENTE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Exige certificado/credenciais reais e execução contra a SEF/MG.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XML da NFC-e validado contra schema vigente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Validação XSD implementada e testada com a NFC-e assinada contra o PL_010f; regressão integral aprovada.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Assinatura digital do XML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XMLDSig implementada e validada localmente; falta prova com A1 real.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Envio NFeAutorizacao4 em homologação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BLOQUEADO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Exige A1/CNPJ/credenciamento reais para NFeAutorizacao4 em homologação.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NFC-e AUTORIZADA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BLOQUEADO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Exige autorização efetiva de uma NFC-e pela SEF/MG em homologação.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Persistência da chave/protocolo/XML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Integração PostgreSQL confirmou status, chave, XML, resposta, protocolo e issuedAt após commit.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 posterior NFeConsultaProtocolo4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testada: autorizada, rejeitada, inconclusiva e falha local; sem retransmissão indevida.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DANFE NFC-e gerado corretamente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DANFE NFC-e 80 mm implementado e testado. A NT 2026.010 foi revisada e considerada não aplicável ao DANFE NFC-e modelo 65.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17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QR Code válido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QR Code NFC-e v3 online implementado/testado e integrado ao XML antes de XSD/assinatura.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18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Cancelamento via NFeRecepcaoEvento4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Cancelamento e estados de comunicação testados; falta evento real em homologação.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19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Rejeição por certificado/credencial inválida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A1: válido, expirado, ainda não válido, senha/PKCS#12 e chave/certificado testados.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Rejeição por CSC/ID inválidos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N/A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Rejeição por CSC não se aplica ao fluxo QR Code v3 online adotado.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21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Rejeição por dados fiscais do produto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Validações fiscais do produto e integração RTC/IBS/CBS testadas; rejeições não persistem venda nem consomem numeração indevidamente.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Teste de numeração/série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Concorrência PostgreSQL, lock, rollback, série e UNIQUE validados.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23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Teste de indisponibilidade/timeout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Falha local separada de resultado indeterminado; timeout/comunicação com estado consistente.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24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Revisão das NTs vigentes de 2026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Revisão RTC/NTs 2026 concluída no limite aplicável atual; manter monitoramento da NT 2026.008 e de novo pacote XSD.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24.1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CRT/regime tributário do emitente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CRT/regime explicitamente modelado; comportamento por regime e uso de CSOSN validados.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24.2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Modelo fiscal IBS/CBS por produto/operação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Modelo de cálculo IBS/CBS separado da classificação fiscal, com snapshot calculado por operação e testes automatizados.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24.3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CST IBS/CBS + cClassTrib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CST IBS/CBS e cClassTrib validados contra catálogo dinâmico oficial importado da IT 2025.002 v1.70; 173 registros carregados.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24.4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Serialização IBSCBS no XML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Snapshot RTC persistido no SaleItem e grupo IBSCBS serializado a partir do snapshot, sem redescoberta de regra no gateway.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24.5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Totalização IBSCBSTot / totais RTC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IBSCBSTot implementado e testado; totalização considera apenas itens com snapshot RTC e preserva itens não RTC.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24.6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NT 2025.002 v1.52 / schemas e regras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NFC-e completa e assinada validada contra o PL_010f, incluindo XMLDSig/X509Data, IBSCBS, IBSCBSTot, múltiplos itens e desconto.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24.7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DANFE conforme NT 2026.010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N/A NFC-e 65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NT 2026.010 revisada: não aplicar o leiaute de DANFE NF-e modelo 55 ao DANFE NFC-e modelo 65.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24.8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NT 2026.007 / NT 2026.008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 / MONITORAR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NT 2026.007/008 revisadas. Sem alteração insegura no XML atual; campos/regras futuros da NT 2026.008 aguardam pacote XSD compatível e implantação aplicável.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24.9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Regressão fiscal completa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Regressão fiscal final aprovada. Corrigido alinhamento Hibernate/PostgreSQL do catálogo IBS/CBS e atualizadas fixtures do NfceSchemaValidator.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25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Alinhamento do perfil fiscal do produto no frontend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Frontend alinhado ao perfil fiscal utilizado pelo backend, preservando as validações fiscais já consolidadas.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26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Ajustes operacionais da tela de vendas/PDV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Fluxo de venda revisado para quantidade, valores, loading e comportamento operacional antes da emissão fiscal.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27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Persistência da venda desacoplada da emissão NFC-e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CONCLUÍDO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 /sales persiste venda e documento fiscal em AGUARDANDO_AUTORIZACAO; POST /sales/{id}/issue executa a emissão separadamente. Venda permanece registrada quando A1 não está disponível.</w:t>
            </w:r>
          </w:p>
        </w:tc>
      </w:tr>
      <w:tr>
        <w:tc>
          <w:tcPr>
            <w:tcW w:type="dxa" w:w="547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Contingência offline segura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CONCLUÍDO LOCALMENTE</w:t>
            </w:r>
          </w:p>
        </w:tc>
        <w:tc>
          <w:tcPr>
            <w:tcW w:type="dxa" w:w="4925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r>
              <w:t>Contingência explícita implementada: tpEmis=9, dhCont/xJust, QR Code v3 offline, DANFE, persistência e transmissão posterior do mesmo XML/chave. Resultado incerto pós-transmissão continua em PENDENTE_CONSULTA, sem retransmissão cega.</w:t>
            </w:r>
          </w:p>
        </w:tc>
      </w:tr>
      <w:tr>
        <w:tc>
          <w:tcPr>
            <w:tcW w:type="dxa" w:w="2592"/>
          </w:tcPr>
          <w:p>
            <w:r>
              <w:t>29</w:t>
            </w:r>
          </w:p>
        </w:tc>
        <w:tc>
          <w:tcPr>
            <w:tcW w:type="dxa" w:w="2592"/>
          </w:tcPr>
          <w:p>
            <w:r>
              <w:t>Operação de contingência no frontend/PDV</w:t>
            </w:r>
          </w:p>
        </w:tc>
        <w:tc>
          <w:tcPr>
            <w:tcW w:type="dxa" w:w="2592"/>
          </w:tcPr>
          <w:p>
            <w:r>
              <w:t>CONCLUÍDO</w:t>
            </w:r>
          </w:p>
        </w:tc>
        <w:tc>
          <w:tcPr>
            <w:tcW w:type="dxa" w:w="2592"/>
          </w:tcPr>
          <w:p>
            <w:r>
              <w:t>Ações fiscais centralizadas no frontend; contingência é explícita e nunca acionada automaticamente como fallback. Regressão frontend aprovada.</w:t>
            </w:r>
          </w:p>
        </w:tc>
      </w:tr>
      <w:tr>
        <w:tc>
          <w:tcPr>
            <w:tcW w:type="dxa" w:w="2592"/>
          </w:tcPr>
          <w:p>
            <w:r>
              <w:t>30</w:t>
            </w:r>
          </w:p>
        </w:tc>
        <w:tc>
          <w:tcPr>
            <w:tcW w:type="dxa" w:w="2592"/>
          </w:tcPr>
          <w:p>
            <w:r>
              <w:t>Fila persistente de pendências fiscais</w:t>
            </w:r>
          </w:p>
        </w:tc>
        <w:tc>
          <w:tcPr>
            <w:tcW w:type="dxa" w:w="2592"/>
          </w:tcPr>
          <w:p>
            <w:r>
              <w:t>CONCLUÍDO</w:t>
            </w:r>
          </w:p>
        </w:tc>
        <w:tc>
          <w:tcPr>
            <w:tcW w:type="dxa" w:w="2592"/>
          </w:tcPr>
          <w:p>
            <w:r>
              <w:t>Endpoint paginado consulta no banco AGUARDANDO_AUTORIZACAO, PENDENTE_CONSULTA, CONTINGENCIA e CANCELAMENTO_PENDENTE; PDV exibe a fila independentemente das vendas recentes.</w:t>
            </w:r>
          </w:p>
        </w:tc>
      </w:tr>
      <w:tr>
        <w:tc>
          <w:tcPr>
            <w:tcW w:type="dxa" w:w="2592"/>
          </w:tcPr>
          <w:p>
            <w:r>
              <w:t>31</w:t>
            </w:r>
          </w:p>
        </w:tc>
        <w:tc>
          <w:tcPr>
            <w:tcW w:type="dxa" w:w="2592"/>
          </w:tcPr>
          <w:p>
            <w:r>
              <w:t>Recuperação de CANCELAMENTO_PENDENTE</w:t>
            </w:r>
          </w:p>
        </w:tc>
        <w:tc>
          <w:tcPr>
            <w:tcW w:type="dxa" w:w="2592"/>
          </w:tcPr>
          <w:p>
            <w:r>
              <w:t>CONCLUÍDO LOCALMENTE</w:t>
            </w:r>
          </w:p>
        </w:tc>
        <w:tc>
          <w:tcPr>
            <w:tcW w:type="dxa" w:w="2592"/>
          </w:tcPr>
          <w:p>
            <w:r>
              <w:t>Consulta dedicada de cancelamento implementada sem retransmitir cegamente o evento. Frontend usa ação específica "Consultar cancelamento". Testes backend/frontend aprovados.</w:t>
            </w:r>
          </w:p>
        </w:tc>
      </w:tr>
      <w:tr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Auditoria e regressão da máquina de estados fiscal</w:t>
            </w:r>
          </w:p>
        </w:tc>
        <w:tc>
          <w:tcPr>
            <w:tcW w:type="dxa" w:w="2592"/>
          </w:tcPr>
          <w:p>
            <w:r>
              <w:t>CONCLUÍDO</w:t>
            </w:r>
          </w:p>
        </w:tc>
        <w:tc>
          <w:tcPr>
            <w:tcW w:type="dxa" w:w="2592"/>
          </w:tcPr>
          <w:p>
            <w:r>
              <w:t>Backend passou a impor as mesmas invariantes do frontend. Emissão/consulta inválidas são bloqueadas antes do gateway SEFAZ; regressão matricial backend/frontend e builds foram aprovados.</w:t>
            </w:r>
          </w:p>
        </w:tc>
      </w:tr>
      <w:tr>
        <w:tc>
          <w:tcPr>
            <w:tcW w:type="dxa" w:w="2592"/>
          </w:tcPr>
          <w:p>
            <w:r>
              <w:t>33</w:t>
            </w:r>
          </w:p>
        </w:tc>
        <w:tc>
          <w:tcPr>
            <w:tcW w:type="dxa" w:w="2592"/>
          </w:tcPr>
          <w:p>
            <w:r>
              <w:t>Teste com os cenários reais do cliente</w:t>
            </w:r>
          </w:p>
        </w:tc>
        <w:tc>
          <w:tcPr>
            <w:tcW w:type="dxa" w:w="2592"/>
          </w:tcPr>
          <w:p>
            <w:r>
              <w:t>PENDENTE</w:t>
            </w:r>
          </w:p>
        </w:tc>
        <w:tc>
          <w:tcPr>
            <w:tcW w:type="dxa" w:w="2592"/>
          </w:tcPr>
          <w:p>
            <w:r>
              <w:t>Depende dos cenários reais do cliente, CNPJ/IE/credenciamento, certificado A1 e homologação externa na SEF/MG.</w:t>
            </w:r>
          </w:p>
        </w:tc>
      </w:tr>
      <w:tr>
        <w:tc>
          <w:tcPr>
            <w:tcW w:type="dxa" w:w="2592"/>
          </w:tcPr>
          <w:p>
            <w:r>
              <w:t>34</w:t>
            </w:r>
          </w:p>
        </w:tc>
        <w:tc>
          <w:tcPr>
            <w:tcW w:type="dxa" w:w="2592"/>
          </w:tcPr>
          <w:p>
            <w:r>
              <w:t>Evidências reais de homologação arquivadas</w:t>
            </w:r>
          </w:p>
        </w:tc>
        <w:tc>
          <w:tcPr>
            <w:tcW w:type="dxa" w:w="2592"/>
          </w:tcPr>
          <w:p>
            <w:r>
              <w:t>PENDENTE</w:t>
            </w:r>
          </w:p>
        </w:tc>
        <w:tc>
          <w:tcPr>
            <w:tcW w:type="dxa" w:w="2592"/>
          </w:tcPr>
          <w:p>
            <w:r>
              <w:t>Arquivar evidências reais após homologação externa: status, autorização, consulta, cancelamento, DANFE/QR Code e logs de auditoria sem segredos.</w:t>
            </w:r>
          </w:p>
        </w:tc>
      </w:tr>
      <w:tr>
        <w:tc>
          <w:tcPr>
            <w:tcW w:type="dxa" w:w="2592"/>
          </w:tcPr>
          <w:p>
            <w:r>
              <w:t>35</w:t>
            </w:r>
          </w:p>
        </w:tc>
        <w:tc>
          <w:tcPr>
            <w:tcW w:type="dxa" w:w="2592"/>
          </w:tcPr>
          <w:p>
            <w:r>
              <w:t>Aprovação final para produção</w:t>
            </w:r>
          </w:p>
        </w:tc>
        <w:tc>
          <w:tcPr>
            <w:tcW w:type="dxa" w:w="2592"/>
          </w:tcPr>
          <w:p>
            <w:r>
              <w:t>PENDENTE</w:t>
            </w:r>
          </w:p>
        </w:tc>
        <w:tc>
          <w:tcPr>
            <w:tcW w:type="dxa" w:w="2592"/>
          </w:tcPr>
          <w:p>
            <w:r>
              <w:t>Somente após homologação externa, evidências reais e revisão das mudanças fiscais efetivamente implantadas/aplicáveis.</w:t>
            </w:r>
          </w:p>
        </w:tc>
      </w:tr>
      <w:tr>
        <w:tc>
          <w:tcPr>
            <w:tcW w:type="dxa" w:w="2592"/>
          </w:tcPr>
          <w:p>
            <w:r>
              <w:t>36</w:t>
            </w:r>
          </w:p>
        </w:tc>
        <w:tc>
          <w:tcPr>
            <w:tcW w:type="dxa" w:w="2592"/>
          </w:tcPr>
          <w:p>
            <w:r>
              <w:t>Habilitação de produção</w:t>
            </w:r>
          </w:p>
        </w:tc>
        <w:tc>
          <w:tcPr>
            <w:tcW w:type="dxa" w:w="2592"/>
          </w:tcPr>
          <w:p>
            <w:r>
              <w:t>PENDENTE</w:t>
            </w:r>
          </w:p>
        </w:tc>
        <w:tc>
          <w:tcPr>
            <w:tcW w:type="dxa" w:w="2592"/>
          </w:tcPr>
          <w:p>
            <w:r>
              <w:t>Produção permanece bloqueada até GO formal.</w:t>
            </w:r>
          </w:p>
        </w:tc>
      </w:tr>
    </w:tbl>
    <w:p>
      <w:pPr>
        <w:pStyle w:val="Heading2"/>
      </w:pPr>
      <w:r>
        <w:t>6.1. Estado técnico consolidado em 08/10/2026</w:t>
      </w:r>
    </w:p>
    <w:p>
      <w:r>
        <w:t>As etapas marcadas como CONCLUÍDO ou CONCLUÍDO LOCALMENTE comprovam o comportamento técnico coberto por testes automatizados, mas não substituem a homologação fiscal real. A revisão local da Etapa 24 (RTC/NTs 2026) foi concluída no limite atualmente aplicável ao SystemPro. As Etapas 25 a 32 também foram concluídas tecnicamente: alinhamento fiscal do produto/PDV, desacoplamento entre venda e emissão, contingência offline segura, fila persistente de pendências, recuperação de cancelamento pendente e endurecimento/regressão da máquina de estados fiscal. As Etapas 12 e 13 continuam bloqueadas até existirem CNPJ/IE/credenciamento e certificado A1 reais. As Etapas 33 a 36 concentram a homologação externa, evidências e GO produtivo. A produção continua bloqueada até essa validação e deve haver nova revisão quando o pacote XSD compatível com as alterações futuras da NT 2026.008 estiver disponível/aplicável.</w:t>
      </w:r>
    </w:p>
    <w:p>
      <w:pPr/>
      <w:r>
        <w:t>Marco técnico após a Etapa 32: a máquina de estados fiscal está protegida em duas camadas. O frontend só oferece ações compatíveis com o estado atual, enquanto o backend valida as invariantes antes de alcançar o gateway SEFAZ. PENDENTE_CONSULTA, CONTINGENCIA e CANCELAMENTO_PENDENTE possuem caminhos operacionais distintos, evitando retransmissões indevidas. Este marco é técnico/local e não altera o NO-GO de produção sem homologação real.</w:t>
      </w:r>
    </w:p>
    <w:p>
      <w:pPr>
        <w:pStyle w:val="Heading1"/>
      </w:pPr>
      <w:r>
        <w:t>7. Pacote de evidências a guardar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Identificação da versão do SystemPro homologada (commit/tag/build).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Configuração fiscal utilizada no ambiente de homologação, sem registrar segredos em documentos ou capturas de tela.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Retorno do NFeStatusServico4.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XML enviado e XML autorizado, quando aplicável.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Chave de acesso e protocolo de autorização.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Retorno da consulta posterior.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XML/evento e protocolo de cancelamento.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Arquivo/representação do DANFE e evidência de leitura do QR Code.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Logs essenciais de auditoria, sem expor senha de certificado, CSC ou outras credenciais secretas.</w:t>
      </w:r>
    </w:p>
    <w:p>
      <w:pPr>
        <w:pStyle w:val="Heading1"/>
      </w:pPr>
      <w:r>
        <w:t>8. Pontos regulatórios que exigem atenção em outubro de 2026</w:t>
      </w:r>
    </w:p>
    <w:p>
      <w:r>
        <w:t>A SEF/MG mantém os Web Services de NFC-e separados por ambiente. Para homologação, o serviço de status é disponibilizado em hnfce.fazenda.mg.gov.br e os demais serviços NFC-e usam o mesmo domínio de homologação.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Serviço</w:t>
            </w:r>
          </w:p>
        </w:tc>
        <w:tc>
          <w:tcPr>
            <w:tcW w:type="dxa" w:w="50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Homologação MG</w:t>
            </w:r>
          </w:p>
        </w:tc>
        <w:tc>
          <w:tcPr>
            <w:tcW w:type="dxa" w:w="38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Uso no teste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https://hnfce.fazenda.mg.gov.br/nfce/services/NFeStatusServico4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Disponibilidade/comunicação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Autorização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https://hnfce.fazenda.mg.gov.br/nfce/services/NFeAutorizacao4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Emissão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https://hnfce.fazenda.mg.gov.br/nfce/services/NFeConsultaProtocolo4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 posterior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Evento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https://hnfce.fazenda.mg.gov.br/nfce/services/NFeRecepcaoEvento4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Cancelamento/eventos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Portal/consulta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https://hportalsped.fazenda.mg.gov.br/portalnfce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 do documento/QR Code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Atualização de 08/10/2026</w:t>
              <w:br/>
              <w:t>A revisão técnica local da RTC foi concluída com a suíte fiscal completa aprovada. A implantação informada para NT 2025.002 v1.52, NT 2026.007 v1.10 e NT 2026.008 v1.00 permanece prevista para 26/10/2026 em homologação e 16/11/2026 em produção. O SystemPro deve ser revisitado quando o pacote XSD compatível com as alterações futuras da NT 2026.008 estiver disponível/aplicável e, obrigatoriamente, antes do GO produtivo. Esta conclusão local não substitui testes reais com CNPJ/IE/credenciamento e certificado A1.</w:t>
            </w:r>
          </w:p>
        </w:tc>
      </w:tr>
    </w:tbl>
    <w:p>
      <w:pPr>
        <w:spacing w:before="140"/>
      </w:pPr>
      <w:r>
        <w:rPr>
          <w:rFonts w:ascii="Aptos" w:hAnsi="Aptos"/>
          <w:b/>
          <w:color w:val="1F4E79"/>
          <w:sz w:val="21"/>
        </w:rPr>
        <w:t>Reforma Tributária do Consumo (RTC): a revisão local do SystemPro cobriu CRT/regime, modelo de cálculo IBS/CBS, catálogo dinâmico cClassTrib, snapshot fiscal, serialização IBSCBS/IBSCBSTot e validação integral contra o PL_010f. A NT 2026.010 foi classificada como não aplicável ao DANFE NFC-e modelo 65. Para a NT 2026.008, permanecem sob monitoramento os campos/regras futuros que dependem de pacote XSD compatível e de sua implantação oficial.</w:t>
      </w:r>
      <w:r>
        <w:rPr>
          <w:rFonts w:ascii="Aptos" w:hAnsi="Aptos"/>
          <w:sz w:val="21"/>
        </w:rPr>
      </w:r>
    </w:p>
    <w:p>
      <w:pPr>
        <w:pStyle w:val="Heading1"/>
      </w:pPr>
      <w:r>
        <w:t>9. Critério GO / NO-GO para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835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Critério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GO - Entrega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Status SEFAZ testado; NFC-e de homologação autorizada; consulta posterior validada; cancelamento validado; DANFE/QR Code conferidos; rejeições críticas testadas; requisitos fiscais do cliente cobertos; evidências arquivadas.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NO-GO - Não entregar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shd w:fill="F5F8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Somente configuração salva, teste de status não realizado, nenhuma NFC-e autorizada em homologação, XML/assinatura não validados, QR Code não testado, ou existência de requisito fiscal do cliente ainda sem cobertura.</w:t>
            </w:r>
          </w:p>
        </w:tc>
      </w:tr>
    </w:tbl>
    <w:p>
      <w:pPr>
        <w:pStyle w:val="Heading1"/>
      </w:pPr>
      <w:r>
        <w:t>10. Fontes oficiais para consulta</w:t>
      </w:r>
    </w:p>
    <w:p>
      <w:pPr>
        <w:pStyle w:val="ListBullet"/>
        <w:spacing w:after="40"/>
      </w:pPr>
      <w:r>
        <w:rPr>
          <w:rFonts w:ascii="Aptos" w:hAnsi="Aptos"/>
          <w:b/>
          <w:color w:val="1F4E79"/>
          <w:sz w:val="19"/>
        </w:rPr>
        <w:t xml:space="preserve">SEF/MG - Web Services NFC-e: </w:t>
      </w:r>
      <w:r>
        <w:rPr>
          <w:rFonts w:ascii="Aptos" w:hAnsi="Aptos"/>
          <w:color w:val="0563C1"/>
          <w:sz w:val="18"/>
        </w:rPr>
        <w:t>https://portalsped.fazenda.mg.gov.br/spedmg/nfce/web-services/</w:t>
      </w:r>
    </w:p>
    <w:p>
      <w:pPr>
        <w:pStyle w:val="ListBullet"/>
        <w:spacing w:after="40"/>
      </w:pPr>
      <w:r>
        <w:rPr>
          <w:rFonts w:ascii="Aptos" w:hAnsi="Aptos"/>
          <w:b/>
          <w:color w:val="1F4E79"/>
          <w:sz w:val="19"/>
        </w:rPr>
        <w:t xml:space="preserve">SEF/MG - Credenciamento NFC-e: </w:t>
      </w:r>
      <w:r>
        <w:rPr>
          <w:rFonts w:ascii="Aptos" w:hAnsi="Aptos"/>
          <w:color w:val="0563C1"/>
          <w:sz w:val="18"/>
        </w:rPr>
        <w:t>https://portalsped.fazenda.mg.gov.br/spedmg/nfce/credenciamento/</w:t>
      </w:r>
    </w:p>
    <w:p>
      <w:pPr>
        <w:pStyle w:val="ListBullet"/>
        <w:spacing w:after="40"/>
      </w:pPr>
      <w:r>
        <w:rPr>
          <w:rFonts w:ascii="Aptos" w:hAnsi="Aptos"/>
          <w:b/>
          <w:color w:val="1F4E79"/>
          <w:sz w:val="19"/>
        </w:rPr>
        <w:t xml:space="preserve">SEF/MG - Perguntas frequentes NFC-e: </w:t>
      </w:r>
      <w:r>
        <w:rPr>
          <w:rFonts w:ascii="Aptos" w:hAnsi="Aptos"/>
          <w:color w:val="0563C1"/>
          <w:sz w:val="18"/>
        </w:rPr>
        <w:t>https://portalsped.fazenda.mg.gov.br/spedmg/nfce/Perguntas-Frequentes/respostas_i/index.html</w:t>
      </w:r>
    </w:p>
    <w:p>
      <w:pPr>
        <w:pStyle w:val="ListBullet"/>
        <w:spacing w:after="40"/>
      </w:pPr>
      <w:r>
        <w:rPr>
          <w:rFonts w:ascii="Aptos" w:hAnsi="Aptos"/>
          <w:b/>
          <w:color w:val="1F4E79"/>
          <w:sz w:val="19"/>
        </w:rPr>
        <w:t xml:space="preserve">Portal Nacional NF-e - Documentos vigentes: </w:t>
      </w:r>
      <w:r>
        <w:rPr>
          <w:rFonts w:ascii="Aptos" w:hAnsi="Aptos"/>
          <w:color w:val="0563C1"/>
          <w:sz w:val="18"/>
        </w:rPr>
        <w:t>https://www.nfe.fazenda.gov.br/portal/listaConteudo.aspx?tipoConteudo=6WfrpZYE4Ik%3D</w:t>
      </w:r>
    </w:p>
    <w:p>
      <w:pPr>
        <w:spacing w:before="200"/>
        <w:jc w:val="center"/>
      </w:pPr>
      <w:r>
        <w:rPr>
          <w:rFonts w:ascii="Aptos" w:hAnsi="Aptos"/>
          <w:color w:val="6B7280"/>
          <w:sz w:val="17"/>
        </w:rPr>
        <w:t>Documento preparado para controle interno de desenvolvimento, homologação e pré-entrega do SystemPro.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Uso interno de desenvolvimento e homologação | Data: 08/10/2026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7"/>
      </w:rPr>
      <w:t>SystemPro | Documentação de Homologação NFC-e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SystemPro - Documentação e Checklist de Homologação NFC-e - Atualizado até Etapa 32</dc:title>
  <dc:subject>Estado técnico consolidado do emissor NFC-e e checklist de homologação</dc:subject>
  <dc:creator>SystemPro</dc:creator>
  <cp:keywords>SystemPro, NFC-e, SEFAZ/MG, homologação,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