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1438"/>
        <w:gridCol w:w="801"/>
        <w:gridCol w:w="802"/>
        <w:gridCol w:w="816"/>
        <w:gridCol w:w="896"/>
        <w:gridCol w:w="793"/>
        <w:gridCol w:w="790"/>
        <w:gridCol w:w="1030"/>
        <w:gridCol w:w="950"/>
        <w:gridCol w:w="1039"/>
      </w:tblGrid>
      <w:tr w:rsidR="00581455" w:rsidRPr="00581455" w:rsidTr="00581455">
        <w:trPr>
          <w:trHeight w:val="312"/>
        </w:trPr>
        <w:tc>
          <w:tcPr>
            <w:tcW w:w="795" w:type="pct"/>
            <w:tcBorders>
              <w:top w:val="single" w:sz="4" w:space="0" w:color="auto"/>
              <w:left w:val="nil"/>
              <w:bottom w:val="single" w:sz="48" w:space="0" w:color="FFFFFF"/>
              <w:right w:val="single" w:sz="48" w:space="0" w:color="FFFFFF" w:themeColor="background1"/>
            </w:tcBorders>
            <w:shd w:val="clear" w:color="auto" w:fill="auto"/>
            <w:noWrap/>
            <w:vAlign w:val="bottom"/>
            <w:hideMark/>
          </w:tcPr>
          <w:p w:rsidR="00FA1818" w:rsidRPr="00FA1818" w:rsidRDefault="00FA1818" w:rsidP="00FA1818">
            <w:pPr>
              <w:spacing w:after="0" w:line="240" w:lineRule="auto"/>
              <w:jc w:val="left"/>
              <w:rPr>
                <w:rFonts w:eastAsia="Times New Roman" w:cs="Times New Roman"/>
                <w:color w:val="000000"/>
                <w:sz w:val="16"/>
                <w:szCs w:val="16"/>
              </w:rPr>
            </w:pPr>
            <w:r w:rsidRPr="00FA1818">
              <w:rPr>
                <w:rFonts w:eastAsia="Times New Roman" w:cs="Times New Roman"/>
                <w:color w:val="000000"/>
                <w:sz w:val="16"/>
                <w:szCs w:val="16"/>
              </w:rPr>
              <w:t>Algorithm</w:t>
            </w:r>
          </w:p>
        </w:tc>
        <w:tc>
          <w:tcPr>
            <w:tcW w:w="1834" w:type="pct"/>
            <w:gridSpan w:val="4"/>
            <w:tcBorders>
              <w:top w:val="single" w:sz="4" w:space="0" w:color="auto"/>
              <w:left w:val="single" w:sz="48" w:space="0" w:color="FFFFFF" w:themeColor="background1"/>
              <w:bottom w:val="single" w:sz="4" w:space="0" w:color="auto"/>
              <w:right w:val="single" w:sz="48" w:space="0" w:color="FFFFFF" w:themeColor="background1"/>
            </w:tcBorders>
            <w:shd w:val="clear" w:color="auto" w:fill="auto"/>
            <w:noWrap/>
            <w:vAlign w:val="bottom"/>
            <w:hideMark/>
          </w:tcPr>
          <w:p w:rsidR="00FA1818" w:rsidRPr="00FA1818" w:rsidRDefault="00FA1818" w:rsidP="00FA1818">
            <w:pPr>
              <w:spacing w:after="0" w:line="240" w:lineRule="auto"/>
              <w:jc w:val="center"/>
              <w:rPr>
                <w:rFonts w:eastAsia="Times New Roman" w:cs="Times New Roman"/>
                <w:color w:val="000000"/>
                <w:sz w:val="16"/>
                <w:szCs w:val="16"/>
              </w:rPr>
            </w:pPr>
            <w:r w:rsidRPr="00FA1818">
              <w:rPr>
                <w:rFonts w:eastAsia="Times New Roman" w:cs="Times New Roman"/>
                <w:color w:val="000000"/>
                <w:sz w:val="16"/>
                <w:szCs w:val="16"/>
              </w:rPr>
              <w:t>Optimal values for variables</w:t>
            </w:r>
          </w:p>
        </w:tc>
        <w:tc>
          <w:tcPr>
            <w:tcW w:w="1792" w:type="pct"/>
            <w:gridSpan w:val="4"/>
            <w:tcBorders>
              <w:top w:val="single" w:sz="4" w:space="0" w:color="auto"/>
              <w:left w:val="single" w:sz="48" w:space="0" w:color="FFFFFF" w:themeColor="background1"/>
              <w:bottom w:val="single" w:sz="4" w:space="0" w:color="auto"/>
              <w:right w:val="single" w:sz="48" w:space="0" w:color="FFFFFF" w:themeColor="background1"/>
            </w:tcBorders>
            <w:shd w:val="clear" w:color="auto" w:fill="auto"/>
            <w:noWrap/>
            <w:vAlign w:val="bottom"/>
            <w:hideMark/>
          </w:tcPr>
          <w:p w:rsidR="00FA1818" w:rsidRPr="00FA1818" w:rsidRDefault="00FA1818" w:rsidP="00FA1818">
            <w:pPr>
              <w:spacing w:after="0" w:line="240" w:lineRule="auto"/>
              <w:jc w:val="center"/>
              <w:rPr>
                <w:rFonts w:eastAsia="Times New Roman" w:cs="Times New Roman"/>
                <w:color w:val="000000"/>
                <w:sz w:val="16"/>
                <w:szCs w:val="16"/>
              </w:rPr>
            </w:pPr>
            <w:r w:rsidRPr="00FA1818">
              <w:rPr>
                <w:rFonts w:eastAsia="Times New Roman" w:cs="Times New Roman"/>
                <w:color w:val="000000"/>
                <w:sz w:val="16"/>
                <w:szCs w:val="16"/>
              </w:rPr>
              <w:t>Best Subjects</w:t>
            </w:r>
          </w:p>
        </w:tc>
        <w:tc>
          <w:tcPr>
            <w:tcW w:w="579" w:type="pct"/>
            <w:tcBorders>
              <w:top w:val="single" w:sz="4" w:space="0" w:color="auto"/>
              <w:left w:val="single" w:sz="48" w:space="0" w:color="FFFFFF" w:themeColor="background1"/>
              <w:bottom w:val="single" w:sz="4" w:space="0" w:color="auto"/>
              <w:right w:val="nil"/>
            </w:tcBorders>
            <w:shd w:val="clear" w:color="auto" w:fill="auto"/>
            <w:noWrap/>
            <w:vAlign w:val="bottom"/>
            <w:hideMark/>
          </w:tcPr>
          <w:p w:rsidR="00FA1818" w:rsidRPr="00FA1818" w:rsidRDefault="00FA1818" w:rsidP="00FA1818">
            <w:pPr>
              <w:spacing w:after="0" w:line="240" w:lineRule="auto"/>
              <w:jc w:val="left"/>
              <w:rPr>
                <w:rFonts w:eastAsia="Times New Roman" w:cs="Times New Roman"/>
                <w:color w:val="000000"/>
                <w:sz w:val="16"/>
                <w:szCs w:val="16"/>
              </w:rPr>
            </w:pPr>
            <w:r w:rsidRPr="00FA1818">
              <w:rPr>
                <w:rFonts w:eastAsia="Times New Roman" w:cs="Times New Roman"/>
                <w:color w:val="000000"/>
                <w:sz w:val="16"/>
                <w:szCs w:val="16"/>
              </w:rPr>
              <w:t>Optimal cost</w:t>
            </w:r>
          </w:p>
        </w:tc>
      </w:tr>
      <w:tr w:rsidR="00581455" w:rsidRPr="00581455" w:rsidTr="00581455">
        <w:trPr>
          <w:trHeight w:val="300"/>
        </w:trPr>
        <w:tc>
          <w:tcPr>
            <w:tcW w:w="795" w:type="pct"/>
            <w:tcBorders>
              <w:top w:val="single" w:sz="48" w:space="0" w:color="FFFFFF"/>
              <w:left w:val="nil"/>
              <w:bottom w:val="single" w:sz="4" w:space="0" w:color="auto"/>
              <w:right w:val="single" w:sz="48" w:space="0" w:color="FFFFFF" w:themeColor="background1"/>
            </w:tcBorders>
            <w:shd w:val="clear" w:color="auto" w:fill="auto"/>
            <w:noWrap/>
            <w:vAlign w:val="bottom"/>
            <w:hideMark/>
          </w:tcPr>
          <w:p w:rsidR="00FA1818" w:rsidRPr="00FA1818" w:rsidRDefault="00FA1818" w:rsidP="00FA1818">
            <w:pPr>
              <w:spacing w:after="0" w:line="240" w:lineRule="auto"/>
              <w:jc w:val="left"/>
              <w:rPr>
                <w:rFonts w:eastAsia="Times New Roman" w:cs="Times New Roman"/>
                <w:color w:val="000000"/>
                <w:sz w:val="16"/>
                <w:szCs w:val="16"/>
              </w:rPr>
            </w:pPr>
          </w:p>
        </w:tc>
        <w:tc>
          <w:tcPr>
            <w:tcW w:w="458" w:type="pct"/>
            <w:tcBorders>
              <w:top w:val="single" w:sz="4" w:space="0" w:color="auto"/>
              <w:left w:val="single" w:sz="48" w:space="0" w:color="FFFFFF" w:themeColor="background1"/>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x</m:t>
                    </m:r>
                  </m:e>
                  <m:sub>
                    <m:r>
                      <w:rPr>
                        <w:rFonts w:ascii="Cambria Math" w:eastAsia="Times New Roman" w:hAnsi="Cambria Math" w:cs="Times New Roman"/>
                        <w:color w:val="000000"/>
                        <w:sz w:val="16"/>
                        <w:szCs w:val="16"/>
                      </w:rPr>
                      <m:t>1</m:t>
                    </m:r>
                  </m:sub>
                </m:sSub>
                <m:r>
                  <w:rPr>
                    <w:rFonts w:ascii="Cambria Math" w:eastAsia="Times New Roman" w:hAnsi="Cambria Math" w:cs="Times New Roman"/>
                    <w:color w:val="000000"/>
                    <w:sz w:val="16"/>
                    <w:szCs w:val="16"/>
                  </w:rPr>
                  <m:t>(</m:t>
                </m:r>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T</m:t>
                    </m:r>
                  </m:e>
                  <m:sub>
                    <m:r>
                      <w:rPr>
                        <w:rFonts w:ascii="Cambria Math" w:eastAsia="Times New Roman" w:hAnsi="Cambria Math" w:cs="Times New Roman"/>
                        <w:color w:val="000000"/>
                        <w:sz w:val="16"/>
                        <w:szCs w:val="16"/>
                      </w:rPr>
                      <m:t>s</m:t>
                    </m:r>
                  </m:sub>
                </m:sSub>
                <m:r>
                  <w:rPr>
                    <w:rFonts w:ascii="Cambria Math" w:eastAsia="Times New Roman" w:hAnsi="Cambria Math" w:cs="Times New Roman"/>
                    <w:color w:val="000000"/>
                    <w:sz w:val="16"/>
                    <w:szCs w:val="16"/>
                  </w:rPr>
                  <m:t>)</m:t>
                </m:r>
              </m:oMath>
            </m:oMathPara>
          </w:p>
        </w:tc>
        <w:tc>
          <w:tcPr>
            <w:tcW w:w="458" w:type="pct"/>
            <w:tcBorders>
              <w:top w:val="single" w:sz="4" w:space="0" w:color="auto"/>
              <w:left w:val="nil"/>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x</m:t>
                    </m:r>
                  </m:e>
                  <m:sub>
                    <m:r>
                      <w:rPr>
                        <w:rFonts w:ascii="Cambria Math" w:eastAsia="Times New Roman" w:hAnsi="Cambria Math" w:cs="Times New Roman"/>
                        <w:color w:val="000000"/>
                        <w:sz w:val="16"/>
                        <w:szCs w:val="16"/>
                      </w:rPr>
                      <m:t>2</m:t>
                    </m:r>
                  </m:sub>
                </m:sSub>
                <m:r>
                  <w:rPr>
                    <w:rFonts w:ascii="Cambria Math" w:eastAsia="Times New Roman" w:hAnsi="Cambria Math" w:cs="Times New Roman"/>
                    <w:color w:val="000000"/>
                    <w:sz w:val="16"/>
                    <w:szCs w:val="16"/>
                  </w:rPr>
                  <m:t>(</m:t>
                </m:r>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T</m:t>
                    </m:r>
                  </m:e>
                  <m:sub>
                    <m:r>
                      <w:rPr>
                        <w:rFonts w:ascii="Cambria Math" w:eastAsia="Times New Roman" w:hAnsi="Cambria Math" w:cs="Times New Roman"/>
                        <w:color w:val="000000"/>
                        <w:sz w:val="16"/>
                        <w:szCs w:val="16"/>
                      </w:rPr>
                      <m:t>h</m:t>
                    </m:r>
                  </m:sub>
                </m:sSub>
                <m:r>
                  <w:rPr>
                    <w:rFonts w:ascii="Cambria Math" w:eastAsia="Times New Roman" w:hAnsi="Cambria Math" w:cs="Times New Roman"/>
                    <w:color w:val="000000"/>
                    <w:sz w:val="16"/>
                    <w:szCs w:val="16"/>
                  </w:rPr>
                  <m:t>)</m:t>
                </m:r>
              </m:oMath>
            </m:oMathPara>
          </w:p>
        </w:tc>
        <w:tc>
          <w:tcPr>
            <w:tcW w:w="458" w:type="pct"/>
            <w:tcBorders>
              <w:top w:val="single" w:sz="4" w:space="0" w:color="auto"/>
              <w:left w:val="nil"/>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x</m:t>
                    </m:r>
                  </m:e>
                  <m:sub>
                    <m:r>
                      <w:rPr>
                        <w:rFonts w:ascii="Cambria Math" w:eastAsia="Times New Roman" w:hAnsi="Cambria Math" w:cs="Times New Roman"/>
                        <w:color w:val="000000"/>
                        <w:sz w:val="16"/>
                        <w:szCs w:val="16"/>
                      </w:rPr>
                      <m:t>3</m:t>
                    </m:r>
                  </m:sub>
                </m:sSub>
                <m:r>
                  <w:rPr>
                    <w:rFonts w:ascii="Cambria Math" w:eastAsia="Times New Roman" w:hAnsi="Cambria Math" w:cs="Times New Roman"/>
                    <w:color w:val="000000"/>
                    <w:sz w:val="16"/>
                    <w:szCs w:val="16"/>
                  </w:rPr>
                  <m:t>(R)</m:t>
                </m:r>
              </m:oMath>
            </m:oMathPara>
          </w:p>
        </w:tc>
        <w:tc>
          <w:tcPr>
            <w:tcW w:w="460" w:type="pct"/>
            <w:tcBorders>
              <w:top w:val="single" w:sz="4" w:space="0" w:color="auto"/>
              <w:left w:val="nil"/>
              <w:bottom w:val="single" w:sz="4" w:space="0" w:color="auto"/>
              <w:right w:val="single" w:sz="48" w:space="0" w:color="FFFFFF" w:themeColor="background1"/>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x</m:t>
                    </m:r>
                  </m:e>
                  <m:sub>
                    <m:r>
                      <w:rPr>
                        <w:rFonts w:ascii="Cambria Math" w:eastAsia="Times New Roman" w:hAnsi="Cambria Math" w:cs="Times New Roman"/>
                        <w:color w:val="000000"/>
                        <w:sz w:val="16"/>
                        <w:szCs w:val="16"/>
                      </w:rPr>
                      <m:t>4</m:t>
                    </m:r>
                  </m:sub>
                </m:sSub>
                <m:r>
                  <w:rPr>
                    <w:rFonts w:ascii="Cambria Math" w:eastAsia="Times New Roman" w:hAnsi="Cambria Math" w:cs="Times New Roman"/>
                    <w:color w:val="000000"/>
                    <w:sz w:val="16"/>
                    <w:szCs w:val="16"/>
                  </w:rPr>
                  <m:t>(L)</m:t>
                </m:r>
              </m:oMath>
            </m:oMathPara>
          </w:p>
        </w:tc>
        <w:tc>
          <w:tcPr>
            <w:tcW w:w="458" w:type="pct"/>
            <w:tcBorders>
              <w:top w:val="single" w:sz="4" w:space="0" w:color="auto"/>
              <w:left w:val="single" w:sz="48" w:space="0" w:color="FFFFFF" w:themeColor="background1"/>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g</m:t>
                    </m:r>
                  </m:e>
                  <m:sub>
                    <m:r>
                      <w:rPr>
                        <w:rFonts w:ascii="Cambria Math" w:eastAsia="Times New Roman" w:hAnsi="Cambria Math" w:cs="Times New Roman"/>
                        <w:color w:val="000000"/>
                        <w:sz w:val="16"/>
                        <w:szCs w:val="16"/>
                      </w:rPr>
                      <m:t>1</m:t>
                    </m:r>
                  </m:sub>
                </m:sSub>
                <m:r>
                  <w:rPr>
                    <w:rFonts w:ascii="Cambria Math" w:eastAsia="Times New Roman" w:hAnsi="Cambria Math" w:cs="Times New Roman"/>
                    <w:color w:val="000000"/>
                    <w:sz w:val="16"/>
                    <w:szCs w:val="16"/>
                  </w:rPr>
                  <m:t>(</m:t>
                </m:r>
                <m:acc>
                  <m:accPr>
                    <m:chr m:val="̅"/>
                    <m:ctrlPr>
                      <w:rPr>
                        <w:rFonts w:ascii="Cambria Math" w:eastAsia="Times New Roman" w:hAnsi="Cambria Math" w:cs="Times New Roman"/>
                        <w:i/>
                        <w:color w:val="000000"/>
                        <w:sz w:val="16"/>
                        <w:szCs w:val="16"/>
                      </w:rPr>
                    </m:ctrlPr>
                  </m:accPr>
                  <m:e>
                    <m:r>
                      <w:rPr>
                        <w:rFonts w:ascii="Cambria Math" w:eastAsia="Times New Roman" w:hAnsi="Cambria Math" w:cs="Times New Roman"/>
                        <w:color w:val="000000"/>
                        <w:sz w:val="16"/>
                        <w:szCs w:val="16"/>
                      </w:rPr>
                      <m:t>x</m:t>
                    </m:r>
                  </m:e>
                </m:acc>
                <m:r>
                  <w:rPr>
                    <w:rFonts w:ascii="Cambria Math" w:eastAsia="Times New Roman" w:hAnsi="Cambria Math" w:cs="Times New Roman"/>
                    <w:color w:val="000000"/>
                    <w:sz w:val="16"/>
                    <w:szCs w:val="16"/>
                  </w:rPr>
                  <m:t>)</m:t>
                </m:r>
              </m:oMath>
            </m:oMathPara>
          </w:p>
        </w:tc>
        <w:tc>
          <w:tcPr>
            <w:tcW w:w="444" w:type="pct"/>
            <w:tcBorders>
              <w:top w:val="single" w:sz="4" w:space="0" w:color="auto"/>
              <w:left w:val="nil"/>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g</m:t>
                    </m:r>
                  </m:e>
                  <m:sub>
                    <m:r>
                      <w:rPr>
                        <w:rFonts w:ascii="Cambria Math" w:eastAsia="Times New Roman" w:hAnsi="Cambria Math" w:cs="Times New Roman"/>
                        <w:color w:val="000000"/>
                        <w:sz w:val="16"/>
                        <w:szCs w:val="16"/>
                      </w:rPr>
                      <m:t>2</m:t>
                    </m:r>
                  </m:sub>
                </m:sSub>
                <m:r>
                  <w:rPr>
                    <w:rFonts w:ascii="Cambria Math" w:eastAsia="Times New Roman" w:hAnsi="Cambria Math" w:cs="Times New Roman"/>
                    <w:color w:val="000000"/>
                    <w:sz w:val="16"/>
                    <w:szCs w:val="16"/>
                  </w:rPr>
                  <m:t>(</m:t>
                </m:r>
                <m:acc>
                  <m:accPr>
                    <m:chr m:val="̅"/>
                    <m:ctrlPr>
                      <w:rPr>
                        <w:rFonts w:ascii="Cambria Math" w:eastAsia="Times New Roman" w:hAnsi="Cambria Math" w:cs="Times New Roman"/>
                        <w:i/>
                        <w:color w:val="000000"/>
                        <w:sz w:val="16"/>
                        <w:szCs w:val="16"/>
                      </w:rPr>
                    </m:ctrlPr>
                  </m:accPr>
                  <m:e>
                    <m:r>
                      <w:rPr>
                        <w:rFonts w:ascii="Cambria Math" w:eastAsia="Times New Roman" w:hAnsi="Cambria Math" w:cs="Times New Roman"/>
                        <w:color w:val="000000"/>
                        <w:sz w:val="16"/>
                        <w:szCs w:val="16"/>
                      </w:rPr>
                      <m:t>x</m:t>
                    </m:r>
                  </m:e>
                </m:acc>
                <m:r>
                  <w:rPr>
                    <w:rFonts w:ascii="Cambria Math" w:eastAsia="Times New Roman" w:hAnsi="Cambria Math" w:cs="Times New Roman"/>
                    <w:color w:val="000000"/>
                    <w:sz w:val="16"/>
                    <w:szCs w:val="16"/>
                  </w:rPr>
                  <m:t>)</m:t>
                </m:r>
              </m:oMath>
            </m:oMathPara>
          </w:p>
        </w:tc>
        <w:tc>
          <w:tcPr>
            <w:tcW w:w="444" w:type="pct"/>
            <w:tcBorders>
              <w:top w:val="single" w:sz="4" w:space="0" w:color="auto"/>
              <w:left w:val="nil"/>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g</m:t>
                    </m:r>
                  </m:e>
                  <m:sub>
                    <m:r>
                      <w:rPr>
                        <w:rFonts w:ascii="Cambria Math" w:eastAsia="Times New Roman" w:hAnsi="Cambria Math" w:cs="Times New Roman"/>
                        <w:color w:val="000000"/>
                        <w:sz w:val="16"/>
                        <w:szCs w:val="16"/>
                      </w:rPr>
                      <m:t>3</m:t>
                    </m:r>
                  </m:sub>
                </m:sSub>
                <m:r>
                  <w:rPr>
                    <w:rFonts w:ascii="Cambria Math" w:eastAsia="Times New Roman" w:hAnsi="Cambria Math" w:cs="Times New Roman"/>
                    <w:color w:val="000000"/>
                    <w:sz w:val="16"/>
                    <w:szCs w:val="16"/>
                  </w:rPr>
                  <m:t>(</m:t>
                </m:r>
                <m:acc>
                  <m:accPr>
                    <m:chr m:val="̅"/>
                    <m:ctrlPr>
                      <w:rPr>
                        <w:rFonts w:ascii="Cambria Math" w:eastAsia="Times New Roman" w:hAnsi="Cambria Math" w:cs="Times New Roman"/>
                        <w:i/>
                        <w:color w:val="000000"/>
                        <w:sz w:val="16"/>
                        <w:szCs w:val="16"/>
                      </w:rPr>
                    </m:ctrlPr>
                  </m:accPr>
                  <m:e>
                    <m:r>
                      <w:rPr>
                        <w:rFonts w:ascii="Cambria Math" w:eastAsia="Times New Roman" w:hAnsi="Cambria Math" w:cs="Times New Roman"/>
                        <w:color w:val="000000"/>
                        <w:sz w:val="16"/>
                        <w:szCs w:val="16"/>
                      </w:rPr>
                      <m:t>x</m:t>
                    </m:r>
                  </m:e>
                </m:acc>
                <m:r>
                  <w:rPr>
                    <w:rFonts w:ascii="Cambria Math" w:eastAsia="Times New Roman" w:hAnsi="Cambria Math" w:cs="Times New Roman"/>
                    <w:color w:val="000000"/>
                    <w:sz w:val="16"/>
                    <w:szCs w:val="16"/>
                  </w:rPr>
                  <m:t>)</m:t>
                </m:r>
              </m:oMath>
            </m:oMathPara>
          </w:p>
        </w:tc>
        <w:tc>
          <w:tcPr>
            <w:tcW w:w="445" w:type="pct"/>
            <w:tcBorders>
              <w:top w:val="single" w:sz="4" w:space="0" w:color="auto"/>
              <w:left w:val="nil"/>
              <w:bottom w:val="single" w:sz="4" w:space="0" w:color="auto"/>
              <w:right w:val="single" w:sz="48" w:space="0" w:color="FFFFFF" w:themeColor="background1"/>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sSub>
                  <m:sSubPr>
                    <m:ctrlPr>
                      <w:rPr>
                        <w:rFonts w:ascii="Cambria Math" w:eastAsia="Times New Roman" w:hAnsi="Cambria Math" w:cs="Times New Roman"/>
                        <w:i/>
                        <w:color w:val="000000"/>
                        <w:sz w:val="16"/>
                        <w:szCs w:val="16"/>
                      </w:rPr>
                    </m:ctrlPr>
                  </m:sSubPr>
                  <m:e>
                    <m:r>
                      <w:rPr>
                        <w:rFonts w:ascii="Cambria Math" w:eastAsia="Times New Roman" w:hAnsi="Cambria Math" w:cs="Times New Roman"/>
                        <w:color w:val="000000"/>
                        <w:sz w:val="16"/>
                        <w:szCs w:val="16"/>
                      </w:rPr>
                      <m:t>g</m:t>
                    </m:r>
                  </m:e>
                  <m:sub>
                    <m:r>
                      <w:rPr>
                        <w:rFonts w:ascii="Cambria Math" w:eastAsia="Times New Roman" w:hAnsi="Cambria Math" w:cs="Times New Roman"/>
                        <w:color w:val="000000"/>
                        <w:sz w:val="16"/>
                        <w:szCs w:val="16"/>
                      </w:rPr>
                      <m:t>4</m:t>
                    </m:r>
                  </m:sub>
                </m:sSub>
                <m:r>
                  <w:rPr>
                    <w:rFonts w:ascii="Cambria Math" w:eastAsia="Times New Roman" w:hAnsi="Cambria Math" w:cs="Times New Roman"/>
                    <w:color w:val="000000"/>
                    <w:sz w:val="16"/>
                    <w:szCs w:val="16"/>
                  </w:rPr>
                  <m:t>(</m:t>
                </m:r>
                <m:acc>
                  <m:accPr>
                    <m:chr m:val="̅"/>
                    <m:ctrlPr>
                      <w:rPr>
                        <w:rFonts w:ascii="Cambria Math" w:eastAsia="Times New Roman" w:hAnsi="Cambria Math" w:cs="Times New Roman"/>
                        <w:i/>
                        <w:color w:val="000000"/>
                        <w:sz w:val="16"/>
                        <w:szCs w:val="16"/>
                      </w:rPr>
                    </m:ctrlPr>
                  </m:accPr>
                  <m:e>
                    <m:r>
                      <w:rPr>
                        <w:rFonts w:ascii="Cambria Math" w:eastAsia="Times New Roman" w:hAnsi="Cambria Math" w:cs="Times New Roman"/>
                        <w:color w:val="000000"/>
                        <w:sz w:val="16"/>
                        <w:szCs w:val="16"/>
                      </w:rPr>
                      <m:t>x</m:t>
                    </m:r>
                  </m:e>
                </m:acc>
                <m:r>
                  <w:rPr>
                    <w:rFonts w:ascii="Cambria Math" w:eastAsia="Times New Roman" w:hAnsi="Cambria Math" w:cs="Times New Roman"/>
                    <w:color w:val="000000"/>
                    <w:sz w:val="16"/>
                    <w:szCs w:val="16"/>
                  </w:rPr>
                  <m:t>)</m:t>
                </m:r>
              </m:oMath>
            </m:oMathPara>
          </w:p>
        </w:tc>
        <w:tc>
          <w:tcPr>
            <w:tcW w:w="579" w:type="pct"/>
            <w:tcBorders>
              <w:top w:val="single" w:sz="4" w:space="0" w:color="auto"/>
              <w:left w:val="single" w:sz="48" w:space="0" w:color="FFFFFF" w:themeColor="background1"/>
              <w:bottom w:val="single" w:sz="4" w:space="0" w:color="auto"/>
              <w:right w:val="nil"/>
            </w:tcBorders>
            <w:shd w:val="clear" w:color="auto" w:fill="auto"/>
            <w:noWrap/>
            <w:vAlign w:val="bottom"/>
            <w:hideMark/>
          </w:tcPr>
          <w:p w:rsidR="00FA1818" w:rsidRPr="00FA1818" w:rsidRDefault="00581455" w:rsidP="00FA1818">
            <w:pPr>
              <w:spacing w:after="0" w:line="240" w:lineRule="auto"/>
              <w:jc w:val="left"/>
              <w:rPr>
                <w:rFonts w:eastAsia="Times New Roman" w:cs="Times New Roman"/>
                <w:color w:val="000000"/>
                <w:sz w:val="16"/>
                <w:szCs w:val="16"/>
              </w:rPr>
            </w:pPr>
            <m:oMathPara>
              <m:oMath>
                <m:r>
                  <w:rPr>
                    <w:rFonts w:ascii="Cambria Math" w:eastAsia="Times New Roman" w:hAnsi="Cambria Math" w:cs="Times New Roman"/>
                    <w:color w:val="000000"/>
                    <w:sz w:val="16"/>
                    <w:szCs w:val="16"/>
                  </w:rPr>
                  <m:t>f</m:t>
                </m:r>
                <m:r>
                  <w:rPr>
                    <w:rFonts w:ascii="Cambria Math" w:eastAsia="Times New Roman" w:hAnsi="Cambria Math" w:cs="Times New Roman"/>
                    <w:color w:val="000000"/>
                    <w:sz w:val="16"/>
                    <w:szCs w:val="16"/>
                  </w:rPr>
                  <m:t>(</m:t>
                </m:r>
                <m:acc>
                  <m:accPr>
                    <m:chr m:val="̅"/>
                    <m:ctrlPr>
                      <w:rPr>
                        <w:rFonts w:ascii="Cambria Math" w:eastAsia="Times New Roman" w:hAnsi="Cambria Math" w:cs="Times New Roman"/>
                        <w:i/>
                        <w:color w:val="000000"/>
                        <w:sz w:val="16"/>
                        <w:szCs w:val="16"/>
                      </w:rPr>
                    </m:ctrlPr>
                  </m:accPr>
                  <m:e>
                    <m:r>
                      <w:rPr>
                        <w:rFonts w:ascii="Cambria Math" w:eastAsia="Times New Roman" w:hAnsi="Cambria Math" w:cs="Times New Roman"/>
                        <w:color w:val="000000"/>
                        <w:sz w:val="16"/>
                        <w:szCs w:val="16"/>
                      </w:rPr>
                      <m:t>x</m:t>
                    </m:r>
                  </m:e>
                </m:acc>
                <m:r>
                  <w:rPr>
                    <w:rFonts w:ascii="Cambria Math" w:eastAsia="Times New Roman" w:hAnsi="Cambria Math" w:cs="Times New Roman"/>
                    <w:color w:val="000000"/>
                    <w:sz w:val="16"/>
                    <w:szCs w:val="16"/>
                  </w:rPr>
                  <m:t>)</m:t>
                </m:r>
              </m:oMath>
            </m:oMathPara>
          </w:p>
        </w:tc>
      </w:tr>
      <w:tr w:rsidR="00581455" w:rsidRPr="00581455" w:rsidTr="00581455">
        <w:trPr>
          <w:trHeight w:val="312"/>
        </w:trPr>
        <w:tc>
          <w:tcPr>
            <w:tcW w:w="795" w:type="pct"/>
            <w:tcBorders>
              <w:top w:val="single" w:sz="4" w:space="0" w:color="auto"/>
              <w:left w:val="nil"/>
              <w:bottom w:val="nil"/>
              <w:right w:val="nil"/>
            </w:tcBorders>
            <w:shd w:val="clear" w:color="auto" w:fill="auto"/>
            <w:noWrap/>
            <w:vAlign w:val="bottom"/>
            <w:hideMark/>
          </w:tcPr>
          <w:p w:rsidR="00581455" w:rsidRPr="00FA1818" w:rsidRDefault="00581455" w:rsidP="00581455">
            <w:pPr>
              <w:spacing w:after="0" w:line="240" w:lineRule="auto"/>
              <w:jc w:val="left"/>
              <w:rPr>
                <w:rFonts w:eastAsia="Times New Roman" w:cs="Times New Roman"/>
                <w:b/>
                <w:bCs/>
                <w:color w:val="000000"/>
                <w:sz w:val="16"/>
                <w:szCs w:val="16"/>
              </w:rPr>
            </w:pPr>
            <w:r w:rsidRPr="00FA1818">
              <w:rPr>
                <w:rFonts w:eastAsia="Times New Roman" w:cs="Times New Roman"/>
                <w:b/>
                <w:bCs/>
                <w:color w:val="000000"/>
                <w:sz w:val="16"/>
                <w:szCs w:val="16"/>
              </w:rPr>
              <w:t>H5N1</w:t>
            </w:r>
          </w:p>
        </w:tc>
        <w:tc>
          <w:tcPr>
            <w:tcW w:w="458"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0.78058</w:t>
            </w:r>
          </w:p>
        </w:tc>
        <w:tc>
          <w:tcPr>
            <w:tcW w:w="458"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0.38635</w:t>
            </w:r>
          </w:p>
        </w:tc>
        <w:tc>
          <w:tcPr>
            <w:tcW w:w="458"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40.43444</w:t>
            </w:r>
          </w:p>
        </w:tc>
        <w:tc>
          <w:tcPr>
            <w:tcW w:w="460"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198.42283</w:t>
            </w:r>
          </w:p>
        </w:tc>
        <w:tc>
          <w:tcPr>
            <w:tcW w:w="458"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-0.00019</w:t>
            </w:r>
          </w:p>
        </w:tc>
        <w:tc>
          <w:tcPr>
            <w:tcW w:w="444"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-0.00060</w:t>
            </w:r>
          </w:p>
        </w:tc>
        <w:tc>
          <w:tcPr>
            <w:tcW w:w="444"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-77.53741</w:t>
            </w:r>
          </w:p>
        </w:tc>
        <w:tc>
          <w:tcPr>
            <w:tcW w:w="445"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-41.57717</w:t>
            </w:r>
          </w:p>
        </w:tc>
        <w:tc>
          <w:tcPr>
            <w:tcW w:w="579" w:type="pct"/>
            <w:tcBorders>
              <w:top w:val="single" w:sz="4" w:space="0" w:color="auto"/>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5892.58762</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52588">
              <w:rPr>
                <w:rFonts w:eastAsia="Times New Roman" w:cs="Times New Roman"/>
                <w:color w:val="000000"/>
                <w:sz w:val="16"/>
                <w:szCs w:val="16"/>
              </w:rPr>
              <w:t>AOA</w:t>
            </w:r>
            <w:r w:rsidRPr="00581455">
              <w:rPr>
                <w:rFonts w:eastAsia="Times New Roman" w:cs="Times New Roman"/>
                <w:color w:val="000000"/>
                <w:sz w:val="16"/>
                <w:szCs w:val="16"/>
              </w:rPr>
              <w:t xml:space="preserve">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{"citationID":"6oMikgwt","properties":{"formattedCitation":"[1]","plainCitation":"[1]","noteIndex":0},"citationItems":[{"id":148,"uris":["http://zotero.org/users/10327636/items/2G2BVIA5"],"itemData":{"id":148,"type":"article-journal","container-title":"Computer methods in applied mechanics and engineering","DOI":"10.1016/j.cma.2020.113609","ISSN":"0045-7825","journalAbbreviation":"Computer methods in applied mechanics and engineering","note":"publisher: Elsevier","page":"113609","title":"The arithmetic optimization algorithm","volume":"376","author":[{"family":"Abualigah","given":"Laith"},{"family":"Diabat","given":"Ali"},{"family":"Mirjalili","given":"Seyedali"},{"family":"Abd Elaziz","given":"Mohamed"},{"family":"Gandomi","given":"Amir H"}],"issued":{"date-parts":[["2021"]]}}}],"schema":"https://github.com/citation-style-language/schema/raw/master/csl-citation.json"}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[1]</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0.83037</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0.41621</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42.75127</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169.34540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6048.78440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81455">
              <w:rPr>
                <w:rFonts w:eastAsia="Times New Roman" w:cs="Times New Roman"/>
                <w:color w:val="000000"/>
                <w:sz w:val="16"/>
                <w:szCs w:val="16"/>
              </w:rPr>
              <w:t>HPSO</w:t>
            </w:r>
            <w:r w:rsidRPr="00552588">
              <w:rPr>
                <w:rFonts w:eastAsia="Times New Roman" w:cs="Times New Roman"/>
                <w:color w:val="000000"/>
                <w:sz w:val="16"/>
                <w:szCs w:val="16"/>
              </w:rPr>
              <w:t xml:space="preserve">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{"citationID":"TMR6gvSH","properties":{"formattedCitation":"[2]","plainCitation":"[2]","noteIndex":0},"citationItems":[{"id":729,"uris":["http://zotero.org/users/10327636/items/MC73EAR9"],"itemData":{"id":729,"type":"article-journal","container-title":"Applied Mathematics and Computation","DOI":"10.1016/j.amc.2006.07.134","ISSN":"00963003","issue":"2","journalAbbreviation":"Applied Mathematics and Computation","language":"en","page":"1407-1422","source":"DOI.org (Crossref)","title":"A hybrid particle swarm optimization with a feasibility-based rule for constrained optimization","volume":"186","author":[{"family":"He","given":"Qie"},{"family":"Wang","given":"Ling"}],"issued":{"date-parts":[["2007",3]]}}}],"schema":"https://github.com/citation-style-language/schema/raw/master/csl-citation.json"}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[2]</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0.81250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0.43750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42.09845</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176.63660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6059.71433</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81455">
              <w:rPr>
                <w:rFonts w:eastAsia="Times New Roman" w:cs="Times New Roman"/>
                <w:color w:val="000000"/>
                <w:sz w:val="16"/>
                <w:szCs w:val="16"/>
              </w:rPr>
              <w:t>CDE</w:t>
            </w:r>
            <w:r w:rsidRPr="00552588">
              <w:rPr>
                <w:rFonts w:eastAsia="Times New Roman" w:cs="Times New Roman"/>
                <w:color w:val="000000"/>
                <w:sz w:val="16"/>
                <w:szCs w:val="16"/>
              </w:rPr>
              <w:t xml:space="preserve">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{"citationID":"3q6sLfVo","properties":{"formattedCitation":"[3]","plainCitation":"[3]","noteIndex":0},"citationItems":[{"id":708,"uris":["http://zotero.org/users/10327636/items/QPSZZPJZ"],"itemData":{"id":708,"type":"article-journal","container-title":"Applied Mathematics and Computation","DOI":"10.1016/j.amc.2006.07.105","ISSN":"00963003","issue":"1","journalAbbreviation":"Applied Mathematics and Computation","language":"en","page":"340-356","source":"DOI.org (Crossref)","title":"An effective co-evolutionary differential evolution for constrained optimization","volume":"186","author":[{"family":"Huang","given":"Fu-zhuo"},{"family":"Wang","given":"Ling"},{"family":"He","given":"Qie"}],"issued":{"date-parts":[["2007",3]]}}}],"schema":"https://github.com/citation-style-language/schema/raw/master/csl-citation.json"}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[3]</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0.81250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0.43750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42.09841</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176.63769</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6059.73400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52588">
              <w:rPr>
                <w:rFonts w:eastAsia="Times New Roman" w:cs="Times New Roman"/>
                <w:color w:val="000000"/>
                <w:sz w:val="16"/>
                <w:szCs w:val="16"/>
              </w:rPr>
              <w:t xml:space="preserve">WOA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{"citationID":"9oq0Gbx7","properties":{"formattedCitation":"[4]","plainCitation":"[4]","noteIndex":0},"citationItems":[{"id":145,"uris":["http://zotero.org/users/10327636/items/3PVGZM55"],"itemData":{"id":145,"type":"article-journal","container-title":"Advances in engineering software","DOI":"10.1016/j.advengsoft.2017.07.002","ISSN":"0965-9978","journalAbbreviation":"Advances in engineering software","note":"publisher: Elsevier","page":"51-67","title":"The whale optimization algorithm","volume":"95","author":[{"family":"Mirjalili","given":"Seyedali"},{"family":"Lewis","given":"Andrew"}],"issued":{"date-parts":[["2016"]]}}}],"schema":"https://github.com/citation-style-language/schema/raw/master/csl-citation.json"}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[4]</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0.81250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0.43750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42.09827</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176.63900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N/A</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6059.74100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81455">
              <w:rPr>
                <w:rFonts w:eastAsia="Times New Roman" w:cs="Times New Roman"/>
                <w:color w:val="000000"/>
                <w:sz w:val="16"/>
                <w:szCs w:val="16"/>
              </w:rPr>
              <w:t>Coello 2002</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{"citationID":"Aa3tQaDB","properties":{"formattedCitation":"[5]","plainCitation":"[5]","noteIndex":0},"citationItems":[{"id":691,"uris":["http://zotero.org/users/10327636/items/46JXRKN6"],"itemData":{"id":691,"type":"article-journal","container-title":"Advanced Engineering Informatics","DOI":"10.1016/S1474-0346(02)00011-3","ISSN":"14740346","issue":"3","journalAbbreviation":"Advanced Engineering Informatics","language":"en","page":"193-203","source":"DOI.org (Crossref)","title":"Constraint-handling in genetic algorithms through the use of dominance-based tournament selection","volume":"16","author":[{"family":"Coello Coello","given":"Carlos A."},{"family":"Mezura Montes","given":"Efrén"}],"issued":{"date-parts":[["2002",7]]}}}],"schema":"https://github.com/citation-style-language/schema/raw/master/csl-citation.json"}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[5]</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0.81250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0.43750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42.09740</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176.65405</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-0.00002</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-0.03589</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-27.88608</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-63.34595</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6059.94634</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81455">
              <w:rPr>
                <w:rFonts w:eastAsia="Times New Roman" w:cs="Times New Roman"/>
                <w:color w:val="000000"/>
                <w:sz w:val="16"/>
                <w:szCs w:val="16"/>
              </w:rPr>
              <w:t>Coello 2000</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{"citationID":"NUMe3QrM","properties":{"formattedCitation":"[6]","plainCitation":"[6]","noteIndex":0},"citationItems":[{"id":689,"uris":["http://zotero.org/users/10327636/items/LBTGZZDZ"],"itemData":{"id":689,"type":"article-journal","container-title":"Civil Engineering and Environmental Systems","DOI":"10.1080/02630250008970288","ISSN":"1028-6608, 1029-0249","issue":"4","journalAbbreviation":"Civil Engineering and Environmental Systems","language":"en","page":"319-346","source":"DOI.org (Crossref)","title":"CONSTRAINT-HANDLING USING AN EVOLUTIONARY MULTIOBJECTIVE OPTIMIZATION TECHNIQUE","volume":"17","author":[{"family":"Coello Coello","given":"Carlos A."}],"issued":{"date-parts":[["2000",10]]}}}],"schema":"https://github.com/citation-style-language/schema/raw/master/csl-citation.json"}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[6]</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0.87500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0.50000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42.09390</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177.08050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-0.00009</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-0.03592</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-2156.83649</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-62.91951</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6069.32670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52588">
              <w:rPr>
                <w:rFonts w:eastAsia="Times New Roman" w:cs="Times New Roman"/>
                <w:color w:val="000000"/>
                <w:sz w:val="16"/>
                <w:szCs w:val="16"/>
              </w:rPr>
              <w:t xml:space="preserve">GeneAS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{"citationID":"EGwxFS4B","properties":{"formattedCitation":"[7]","plainCitation":"[7]","noteIndex":0},"citationItems":[{"id":731,"uris":["http://zotero.org/users/10327636/items/6VHSTEJH"],"itemData":{"id":731,"type":"chapter","container-title":"Evolutionary Algorithms in Engineering Applications","event-place":"Berlin, Heidelberg","ISBN":"978-3-642-08282-5","language":"en","note":"DOI: 10.1007/978-3-662-03423-1_27","page":"497-514","publisher":"Springer Berlin Heidelberg","publisher-place":"Berlin, Heidelberg","source":"DOI.org (Crossref)","title":"GeneAS: A Robust Optimal Design Technique for Mechanical Component Design","title-short":"GeneAS","URL":"http://link.springer.com/10.1007/978-3-662-03423-1_27","editor":[{"family":"Dasgupta","given":"Dipankar"},{"family":"Michalewicz","given":"Zbigniew"}],"author":[{"family":"Deb","given":"Kalyanmoy"}],"accessed":{"date-parts":[["2023",5,30]]},"issued":{"date-parts":[["1997"]]}}}],"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[7]</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0.93750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0.50000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48.32900</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112.67900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-0.00475</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-0.03894</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-3652.87684</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-127.32100</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6410.38110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552588" w:rsidRDefault="00581455" w:rsidP="00581455">
            <w:pPr>
              <w:spacing w:after="0" w:line="240" w:lineRule="auto"/>
              <w:jc w:val="left"/>
              <w:rPr>
                <w:rFonts w:eastAsia="Times New Roman" w:cs="Times New Roman"/>
                <w:color w:val="000000"/>
                <w:sz w:val="16"/>
                <w:szCs w:val="16"/>
              </w:rPr>
            </w:pPr>
            <w:r w:rsidRPr="00552588">
              <w:rPr>
                <w:rFonts w:eastAsia="Times New Roman" w:cs="Times New Roman"/>
                <w:color w:val="000000"/>
                <w:sz w:val="16"/>
                <w:szCs w:val="16"/>
              </w:rPr>
              <w:t xml:space="preserve">HS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{"citationID":"kLdTsfqL","properties":{"formattedCitation":"[8]","plainCitation":"[8]","noteIndex":0},"citationItems":[{"id":727,"uris":["http://zotero.org/users/10327636/items/8UGTIJ4Q"],"itemData":{"id":727,"type":"article-journal","container-title":"Applied Mathematics and Computation","DOI":"10.1016/j.amc.2006.11.033","ISSN":"00963003","issue":"2","journalAbbreviation":"Applied Mathematics and Computation","language":"en","page":"1567-1579","source":"DOI.org (Crossref)","title":"An improved harmony search algorithm for solving optimization problems","volume":"188","author":[{"family":"Mahdavi","given":"M."},{"family":"Fesanghary","given":"M."},{"family":"Damangir","given":"E."}],"issued":{"date-parts":[["2007",5]]}}}],"schema":"https://github.com/citation-style-language/schema/raw/master/csl-citation.json"}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[8]</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1.12500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0.62500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58.29015</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43.69268</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0.00000</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-0.06891</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-2.01500</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-196.30700</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7197.73000</w:t>
            </w:r>
          </w:p>
        </w:tc>
      </w:tr>
      <w:tr w:rsidR="00581455" w:rsidRPr="00581455" w:rsidTr="00581455">
        <w:trPr>
          <w:trHeight w:val="300"/>
        </w:trPr>
        <w:tc>
          <w:tcPr>
            <w:tcW w:w="795" w:type="pct"/>
            <w:tcBorders>
              <w:top w:val="nil"/>
              <w:left w:val="nil"/>
              <w:bottom w:val="nil"/>
              <w:right w:val="single" w:sz="48" w:space="0" w:color="FFFFFF" w:themeColor="background1"/>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552588">
              <w:rPr>
                <w:rFonts w:eastAsia="Times New Roman" w:cs="Times New Roman"/>
                <w:color w:val="000000"/>
                <w:sz w:val="16"/>
                <w:szCs w:val="16"/>
              </w:rPr>
              <w:t xml:space="preserve">Kannan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{"citationID":"9TjEhPij","properties":{"formattedCitation":"[9]","plainCitation":"[9]","noteIndex":0},"citationItems":[{"id":733,"uris":["http://zotero.org/users/10327636/items/K4NZP7AE"],"itemData":{"id":733,"type":"article-journal","abstract":"An algorithm for solving nonlinear optimization problems involving discrete, integer, zero-one, and continuous variables is presented. The augmented Lagrange multiplier method combined with Powell’s method and Fletcher and Reeves Conjugate Gradient method are used to solve the optimization problem where penalties are imposed on the constraints for integer/discrete violations. The use of zero-one variables as a tool for conceptual design optimization is also described with an example. Several case studies have been presented to illustrate the practical use of this algorithm. The results obtained are compared with those obtained by the Branch and Bound algorithm. Also, a comparison is made between the use of Powell’s method (zeroth order) and the Conjugate Gradient method (first order) in the solution of these mixed variable optimization problems.","container-title":"Journal of Mechanical Design","DOI":"10.1115/1.2919393","ISSN":"1050-0472, 1528-9001","issue":"2","language":"en","page":"405-411","source":"DOI.org (Crossref)","title":"An Augmented Lagrange Multiplier Based Method for Mixed Integer Discrete Continuous Optimization and Its Applications to Mechanical Design","volume":"116","author":[{"family":"Kannan","given":"B. K."},{"family":"Kramer","given":"S. N."}],"issued":{"date-parts":[["1994",6,1]]}}}],"schema":"https://github.com/citation-style-language/schema/raw/master/csl-citation.json"}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[9]</w:t>
            </w:r>
            <w:r w:rsidRPr="00581455">
              <w:rPr>
                <w:rFonts w:eastAsia="Times New Roman" w:cs="Times New Roman"/>
                <w:color w:val="000000"/>
                <w:sz w:val="16"/>
                <w:szCs w:val="16"/>
              </w:rPr>
              <w:fldChar w:fldCharType="end"/>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1.12500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0.62500</w:t>
            </w:r>
          </w:p>
        </w:tc>
        <w:tc>
          <w:tcPr>
            <w:tcW w:w="458"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58.29100</w:t>
            </w:r>
          </w:p>
        </w:tc>
        <w:tc>
          <w:tcPr>
            <w:tcW w:w="460"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43.69000</w:t>
            </w:r>
          </w:p>
        </w:tc>
        <w:tc>
          <w:tcPr>
            <w:tcW w:w="458"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0.00002</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-0.06890</w:t>
            </w:r>
          </w:p>
        </w:tc>
        <w:tc>
          <w:tcPr>
            <w:tcW w:w="444" w:type="pct"/>
            <w:tcBorders>
              <w:top w:val="nil"/>
              <w:left w:val="nil"/>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-21.22010</w:t>
            </w:r>
          </w:p>
        </w:tc>
        <w:tc>
          <w:tcPr>
            <w:tcW w:w="445" w:type="pct"/>
            <w:tcBorders>
              <w:top w:val="nil"/>
              <w:left w:val="nil"/>
              <w:bottom w:val="nil"/>
              <w:right w:val="single" w:sz="48" w:space="0" w:color="FFFFFF" w:themeColor="background1"/>
            </w:tcBorders>
            <w:shd w:val="clear" w:color="auto" w:fill="auto"/>
            <w:noWrap/>
            <w:hideMark/>
          </w:tcPr>
          <w:p w:rsidR="00581455" w:rsidRPr="00581455" w:rsidRDefault="00581455" w:rsidP="00581455">
            <w:pPr>
              <w:jc w:val="right"/>
              <w:rPr>
                <w:sz w:val="16"/>
                <w:szCs w:val="16"/>
              </w:rPr>
            </w:pPr>
            <w:r w:rsidRPr="00581455">
              <w:rPr>
                <w:sz w:val="16"/>
                <w:szCs w:val="16"/>
              </w:rPr>
              <w:t>-196.31000</w:t>
            </w:r>
          </w:p>
        </w:tc>
        <w:tc>
          <w:tcPr>
            <w:tcW w:w="579" w:type="pct"/>
            <w:tcBorders>
              <w:top w:val="nil"/>
              <w:left w:val="single" w:sz="48" w:space="0" w:color="FFFFFF" w:themeColor="background1"/>
              <w:bottom w:val="nil"/>
              <w:right w:val="nil"/>
            </w:tcBorders>
            <w:shd w:val="clear" w:color="auto" w:fill="auto"/>
            <w:noWrap/>
            <w:hideMark/>
          </w:tcPr>
          <w:p w:rsidR="00581455" w:rsidRPr="00581455" w:rsidRDefault="00581455" w:rsidP="00581455">
            <w:pPr>
              <w:jc w:val="right"/>
              <w:rPr>
                <w:sz w:val="16"/>
                <w:szCs w:val="16"/>
              </w:rPr>
            </w:pPr>
            <w:r w:rsidRPr="00581455">
              <w:rPr>
                <w:sz w:val="16"/>
                <w:szCs w:val="16"/>
              </w:rPr>
              <w:t>7198.04280</w:t>
            </w:r>
          </w:p>
        </w:tc>
      </w:tr>
      <w:tr w:rsidR="00581455" w:rsidRPr="00581455" w:rsidTr="00581455">
        <w:trPr>
          <w:trHeight w:val="300"/>
        </w:trPr>
        <w:tc>
          <w:tcPr>
            <w:tcW w:w="795" w:type="pct"/>
            <w:tcBorders>
              <w:top w:val="nil"/>
              <w:left w:val="nil"/>
              <w:bottom w:val="single" w:sz="4" w:space="0" w:color="auto"/>
              <w:right w:val="nil"/>
            </w:tcBorders>
            <w:shd w:val="clear" w:color="auto" w:fill="auto"/>
            <w:noWrap/>
            <w:vAlign w:val="bottom"/>
            <w:hideMark/>
          </w:tcPr>
          <w:p w:rsidR="00581455" w:rsidRPr="00FA1818" w:rsidRDefault="00581455" w:rsidP="00581455">
            <w:pPr>
              <w:spacing w:after="0" w:line="240" w:lineRule="auto"/>
              <w:jc w:val="left"/>
              <w:rPr>
                <w:rFonts w:eastAsia="Times New Roman" w:cs="Times New Roman"/>
                <w:color w:val="000000"/>
                <w:sz w:val="16"/>
                <w:szCs w:val="16"/>
              </w:rPr>
            </w:pPr>
            <w:r w:rsidRPr="00FA1818">
              <w:rPr>
                <w:rFonts w:eastAsia="Times New Roman" w:cs="Times New Roman"/>
                <w:color w:val="000000"/>
                <w:sz w:val="16"/>
                <w:szCs w:val="16"/>
              </w:rPr>
              <w:t xml:space="preserve">Branch-bound </w:t>
            </w:r>
            <w:r w:rsidRPr="00581455">
              <w:rPr>
                <w:rFonts w:eastAsia="Times New Roman" w:cs="Times New Roman"/>
                <w:color w:val="000000"/>
                <w:sz w:val="16"/>
                <w:szCs w:val="16"/>
              </w:rPr>
              <w:fldChar w:fldCharType="begin"/>
            </w:r>
            <w:r w:rsidRPr="00581455">
              <w:rPr>
                <w:rFonts w:eastAsia="Times New Roman" w:cs="Times New Roman"/>
                <w:color w:val="000000"/>
                <w:sz w:val="16"/>
                <w:szCs w:val="16"/>
              </w:rPr>
              <w:instrText xml:space="preserve"> ADDIN ZOTERO_ITEM CSL_CITATION {"citationID":"HhUowZQR","properties":{"formattedCitation":"[10]","plainCitation":"[10]","noteIndex":0},"citationItems":[{"id":725,"uris":["http://zotero.org/users/10327636/items/XI7TQET5"],"itemData":{"id":725,"type":"article-journal","abstract":"A general purpose algorithm for the solution of nonlinear mathematical programming problems containing integer, discrete, zero-one, and continuous design variables is described. The algorithm implements a branch and bound procedure in conjunction with either an exterior penalty function or a quadratic programming method. Variable bounds are handled independently from the design constraints which removes the necessity to reformulate the problem at each branching node. Examples are presented to demonstrate the utility of the algorithm for solving design problems.","container-title":"Journal of Mechanical Design","DOI":"10.1115/1.2912596","ISSN":"1050-0472, 1528-9001","issue":"2","language":"en","page":"223-229","source":"DOI.org (Crossref)","title":"Nonlinear Integer and Discrete Programming in Mechanical Design Optimization","volume":"112","author":[{"family":"Sandgren","given":"E."}],"issued":{"date-parts":[["1990",6,1]]}}}],"schema":"https://github.com/citation-style-language/schema/raw/master/csl-citation.json"} </w:instrText>
            </w:r>
            <w:r w:rsidRPr="00581455">
              <w:rPr>
                <w:rFonts w:eastAsia="Times New Roman" w:cs="Times New Roman"/>
                <w:color w:val="000000"/>
                <w:sz w:val="16"/>
                <w:szCs w:val="16"/>
              </w:rPr>
              <w:fldChar w:fldCharType="separate"/>
            </w:r>
            <w:r w:rsidRPr="00581455">
              <w:rPr>
                <w:rFonts w:cs="Times New Roman"/>
                <w:sz w:val="16"/>
                <w:szCs w:val="16"/>
              </w:rPr>
              <w:t>[10]</w:t>
            </w:r>
            <w:r w:rsidRPr="00581455">
              <w:rPr>
                <w:rFonts w:eastAsia="Times New Roman" w:cs="Times New Roman"/>
                <w:color w:val="000000"/>
                <w:sz w:val="16"/>
                <w:szCs w:val="16"/>
              </w:rPr>
              <w:fldChar w:fldCharType="end"/>
            </w:r>
          </w:p>
        </w:tc>
        <w:tc>
          <w:tcPr>
            <w:tcW w:w="458"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1.12500</w:t>
            </w:r>
          </w:p>
        </w:tc>
        <w:tc>
          <w:tcPr>
            <w:tcW w:w="458"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0.62500</w:t>
            </w:r>
          </w:p>
        </w:tc>
        <w:tc>
          <w:tcPr>
            <w:tcW w:w="458"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48.97000</w:t>
            </w:r>
          </w:p>
        </w:tc>
        <w:tc>
          <w:tcPr>
            <w:tcW w:w="460"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106.72000</w:t>
            </w:r>
          </w:p>
        </w:tc>
        <w:tc>
          <w:tcPr>
            <w:tcW w:w="458"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0.17900</w:t>
            </w:r>
          </w:p>
        </w:tc>
        <w:tc>
          <w:tcPr>
            <w:tcW w:w="444"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0.15780</w:t>
            </w:r>
          </w:p>
        </w:tc>
        <w:tc>
          <w:tcPr>
            <w:tcW w:w="444"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3.00000</w:t>
            </w:r>
          </w:p>
        </w:tc>
        <w:tc>
          <w:tcPr>
            <w:tcW w:w="445"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133.28400</w:t>
            </w:r>
          </w:p>
        </w:tc>
        <w:tc>
          <w:tcPr>
            <w:tcW w:w="579" w:type="pct"/>
            <w:tcBorders>
              <w:top w:val="nil"/>
              <w:left w:val="nil"/>
              <w:bottom w:val="single" w:sz="4" w:space="0" w:color="auto"/>
              <w:right w:val="nil"/>
            </w:tcBorders>
            <w:shd w:val="clear" w:color="auto" w:fill="auto"/>
            <w:noWrap/>
            <w:hideMark/>
          </w:tcPr>
          <w:p w:rsidR="00581455" w:rsidRPr="00581455" w:rsidRDefault="00581455" w:rsidP="00581455">
            <w:pPr>
              <w:jc w:val="right"/>
              <w:rPr>
                <w:sz w:val="16"/>
                <w:szCs w:val="16"/>
              </w:rPr>
            </w:pPr>
            <w:r w:rsidRPr="00581455">
              <w:rPr>
                <w:sz w:val="16"/>
                <w:szCs w:val="16"/>
              </w:rPr>
              <w:t>7982.50000</w:t>
            </w:r>
          </w:p>
        </w:tc>
      </w:tr>
    </w:tbl>
    <w:p w:rsidR="00552588" w:rsidRPr="00581455" w:rsidRDefault="00552588">
      <w:pPr>
        <w:rPr>
          <w:rFonts w:cs="Times New Roman"/>
        </w:rPr>
      </w:pPr>
    </w:p>
    <w:p w:rsidR="00581455" w:rsidRPr="00581455" w:rsidRDefault="00552588" w:rsidP="00581455">
      <w:pPr>
        <w:pStyle w:val="Bibliography"/>
        <w:rPr>
          <w:rFonts w:cs="Times New Roman"/>
        </w:rPr>
      </w:pPr>
      <w:r w:rsidRPr="00581455">
        <w:rPr>
          <w:rFonts w:cs="Times New Roman"/>
        </w:rPr>
        <w:fldChar w:fldCharType="begin"/>
      </w:r>
      <w:r w:rsidR="00581455" w:rsidRPr="00581455">
        <w:rPr>
          <w:rFonts w:cs="Times New Roman"/>
        </w:rPr>
        <w:instrText xml:space="preserve"> ADDIN ZOTERO_BIBL {"uncited":[],"omitted":[],"custom":[]} CSL_BIBLIOGRAPHY </w:instrText>
      </w:r>
      <w:r w:rsidRPr="00581455">
        <w:rPr>
          <w:rFonts w:cs="Times New Roman"/>
        </w:rPr>
        <w:fldChar w:fldCharType="separate"/>
      </w:r>
      <w:r w:rsidR="00581455" w:rsidRPr="00581455">
        <w:rPr>
          <w:rFonts w:cs="Times New Roman"/>
        </w:rPr>
        <w:t>[1]</w:t>
      </w:r>
      <w:r w:rsidR="00581455" w:rsidRPr="00581455">
        <w:rPr>
          <w:rFonts w:cs="Times New Roman"/>
        </w:rPr>
        <w:tab/>
        <w:t>L. Abualigah, A. Diabat, S.</w:t>
      </w:r>
      <w:bookmarkStart w:id="0" w:name="_GoBack"/>
      <w:bookmarkEnd w:id="0"/>
      <w:r w:rsidR="00581455" w:rsidRPr="00581455">
        <w:rPr>
          <w:rFonts w:cs="Times New Roman"/>
        </w:rPr>
        <w:t xml:space="preserve"> Mirjalili, M. Abd Elaziz, and A. H. Gandomi, “The arithmetic optimization algorithm,” </w:t>
      </w:r>
      <w:r w:rsidR="00581455" w:rsidRPr="00581455">
        <w:rPr>
          <w:rFonts w:cs="Times New Roman"/>
          <w:i/>
          <w:iCs/>
        </w:rPr>
        <w:t>Comput. Methods Appl. Mech. Eng.</w:t>
      </w:r>
      <w:r w:rsidR="00581455" w:rsidRPr="00581455">
        <w:rPr>
          <w:rFonts w:cs="Times New Roman"/>
        </w:rPr>
        <w:t>, vol. 376, p. 113609, 2021, doi: 10.1016/j.cma.2020.113609.</w:t>
      </w:r>
    </w:p>
    <w:p w:rsidR="00581455" w:rsidRPr="00581455" w:rsidRDefault="00581455" w:rsidP="00581455">
      <w:pPr>
        <w:pStyle w:val="Bibliography"/>
        <w:rPr>
          <w:rFonts w:cs="Times New Roman"/>
        </w:rPr>
      </w:pPr>
      <w:r w:rsidRPr="00581455">
        <w:rPr>
          <w:rFonts w:cs="Times New Roman"/>
        </w:rPr>
        <w:t>[2]</w:t>
      </w:r>
      <w:r w:rsidRPr="00581455">
        <w:rPr>
          <w:rFonts w:cs="Times New Roman"/>
        </w:rPr>
        <w:tab/>
        <w:t xml:space="preserve">Q. He and L. Wang, “A hybrid particle swarm optimization with a feasibility-based rule for constrained optimization,” </w:t>
      </w:r>
      <w:r w:rsidRPr="00581455">
        <w:rPr>
          <w:rFonts w:cs="Times New Roman"/>
          <w:i/>
          <w:iCs/>
        </w:rPr>
        <w:t>Appl. Math. Comput.</w:t>
      </w:r>
      <w:r w:rsidRPr="00581455">
        <w:rPr>
          <w:rFonts w:cs="Times New Roman"/>
        </w:rPr>
        <w:t>, vol. 186, no. 2, pp. 1407–1422, Mar. 2007, doi: 10.1016/j.amc.2006.07.134.</w:t>
      </w:r>
    </w:p>
    <w:p w:rsidR="00581455" w:rsidRPr="00581455" w:rsidRDefault="00581455" w:rsidP="00581455">
      <w:pPr>
        <w:pStyle w:val="Bibliography"/>
        <w:rPr>
          <w:rFonts w:cs="Times New Roman"/>
        </w:rPr>
      </w:pPr>
      <w:r w:rsidRPr="00581455">
        <w:rPr>
          <w:rFonts w:cs="Times New Roman"/>
        </w:rPr>
        <w:t>[3]</w:t>
      </w:r>
      <w:r w:rsidRPr="00581455">
        <w:rPr>
          <w:rFonts w:cs="Times New Roman"/>
        </w:rPr>
        <w:tab/>
        <w:t xml:space="preserve">F. Huang, L. Wang, and Q. He, “An effective co-evolutionary differential evolution for constrained optimization,” </w:t>
      </w:r>
      <w:r w:rsidRPr="00581455">
        <w:rPr>
          <w:rFonts w:cs="Times New Roman"/>
          <w:i/>
          <w:iCs/>
        </w:rPr>
        <w:t>Appl. Math. Comput.</w:t>
      </w:r>
      <w:r w:rsidRPr="00581455">
        <w:rPr>
          <w:rFonts w:cs="Times New Roman"/>
        </w:rPr>
        <w:t>, vol. 186, no. 1, pp. 340–356, Mar. 2007, doi: 10.1016/j.amc.2006.07.105.</w:t>
      </w:r>
    </w:p>
    <w:p w:rsidR="00581455" w:rsidRPr="00581455" w:rsidRDefault="00581455" w:rsidP="00581455">
      <w:pPr>
        <w:pStyle w:val="Bibliography"/>
        <w:rPr>
          <w:rFonts w:cs="Times New Roman"/>
        </w:rPr>
      </w:pPr>
      <w:r w:rsidRPr="00581455">
        <w:rPr>
          <w:rFonts w:cs="Times New Roman"/>
        </w:rPr>
        <w:t>[4]</w:t>
      </w:r>
      <w:r w:rsidRPr="00581455">
        <w:rPr>
          <w:rFonts w:cs="Times New Roman"/>
        </w:rPr>
        <w:tab/>
        <w:t xml:space="preserve">S. Mirjalili and A. Lewis, “The whale optimization algorithm,” </w:t>
      </w:r>
      <w:r w:rsidRPr="00581455">
        <w:rPr>
          <w:rFonts w:cs="Times New Roman"/>
          <w:i/>
          <w:iCs/>
        </w:rPr>
        <w:t>Adv. Eng. Softw.</w:t>
      </w:r>
      <w:r w:rsidRPr="00581455">
        <w:rPr>
          <w:rFonts w:cs="Times New Roman"/>
        </w:rPr>
        <w:t>, vol. 95, pp. 51–67, 2016, doi: 10.1016/j.advengsoft.2017.07.002.</w:t>
      </w:r>
    </w:p>
    <w:p w:rsidR="00581455" w:rsidRPr="00581455" w:rsidRDefault="00581455" w:rsidP="00581455">
      <w:pPr>
        <w:pStyle w:val="Bibliography"/>
        <w:rPr>
          <w:rFonts w:cs="Times New Roman"/>
        </w:rPr>
      </w:pPr>
      <w:r w:rsidRPr="00581455">
        <w:rPr>
          <w:rFonts w:cs="Times New Roman"/>
        </w:rPr>
        <w:t>[5]</w:t>
      </w:r>
      <w:r w:rsidRPr="00581455">
        <w:rPr>
          <w:rFonts w:cs="Times New Roman"/>
        </w:rPr>
        <w:tab/>
        <w:t xml:space="preserve">C. A. Coello Coello and E. Mezura Montes, “Constraint-handling in genetic algorithms through the use of dominance-based tournament selection,” </w:t>
      </w:r>
      <w:r w:rsidRPr="00581455">
        <w:rPr>
          <w:rFonts w:cs="Times New Roman"/>
          <w:i/>
          <w:iCs/>
        </w:rPr>
        <w:t>Adv. Eng. Inform.</w:t>
      </w:r>
      <w:r w:rsidRPr="00581455">
        <w:rPr>
          <w:rFonts w:cs="Times New Roman"/>
        </w:rPr>
        <w:t>, vol. 16, no. 3, pp. 193–203, Jul. 2002, doi: 10.1016/S1474-0346(02)00011-3.</w:t>
      </w:r>
    </w:p>
    <w:p w:rsidR="00581455" w:rsidRPr="00581455" w:rsidRDefault="00581455" w:rsidP="00581455">
      <w:pPr>
        <w:pStyle w:val="Bibliography"/>
        <w:rPr>
          <w:rFonts w:cs="Times New Roman"/>
        </w:rPr>
      </w:pPr>
      <w:r w:rsidRPr="00581455">
        <w:rPr>
          <w:rFonts w:cs="Times New Roman"/>
        </w:rPr>
        <w:t>[6]</w:t>
      </w:r>
      <w:r w:rsidRPr="00581455">
        <w:rPr>
          <w:rFonts w:cs="Times New Roman"/>
        </w:rPr>
        <w:tab/>
        <w:t xml:space="preserve">C. A. Coello Coello, “CONSTRAINT-HANDLING USING AN EVOLUTIONARY MULTIOBJECTIVE OPTIMIZATION TECHNIQUE,” </w:t>
      </w:r>
      <w:r w:rsidRPr="00581455">
        <w:rPr>
          <w:rFonts w:cs="Times New Roman"/>
          <w:i/>
          <w:iCs/>
        </w:rPr>
        <w:t>Civ. Eng. Environ. Syst.</w:t>
      </w:r>
      <w:r w:rsidRPr="00581455">
        <w:rPr>
          <w:rFonts w:cs="Times New Roman"/>
        </w:rPr>
        <w:t>, vol. 17, no. 4, pp. 319–346, Oct. 2000, doi: 10.1080/02630250008970288.</w:t>
      </w:r>
    </w:p>
    <w:p w:rsidR="00581455" w:rsidRPr="00581455" w:rsidRDefault="00581455" w:rsidP="00581455">
      <w:pPr>
        <w:pStyle w:val="Bibliography"/>
        <w:rPr>
          <w:rFonts w:cs="Times New Roman"/>
        </w:rPr>
      </w:pPr>
      <w:r w:rsidRPr="00581455">
        <w:rPr>
          <w:rFonts w:cs="Times New Roman"/>
        </w:rPr>
        <w:t>[7]</w:t>
      </w:r>
      <w:r w:rsidRPr="00581455">
        <w:rPr>
          <w:rFonts w:cs="Times New Roman"/>
        </w:rPr>
        <w:tab/>
        <w:t xml:space="preserve">K. Deb, “GeneAS: A Robust Optimal Design Technique for Mechanical Component Design,” in </w:t>
      </w:r>
      <w:r w:rsidRPr="00581455">
        <w:rPr>
          <w:rFonts w:cs="Times New Roman"/>
          <w:i/>
          <w:iCs/>
        </w:rPr>
        <w:t>Evolutionary Algorithms in Engineering Applications</w:t>
      </w:r>
      <w:r w:rsidRPr="00581455">
        <w:rPr>
          <w:rFonts w:cs="Times New Roman"/>
        </w:rPr>
        <w:t>, D. Dasgupta and Z. Michalewicz, Eds., Berlin, Heidelberg: Springer Berlin Heidelberg, 1997, pp. 497–514. doi: 10.1007/978-3-662-03423-1_27.</w:t>
      </w:r>
    </w:p>
    <w:p w:rsidR="00581455" w:rsidRPr="00581455" w:rsidRDefault="00581455" w:rsidP="00581455">
      <w:pPr>
        <w:pStyle w:val="Bibliography"/>
        <w:rPr>
          <w:rFonts w:cs="Times New Roman"/>
        </w:rPr>
      </w:pPr>
      <w:r w:rsidRPr="00581455">
        <w:rPr>
          <w:rFonts w:cs="Times New Roman"/>
        </w:rPr>
        <w:t>[8]</w:t>
      </w:r>
      <w:r w:rsidRPr="00581455">
        <w:rPr>
          <w:rFonts w:cs="Times New Roman"/>
        </w:rPr>
        <w:tab/>
        <w:t xml:space="preserve">M. Mahdavi, M. Fesanghary, and E. Damangir, “An improved harmony search algorithm for solving optimization problems,” </w:t>
      </w:r>
      <w:r w:rsidRPr="00581455">
        <w:rPr>
          <w:rFonts w:cs="Times New Roman"/>
          <w:i/>
          <w:iCs/>
        </w:rPr>
        <w:t>Appl. Math. Comput.</w:t>
      </w:r>
      <w:r w:rsidRPr="00581455">
        <w:rPr>
          <w:rFonts w:cs="Times New Roman"/>
        </w:rPr>
        <w:t>, vol. 188, no. 2, pp. 1567–1579, May 2007, doi: 10.1016/j.amc.2006.11.033.</w:t>
      </w:r>
    </w:p>
    <w:p w:rsidR="00581455" w:rsidRPr="00581455" w:rsidRDefault="00581455" w:rsidP="00581455">
      <w:pPr>
        <w:pStyle w:val="Bibliography"/>
        <w:rPr>
          <w:rFonts w:cs="Times New Roman"/>
        </w:rPr>
      </w:pPr>
      <w:r w:rsidRPr="00581455">
        <w:rPr>
          <w:rFonts w:cs="Times New Roman"/>
        </w:rPr>
        <w:t>[9]</w:t>
      </w:r>
      <w:r w:rsidRPr="00581455">
        <w:rPr>
          <w:rFonts w:cs="Times New Roman"/>
        </w:rPr>
        <w:tab/>
        <w:t xml:space="preserve">B. K. Kannan and S. N. Kramer, “An Augmented Lagrange Multiplier Based Method for Mixed Integer Discrete Continuous Optimization and Its Applications to </w:t>
      </w:r>
      <w:r w:rsidRPr="00581455">
        <w:rPr>
          <w:rFonts w:cs="Times New Roman"/>
        </w:rPr>
        <w:lastRenderedPageBreak/>
        <w:t xml:space="preserve">Mechanical Design,” </w:t>
      </w:r>
      <w:r w:rsidRPr="00581455">
        <w:rPr>
          <w:rFonts w:cs="Times New Roman"/>
          <w:i/>
          <w:iCs/>
        </w:rPr>
        <w:t>J. Mech. Des.</w:t>
      </w:r>
      <w:r w:rsidRPr="00581455">
        <w:rPr>
          <w:rFonts w:cs="Times New Roman"/>
        </w:rPr>
        <w:t>, vol. 116, no. 2, pp. 405–411, Jun. 1994, doi: 10.1115/1.2919393.</w:t>
      </w:r>
    </w:p>
    <w:p w:rsidR="00581455" w:rsidRPr="00581455" w:rsidRDefault="00581455" w:rsidP="00581455">
      <w:pPr>
        <w:pStyle w:val="Bibliography"/>
        <w:rPr>
          <w:rFonts w:cs="Times New Roman"/>
        </w:rPr>
      </w:pPr>
      <w:r w:rsidRPr="00581455">
        <w:rPr>
          <w:rFonts w:cs="Times New Roman"/>
        </w:rPr>
        <w:t>[10]</w:t>
      </w:r>
      <w:r w:rsidRPr="00581455">
        <w:rPr>
          <w:rFonts w:cs="Times New Roman"/>
        </w:rPr>
        <w:tab/>
        <w:t xml:space="preserve">E. Sandgren, “Nonlinear Integer and Discrete Programming in Mechanical Design Optimization,” </w:t>
      </w:r>
      <w:r w:rsidRPr="00581455">
        <w:rPr>
          <w:rFonts w:cs="Times New Roman"/>
          <w:i/>
          <w:iCs/>
        </w:rPr>
        <w:t>J. Mech. Des.</w:t>
      </w:r>
      <w:r w:rsidRPr="00581455">
        <w:rPr>
          <w:rFonts w:cs="Times New Roman"/>
        </w:rPr>
        <w:t>, vol. 112, no. 2, pp. 223–229, Jun. 1990, doi: 10.1115/1.2912596.</w:t>
      </w:r>
    </w:p>
    <w:p w:rsidR="00552588" w:rsidRPr="00581455" w:rsidRDefault="00552588">
      <w:pPr>
        <w:rPr>
          <w:rFonts w:cs="Times New Roman"/>
        </w:rPr>
      </w:pPr>
      <w:r w:rsidRPr="00581455">
        <w:rPr>
          <w:rFonts w:cs="Times New Roman"/>
        </w:rPr>
        <w:fldChar w:fldCharType="end"/>
      </w:r>
    </w:p>
    <w:sectPr w:rsidR="00552588" w:rsidRPr="00581455"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88"/>
    <w:rsid w:val="00221A66"/>
    <w:rsid w:val="0026705E"/>
    <w:rsid w:val="003610ED"/>
    <w:rsid w:val="00552588"/>
    <w:rsid w:val="00581455"/>
    <w:rsid w:val="00764444"/>
    <w:rsid w:val="00A76496"/>
    <w:rsid w:val="00B602FD"/>
    <w:rsid w:val="00D7433A"/>
    <w:rsid w:val="00FA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10A8"/>
  <w15:chartTrackingRefBased/>
  <w15:docId w15:val="{BB17D3F4-2F80-4171-94AB-DA609B6F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Bibliography">
    <w:name w:val="Bibliography"/>
    <w:basedOn w:val="Normal"/>
    <w:next w:val="Normal"/>
    <w:uiPriority w:val="37"/>
    <w:unhideWhenUsed/>
    <w:rsid w:val="00552588"/>
    <w:pPr>
      <w:tabs>
        <w:tab w:val="left" w:pos="384"/>
      </w:tabs>
      <w:spacing w:after="0" w:line="240" w:lineRule="auto"/>
      <w:ind w:left="384" w:hanging="384"/>
    </w:pPr>
  </w:style>
  <w:style w:type="character" w:styleId="PlaceholderText">
    <w:name w:val="Placeholder Text"/>
    <w:basedOn w:val="DefaultParagraphFont"/>
    <w:uiPriority w:val="99"/>
    <w:semiHidden/>
    <w:rsid w:val="005814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0778">
      <w:bodyDiv w:val="1"/>
      <w:marLeft w:val="0"/>
      <w:marRight w:val="0"/>
      <w:marTop w:val="0"/>
      <w:marBottom w:val="0"/>
      <w:divBdr>
        <w:top w:val="none" w:sz="0" w:space="0" w:color="auto"/>
        <w:left w:val="none" w:sz="0" w:space="0" w:color="auto"/>
        <w:bottom w:val="none" w:sz="0" w:space="0" w:color="auto"/>
        <w:right w:val="none" w:sz="0" w:space="0" w:color="auto"/>
      </w:divBdr>
    </w:div>
    <w:div w:id="7133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1</cp:revision>
  <dcterms:created xsi:type="dcterms:W3CDTF">2023-05-30T01:34:00Z</dcterms:created>
  <dcterms:modified xsi:type="dcterms:W3CDTF">2023-05-30T03:00:00Z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id="3KvGG0nJ"/&gt;&lt;style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