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EF965" w14:textId="309F6FF8" w:rsidR="005B5546" w:rsidRDefault="0044080A">
      <w:pPr>
        <w:pStyle w:val="papertitle"/>
        <w:rPr>
          <w:lang w:eastAsia="zh-CN"/>
        </w:rPr>
      </w:pPr>
      <w:r>
        <w:t xml:space="preserve">Portfolio </w:t>
      </w:r>
      <w:r>
        <w:rPr>
          <w:rFonts w:eastAsia="SimSun" w:hint="eastAsia"/>
          <w:lang w:eastAsia="zh-CN"/>
        </w:rPr>
        <w:t>A</w:t>
      </w:r>
      <w:r>
        <w:t xml:space="preserve">llocation </w:t>
      </w:r>
      <w:r>
        <w:rPr>
          <w:rFonts w:eastAsia="SimSun" w:hint="eastAsia"/>
          <w:lang w:eastAsia="zh-CN"/>
        </w:rPr>
        <w:t>F</w:t>
      </w:r>
      <w:r>
        <w:t xml:space="preserve">ocusing on Chinese Companies </w:t>
      </w:r>
      <w:r>
        <w:rPr>
          <w:rFonts w:eastAsia="SimSun" w:hint="eastAsia"/>
          <w:lang w:eastAsia="zh-CN"/>
        </w:rPr>
        <w:t>T</w:t>
      </w:r>
      <w:r>
        <w:t xml:space="preserve">hat </w:t>
      </w:r>
      <w:r>
        <w:rPr>
          <w:rFonts w:eastAsia="SimSun" w:hint="eastAsia"/>
          <w:lang w:eastAsia="zh-CN"/>
        </w:rPr>
        <w:t>T</w:t>
      </w:r>
      <w:r>
        <w:t xml:space="preserve">rade on U.S. </w:t>
      </w:r>
      <w:r>
        <w:rPr>
          <w:rFonts w:eastAsia="SimSun" w:hint="eastAsia"/>
          <w:lang w:eastAsia="zh-CN"/>
        </w:rPr>
        <w:t>S</w:t>
      </w:r>
      <w:r>
        <w:t xml:space="preserve">tock </w:t>
      </w:r>
      <w:r>
        <w:rPr>
          <w:rFonts w:eastAsia="SimSun" w:hint="eastAsia"/>
          <w:lang w:eastAsia="zh-CN"/>
        </w:rPr>
        <w:t>E</w:t>
      </w:r>
      <w:r>
        <w:t>xchanges</w:t>
      </w:r>
    </w:p>
    <w:p w14:paraId="3E426F0F" w14:textId="77777777" w:rsidR="005B5546" w:rsidRDefault="005B5546">
      <w:pPr>
        <w:pStyle w:val="papersubtitle"/>
        <w:rPr>
          <w:lang w:val="en-CA"/>
        </w:rPr>
      </w:pPr>
    </w:p>
    <w:p w14:paraId="15AB6459" w14:textId="77777777" w:rsidR="005B5546" w:rsidRDefault="005B5546"/>
    <w:p w14:paraId="6B357243" w14:textId="77777777" w:rsidR="005B5546" w:rsidRDefault="005B5546">
      <w:pPr>
        <w:pStyle w:val="Author"/>
        <w:sectPr w:rsidR="005B5546">
          <w:pgSz w:w="12240" w:h="15840"/>
          <w:pgMar w:top="1080" w:right="893" w:bottom="1440" w:left="893" w:header="720" w:footer="720" w:gutter="0"/>
          <w:cols w:space="720"/>
          <w:docGrid w:linePitch="360"/>
        </w:sectPr>
      </w:pPr>
    </w:p>
    <w:p w14:paraId="7C6D5C90" w14:textId="77777777" w:rsidR="005B5546" w:rsidRDefault="0044080A">
      <w:pPr>
        <w:pStyle w:val="Author"/>
        <w:rPr>
          <w:lang w:eastAsia="zh-CN"/>
        </w:rPr>
      </w:pPr>
      <w:proofErr w:type="spellStart"/>
      <w:r>
        <w:t>Yuxuan</w:t>
      </w:r>
      <w:proofErr w:type="spellEnd"/>
      <w:r>
        <w:t xml:space="preserve"> Chen</w:t>
      </w:r>
      <w:r>
        <w:rPr>
          <w:vertAlign w:val="superscript"/>
          <w:lang w:eastAsia="zh-CN"/>
        </w:rPr>
        <w:t>1, *, †</w:t>
      </w:r>
    </w:p>
    <w:p w14:paraId="0A84F3A1" w14:textId="77777777" w:rsidR="005B5546" w:rsidRDefault="0044080A">
      <w:pPr>
        <w:pStyle w:val="Affiliation"/>
      </w:pPr>
      <w:r>
        <w:rPr>
          <w:rFonts w:hint="eastAsia"/>
          <w:vertAlign w:val="superscript"/>
          <w:lang w:eastAsia="zh-CN"/>
        </w:rPr>
        <w:t>1</w:t>
      </w:r>
      <w:r>
        <w:t xml:space="preserve">Faculty of Science </w:t>
      </w:r>
    </w:p>
    <w:p w14:paraId="29832FF2" w14:textId="77777777" w:rsidR="005B5546" w:rsidRDefault="0044080A">
      <w:pPr>
        <w:pStyle w:val="Affiliation"/>
      </w:pPr>
      <w:r>
        <w:t>Yokohama City University</w:t>
      </w:r>
    </w:p>
    <w:p w14:paraId="28D32331" w14:textId="77777777" w:rsidR="005B5546" w:rsidRDefault="0044080A">
      <w:pPr>
        <w:pStyle w:val="Affiliation"/>
      </w:pPr>
      <w:r>
        <w:t xml:space="preserve">Yokohama, Kanagawa, Japan </w:t>
      </w:r>
    </w:p>
    <w:p w14:paraId="46F9E531" w14:textId="77777777" w:rsidR="005B5546" w:rsidRDefault="0044080A">
      <w:pPr>
        <w:pStyle w:val="Affiliation"/>
        <w:rPr>
          <w:lang w:eastAsia="zh-CN"/>
        </w:rPr>
      </w:pPr>
      <w:r>
        <w:rPr>
          <w:rFonts w:hint="eastAsia"/>
          <w:vertAlign w:val="superscript"/>
          <w:lang w:eastAsia="zh-CN"/>
        </w:rPr>
        <w:t>*</w:t>
      </w:r>
      <w:r>
        <w:t>s192092f@yokohama-cu.ac.j</w:t>
      </w:r>
      <w:r>
        <w:rPr>
          <w:rFonts w:hint="eastAsia"/>
        </w:rPr>
        <w:t>p</w:t>
      </w:r>
    </w:p>
    <w:p w14:paraId="4E447D8D" w14:textId="77777777" w:rsidR="005B5546" w:rsidRDefault="005B5546">
      <w:pPr>
        <w:pStyle w:val="Affiliation"/>
        <w:rPr>
          <w:lang w:eastAsia="zh-CN"/>
        </w:rPr>
      </w:pPr>
    </w:p>
    <w:p w14:paraId="3491657D" w14:textId="77777777" w:rsidR="005B5546" w:rsidRDefault="005B5546">
      <w:pPr>
        <w:pStyle w:val="Affiliation"/>
        <w:rPr>
          <w:lang w:eastAsia="zh-CN"/>
        </w:rPr>
      </w:pPr>
    </w:p>
    <w:p w14:paraId="48EF2907" w14:textId="77777777" w:rsidR="005B5546" w:rsidRDefault="0044080A">
      <w:pPr>
        <w:pStyle w:val="Author"/>
        <w:rPr>
          <w:lang w:eastAsia="zh-CN"/>
        </w:rPr>
      </w:pPr>
      <w:proofErr w:type="spellStart"/>
      <w:r>
        <w:t>Tingsong</w:t>
      </w:r>
      <w:proofErr w:type="spellEnd"/>
      <w:r>
        <w:t xml:space="preserve"> Li</w:t>
      </w:r>
      <w:r>
        <w:rPr>
          <w:rFonts w:hint="eastAsia"/>
          <w:vertAlign w:val="superscript"/>
          <w:lang w:eastAsia="zh-CN"/>
        </w:rPr>
        <w:t>2</w:t>
      </w:r>
      <w:r>
        <w:rPr>
          <w:vertAlign w:val="superscript"/>
          <w:lang w:eastAsia="zh-CN"/>
        </w:rPr>
        <w:t>, *, †</w:t>
      </w:r>
    </w:p>
    <w:p w14:paraId="1A05C95D" w14:textId="77777777" w:rsidR="005B5546" w:rsidRDefault="0044080A">
      <w:pPr>
        <w:pStyle w:val="Affiliation"/>
        <w:rPr>
          <w:lang w:eastAsia="zh-CN"/>
        </w:rPr>
      </w:pPr>
      <w:r>
        <w:rPr>
          <w:rFonts w:hint="eastAsia"/>
          <w:vertAlign w:val="superscript"/>
          <w:lang w:eastAsia="zh-CN"/>
        </w:rPr>
        <w:t>2</w:t>
      </w:r>
      <w:r>
        <w:t>Weatherhead School of Management</w:t>
      </w:r>
      <w:r>
        <w:rPr>
          <w:rFonts w:hint="eastAsia"/>
          <w:lang w:eastAsia="zh-CN"/>
        </w:rPr>
        <w:t xml:space="preserve">, </w:t>
      </w:r>
    </w:p>
    <w:p w14:paraId="6B0AA3C3" w14:textId="77777777" w:rsidR="005B5546" w:rsidRDefault="0044080A">
      <w:pPr>
        <w:pStyle w:val="Affiliation"/>
      </w:pPr>
      <w:r>
        <w:t>Case Western Reserve University,</w:t>
      </w:r>
    </w:p>
    <w:p w14:paraId="12396BC6" w14:textId="77777777" w:rsidR="005B5546" w:rsidRDefault="0044080A">
      <w:pPr>
        <w:pStyle w:val="Affiliation"/>
      </w:pPr>
      <w:r>
        <w:t>Cleveland, OH, USA</w:t>
      </w:r>
    </w:p>
    <w:p w14:paraId="3FE84F31" w14:textId="77777777" w:rsidR="005B5546" w:rsidRDefault="0044080A">
      <w:pPr>
        <w:pStyle w:val="Affiliation"/>
      </w:pPr>
      <w:r>
        <w:rPr>
          <w:rFonts w:hint="eastAsia"/>
          <w:vertAlign w:val="superscript"/>
          <w:lang w:eastAsia="zh-CN"/>
        </w:rPr>
        <w:t>*</w:t>
      </w:r>
      <w:r>
        <w:t>tingsong.li@case.edu</w:t>
      </w:r>
    </w:p>
    <w:p w14:paraId="4E32D07C" w14:textId="77777777" w:rsidR="005B5546" w:rsidRDefault="005B5546">
      <w:pPr>
        <w:pStyle w:val="Author"/>
        <w:rPr>
          <w:lang w:eastAsia="zh-CN"/>
        </w:rPr>
      </w:pPr>
    </w:p>
    <w:p w14:paraId="0E74FC0B" w14:textId="77777777" w:rsidR="005B5546" w:rsidRDefault="0044080A">
      <w:pPr>
        <w:pStyle w:val="Author"/>
        <w:rPr>
          <w:vertAlign w:val="superscript"/>
        </w:rPr>
      </w:pPr>
      <w:r>
        <w:rPr>
          <w:lang w:eastAsia="zh-CN"/>
        </w:rPr>
        <w:t>Leyao Lin</w:t>
      </w:r>
      <w:r>
        <w:rPr>
          <w:rFonts w:hint="eastAsia"/>
          <w:vertAlign w:val="superscript"/>
          <w:lang w:eastAsia="zh-CN"/>
        </w:rPr>
        <w:t>3</w:t>
      </w:r>
      <w:r>
        <w:rPr>
          <w:vertAlign w:val="superscript"/>
          <w:lang w:eastAsia="zh-CN"/>
        </w:rPr>
        <w:t>, *, †</w:t>
      </w:r>
    </w:p>
    <w:p w14:paraId="38F5E10D" w14:textId="77777777" w:rsidR="005B5546" w:rsidRDefault="0044080A">
      <w:pPr>
        <w:pStyle w:val="Affiliation"/>
        <w:rPr>
          <w:rFonts w:ascii="PFDINTextPro" w:hAnsi="PFDINTextPro" w:hint="eastAsia"/>
          <w:color w:val="000000"/>
        </w:rPr>
      </w:pPr>
      <w:r>
        <w:rPr>
          <w:rFonts w:hint="eastAsia"/>
          <w:vertAlign w:val="superscript"/>
          <w:lang w:eastAsia="zh-CN"/>
        </w:rPr>
        <w:t>3</w:t>
      </w:r>
      <w:r>
        <w:t xml:space="preserve">The Department of Statistic and Actuarial science, </w:t>
      </w:r>
    </w:p>
    <w:p w14:paraId="4BC78C42" w14:textId="77777777" w:rsidR="005B5546" w:rsidRDefault="0044080A">
      <w:pPr>
        <w:pStyle w:val="Affiliation"/>
      </w:pPr>
      <w:r>
        <w:t xml:space="preserve">Simon Fraser University, </w:t>
      </w:r>
    </w:p>
    <w:p w14:paraId="415CA654" w14:textId="77777777" w:rsidR="005B5546" w:rsidRDefault="0044080A">
      <w:pPr>
        <w:pStyle w:val="Affiliation"/>
      </w:pPr>
      <w:r>
        <w:t>Burnaby, BC, Canada</w:t>
      </w:r>
    </w:p>
    <w:p w14:paraId="1A65C301" w14:textId="77777777" w:rsidR="005B5546" w:rsidRDefault="0044080A">
      <w:pPr>
        <w:pStyle w:val="Affiliation"/>
      </w:pPr>
      <w:r>
        <w:rPr>
          <w:rFonts w:hint="eastAsia"/>
          <w:vertAlign w:val="superscript"/>
          <w:lang w:eastAsia="zh-CN"/>
        </w:rPr>
        <w:t>*</w:t>
      </w:r>
      <w:r>
        <w:t>leyaol@sfu.ca</w:t>
      </w:r>
    </w:p>
    <w:p w14:paraId="2F32D68C" w14:textId="77777777" w:rsidR="005B5546" w:rsidRDefault="0044080A">
      <w:pPr>
        <w:pStyle w:val="Affiliation"/>
        <w:jc w:val="left"/>
        <w:rPr>
          <w:lang w:eastAsia="zh-CN"/>
        </w:rPr>
        <w:sectPr w:rsidR="005B5546">
          <w:type w:val="continuous"/>
          <w:pgSz w:w="12240" w:h="15840"/>
          <w:pgMar w:top="1080" w:right="893" w:bottom="1440" w:left="893" w:header="720" w:footer="720" w:gutter="0"/>
          <w:cols w:num="3" w:space="720"/>
          <w:docGrid w:linePitch="360"/>
        </w:sectPr>
      </w:pPr>
      <w:r w:rsidRPr="004B6CEE">
        <w:rPr>
          <w:vertAlign w:val="superscript"/>
          <w:lang w:eastAsia="zh-CN"/>
        </w:rPr>
        <w:t>†</w:t>
      </w:r>
      <w:r>
        <w:rPr>
          <w:lang w:eastAsia="zh-CN"/>
        </w:rPr>
        <w:t>These authors contributed equally.</w:t>
      </w:r>
    </w:p>
    <w:p w14:paraId="4C5D77F3" w14:textId="77777777" w:rsidR="005B5546" w:rsidRDefault="005B5546"/>
    <w:p w14:paraId="38CF7CDF" w14:textId="77777777" w:rsidR="005B5546" w:rsidRDefault="005B5546">
      <w:pPr>
        <w:sectPr w:rsidR="005B5546">
          <w:type w:val="continuous"/>
          <w:pgSz w:w="12240" w:h="15840"/>
          <w:pgMar w:top="1080" w:right="893" w:bottom="1440" w:left="893" w:header="720" w:footer="720" w:gutter="0"/>
          <w:cols w:space="720"/>
          <w:docGrid w:linePitch="360"/>
        </w:sectPr>
      </w:pPr>
    </w:p>
    <w:p w14:paraId="0AF63774" w14:textId="5EDA45B8" w:rsidR="005B5546" w:rsidRDefault="0044080A">
      <w:pPr>
        <w:pStyle w:val="Abstract"/>
      </w:pPr>
      <w:r>
        <w:rPr>
          <w:i/>
          <w:iCs/>
        </w:rPr>
        <w:t>Abstract</w:t>
      </w:r>
      <w:r>
        <w:t xml:space="preserve">— Against the background of the COVID-19 pandemic, stock markets around the world have been greatly impacted. The Chinese stocks </w:t>
      </w:r>
      <w:r w:rsidR="000A51E2">
        <w:t>face the risk render by pandemics and</w:t>
      </w:r>
      <w:r>
        <w:t xml:space="preserve"> </w:t>
      </w:r>
      <w:r>
        <w:rPr>
          <w:rFonts w:hint="eastAsia"/>
          <w:lang w:eastAsia="zh-CN"/>
        </w:rPr>
        <w:t xml:space="preserve">face the </w:t>
      </w:r>
      <w:r>
        <w:t>crackdown from the Chinese government. This study aims to evaluate the portfolio allocation with the U.S.-listed Chinese stocks. In this paper, first, we calculate the Sharpe ratio of all Chinese companies that trade on U.S. major stock markets and choose six stocks with the largest Sharpe ratio to do asset allocation. The stocks that we cho</w:t>
      </w:r>
      <w:r>
        <w:rPr>
          <w:rFonts w:hint="eastAsia"/>
          <w:lang w:eastAsia="zh-CN"/>
        </w:rPr>
        <w:t>o</w:t>
      </w:r>
      <w:r>
        <w:t xml:space="preserve">se are SPI, AACG, BTB, MOXC, DQ and RENN. Then we plot the efficient frontier by the Monte Carlo simulation method to find the maximum Sharpe Ratio portfolio and minimum volatility </w:t>
      </w:r>
      <w:proofErr w:type="gramStart"/>
      <w:r>
        <w:t>portfolio</w:t>
      </w:r>
      <w:r>
        <w:rPr>
          <w:rFonts w:hint="eastAsia"/>
          <w:lang w:eastAsia="zh-CN"/>
        </w:rPr>
        <w:t>,</w:t>
      </w:r>
      <w:r>
        <w:t xml:space="preserve"> and</w:t>
      </w:r>
      <w:proofErr w:type="gramEnd"/>
      <w:r>
        <w:t xml:space="preserve"> </w:t>
      </w:r>
      <w:r>
        <w:rPr>
          <w:rFonts w:hint="eastAsia"/>
        </w:rPr>
        <w:t>view</w:t>
      </w:r>
      <w:r>
        <w:t xml:space="preserve"> the performance of each portfolio. </w:t>
      </w:r>
      <w:r w:rsidR="000A51E2">
        <w:t>We get a similar composition of stocks in these two portfolio</w:t>
      </w:r>
      <w:r>
        <w:t xml:space="preserve">s, </w:t>
      </w:r>
      <w:r>
        <w:rPr>
          <w:rFonts w:hint="eastAsia"/>
          <w:lang w:eastAsia="zh-CN"/>
        </w:rPr>
        <w:t>which</w:t>
      </w:r>
      <w:r>
        <w:t xml:space="preserve"> have a high Sharpe ratio and high volatility. In conclusion, we can say that allocations with pure Chinese stocks may not be suitable for risk-averse people. Finally, we use the ARIMA model to predict </w:t>
      </w:r>
      <w:r>
        <w:rPr>
          <w:rFonts w:hint="eastAsia"/>
          <w:lang w:eastAsia="zh-CN"/>
        </w:rPr>
        <w:t xml:space="preserve">the </w:t>
      </w:r>
      <w:r>
        <w:t>future 21 days returns of each stock. We</w:t>
      </w:r>
      <w:r>
        <w:rPr>
          <w:rFonts w:hint="eastAsia"/>
          <w:lang w:eastAsia="zh-CN"/>
        </w:rPr>
        <w:t xml:space="preserve"> </w:t>
      </w:r>
      <w:r>
        <w:t>calculate the AIC to evaluate the model and plot the prediction of stocks’ returns and compare it with the real value which the stocks show. As a result, we find that the ARIMA model only has limited accuracy in predicting the future.</w:t>
      </w:r>
    </w:p>
    <w:p w14:paraId="22BA18B6" w14:textId="77777777" w:rsidR="005B5546" w:rsidRDefault="0044080A">
      <w:pPr>
        <w:pStyle w:val="keywords"/>
        <w:ind w:firstLine="0"/>
        <w:rPr>
          <w:lang w:eastAsia="zh-CN"/>
        </w:rPr>
      </w:pPr>
      <w:r>
        <w:t>Keywords-component; Portfolio allocation</w:t>
      </w:r>
      <w:r>
        <w:rPr>
          <w:rFonts w:hint="eastAsia"/>
        </w:rPr>
        <w:t xml:space="preserve">; Chinese </w:t>
      </w:r>
      <w:r>
        <w:t>Corporation</w:t>
      </w:r>
      <w:r>
        <w:rPr>
          <w:rFonts w:hint="eastAsia"/>
        </w:rPr>
        <w:t xml:space="preserve"> Analysis; US stock market;</w:t>
      </w:r>
      <w:r>
        <w:t xml:space="preserve"> Monte Carlo simulation; ARIMA </w:t>
      </w:r>
      <w:r>
        <w:rPr>
          <w:rFonts w:hint="eastAsia"/>
          <w:lang w:eastAsia="zh-CN"/>
        </w:rPr>
        <w:t>model</w:t>
      </w:r>
    </w:p>
    <w:p w14:paraId="5852C11A" w14:textId="64EBECB6" w:rsidR="005B5546" w:rsidRDefault="0044080A" w:rsidP="004B6CEE">
      <w:pPr>
        <w:pStyle w:val="Heading1"/>
        <w:jc w:val="center"/>
      </w:pPr>
      <w:r>
        <w:t>Introduction</w:t>
      </w:r>
    </w:p>
    <w:p w14:paraId="79C6EB1E" w14:textId="77777777" w:rsidR="005B5546" w:rsidRDefault="0044080A">
      <w:pPr>
        <w:pStyle w:val="sponsors"/>
        <w:framePr w:wrap="auto" w:vAnchor="page" w:hAnchor="page" w:x="894" w:y="14401"/>
        <w:rPr>
          <w:lang w:eastAsia="zh-CN"/>
        </w:rPr>
      </w:pPr>
      <w:r>
        <w:rPr>
          <w:rFonts w:hint="eastAsia"/>
          <w:lang w:eastAsia="zh-CN"/>
        </w:rPr>
        <w:t>*Statement: All the authors are the co-first authors, and they are the co-responding authors.</w:t>
      </w:r>
    </w:p>
    <w:p w14:paraId="5F36D495" w14:textId="77777777" w:rsidR="005B5546" w:rsidRDefault="0044080A">
      <w:pPr>
        <w:pStyle w:val="BodyText"/>
        <w:rPr>
          <w:sz w:val="20"/>
          <w:szCs w:val="20"/>
        </w:rPr>
      </w:pPr>
      <w:r>
        <w:rPr>
          <w:sz w:val="20"/>
          <w:szCs w:val="20"/>
        </w:rPr>
        <w:t xml:space="preserve">In such an era as the COVID-19 pandemic has been a global menace to human beings, the global economy has been greatly affected, primarily for retailing and tourist industries, and the negative impact may further be amplified with the uncertain trend of the pandemic [1]. As a result of economic globalization, </w:t>
      </w:r>
      <w:proofErr w:type="gramStart"/>
      <w:r>
        <w:rPr>
          <w:sz w:val="20"/>
          <w:szCs w:val="20"/>
        </w:rPr>
        <w:t>all of</w:t>
      </w:r>
      <w:proofErr w:type="gramEnd"/>
      <w:r>
        <w:rPr>
          <w:sz w:val="20"/>
          <w:szCs w:val="20"/>
        </w:rPr>
        <w:t xml:space="preserve"> the stock markets around the world have been impacted by the COVID-19 [2]. Especially for Chinese stocks, not only are they influenced by the pandemic but are also facing severe political pressure in China [3]. In this case, it is a challenge for us to form a portfolio with US-listed Chinese stocks, given the </w:t>
      </w:r>
      <w:proofErr w:type="gramStart"/>
      <w:r>
        <w:rPr>
          <w:sz w:val="20"/>
          <w:szCs w:val="20"/>
        </w:rPr>
        <w:t>aforementioned risks</w:t>
      </w:r>
      <w:proofErr w:type="gramEnd"/>
      <w:r>
        <w:rPr>
          <w:sz w:val="20"/>
          <w:szCs w:val="20"/>
        </w:rPr>
        <w:t xml:space="preserve"> rendered by the pandemic as well as the crackdown from the Chinese government [4].</w:t>
      </w:r>
    </w:p>
    <w:p w14:paraId="55864D8A" w14:textId="6B14ECFA" w:rsidR="005B5546" w:rsidRDefault="0044080A">
      <w:pPr>
        <w:pStyle w:val="BodyText"/>
        <w:rPr>
          <w:sz w:val="20"/>
          <w:szCs w:val="20"/>
        </w:rPr>
      </w:pPr>
      <w:r>
        <w:rPr>
          <w:sz w:val="20"/>
          <w:szCs w:val="20"/>
        </w:rPr>
        <w:t xml:space="preserve">Since 1994, there is an increasing number of Chinese stocks listed in US major stock markets. As per the data from USCC, as of May 2021, there have been 248 China-related companies listed in the US, with a total market capitalization of 2.1 trillion dollars [5]. The main reason is that those companies are attracted by a higher degree of market activity. Also, they are seeking more opportunities to </w:t>
      </w:r>
      <w:r>
        <w:rPr>
          <w:rFonts w:hint="eastAsia"/>
          <w:sz w:val="20"/>
          <w:szCs w:val="20"/>
        </w:rPr>
        <w:t>familiarize themselves</w:t>
      </w:r>
      <w:r>
        <w:rPr>
          <w:sz w:val="20"/>
          <w:szCs w:val="20"/>
        </w:rPr>
        <w:t xml:space="preserve"> with global investors as well as avoiding the relatively strict regulation in China [6]. Indeed, investors have been attracted by the integration of the US and Chinese stock markets as of decades ago [7]. However, we did not find plenty of published research focusing on this </w:t>
      </w:r>
      <w:proofErr w:type="gramStart"/>
      <w:r>
        <w:rPr>
          <w:sz w:val="20"/>
          <w:szCs w:val="20"/>
        </w:rPr>
        <w:t>particular group</w:t>
      </w:r>
      <w:proofErr w:type="gramEnd"/>
      <w:r>
        <w:rPr>
          <w:sz w:val="20"/>
          <w:szCs w:val="20"/>
        </w:rPr>
        <w:t xml:space="preserve"> of stocks.</w:t>
      </w:r>
    </w:p>
    <w:p w14:paraId="1C59992D" w14:textId="7067CEDB" w:rsidR="005B5546" w:rsidRDefault="0044080A">
      <w:pPr>
        <w:pStyle w:val="BodyText"/>
        <w:rPr>
          <w:sz w:val="20"/>
          <w:szCs w:val="20"/>
        </w:rPr>
      </w:pPr>
      <w:r>
        <w:rPr>
          <w:sz w:val="20"/>
          <w:szCs w:val="20"/>
        </w:rPr>
        <w:t xml:space="preserve">Regarding the high risks to Chinese stocks listed in US stock markets, we would like to maximize the return of the portfolio by maximizing the return of the unit risk. One of the most common </w:t>
      </w:r>
      <w:r w:rsidR="000A51E2">
        <w:rPr>
          <w:sz w:val="20"/>
          <w:szCs w:val="20"/>
        </w:rPr>
        <w:t>ways to measure the performance of assets under risk is the Sharpe ratio, which calculates</w:t>
      </w:r>
      <w:r>
        <w:rPr>
          <w:sz w:val="20"/>
          <w:szCs w:val="20"/>
        </w:rPr>
        <w:t xml:space="preserve"> the return of a unit risk [8]. For </w:t>
      </w:r>
      <w:r w:rsidR="000A51E2">
        <w:rPr>
          <w:sz w:val="20"/>
          <w:szCs w:val="20"/>
        </w:rPr>
        <w:t>portfolio optimization methodology</w:t>
      </w:r>
      <w:r>
        <w:rPr>
          <w:sz w:val="20"/>
          <w:szCs w:val="20"/>
        </w:rPr>
        <w:t xml:space="preserve">, we are inspired by the Monte Carlo simulation, which is extensively used in portfolio management. </w:t>
      </w:r>
      <w:proofErr w:type="gramStart"/>
      <w:r>
        <w:rPr>
          <w:sz w:val="20"/>
          <w:szCs w:val="20"/>
        </w:rPr>
        <w:t>Similar to</w:t>
      </w:r>
      <w:proofErr w:type="gramEnd"/>
      <w:r>
        <w:rPr>
          <w:sz w:val="20"/>
          <w:szCs w:val="20"/>
        </w:rPr>
        <w:t xml:space="preserve"> the method of exhaustion, Monte Carlo simulation assign</w:t>
      </w:r>
      <w:r>
        <w:rPr>
          <w:rFonts w:eastAsia="SimSun" w:hint="eastAsia"/>
          <w:sz w:val="20"/>
          <w:szCs w:val="20"/>
          <w:lang w:val="en-US"/>
        </w:rPr>
        <w:t>s</w:t>
      </w:r>
      <w:r>
        <w:rPr>
          <w:sz w:val="20"/>
          <w:szCs w:val="20"/>
        </w:rPr>
        <w:t xml:space="preserve"> different weights to each asset and derive</w:t>
      </w:r>
      <w:r>
        <w:rPr>
          <w:rFonts w:eastAsia="SimSun" w:hint="eastAsia"/>
          <w:sz w:val="20"/>
          <w:szCs w:val="20"/>
          <w:lang w:val="en-US"/>
        </w:rPr>
        <w:t>s</w:t>
      </w:r>
      <w:r>
        <w:rPr>
          <w:sz w:val="20"/>
          <w:szCs w:val="20"/>
        </w:rPr>
        <w:t xml:space="preserve"> as many conditions as possible,</w:t>
      </w:r>
      <w:r>
        <w:rPr>
          <w:rFonts w:eastAsia="SimSun" w:hint="eastAsia"/>
          <w:sz w:val="20"/>
          <w:szCs w:val="20"/>
          <w:lang w:val="en-US"/>
        </w:rPr>
        <w:t xml:space="preserve"> which</w:t>
      </w:r>
      <w:r>
        <w:rPr>
          <w:sz w:val="20"/>
          <w:szCs w:val="20"/>
        </w:rPr>
        <w:t xml:space="preserve"> </w:t>
      </w:r>
      <w:r>
        <w:rPr>
          <w:sz w:val="20"/>
          <w:szCs w:val="20"/>
          <w:lang w:val="en-US"/>
        </w:rPr>
        <w:t>has been</w:t>
      </w:r>
      <w:r>
        <w:rPr>
          <w:sz w:val="20"/>
          <w:szCs w:val="20"/>
        </w:rPr>
        <w:t xml:space="preserve"> seen as an ideal way to solve portfolio management problems [9]. We also utilize the efficient frontier to acquire efficient combinations of weights with the variety of returns and risks for a particular portfolio, which ha</w:t>
      </w:r>
      <w:r>
        <w:rPr>
          <w:rFonts w:eastAsia="SimSun" w:hint="eastAsia"/>
          <w:sz w:val="20"/>
          <w:szCs w:val="20"/>
          <w:lang w:val="en-US"/>
        </w:rPr>
        <w:t>s</w:t>
      </w:r>
      <w:r>
        <w:rPr>
          <w:sz w:val="20"/>
          <w:szCs w:val="20"/>
        </w:rPr>
        <w:t xml:space="preserve"> proved to be useful since the last century [10]. For trend forecasting, we referred to the autoregressive integrated moving average (ARIMA) model. ARIMA is a widely used time series model. It is based on </w:t>
      </w:r>
      <w:r>
        <w:rPr>
          <w:rFonts w:eastAsia="SimSun" w:hint="eastAsia"/>
          <w:sz w:val="20"/>
          <w:szCs w:val="20"/>
          <w:lang w:val="en-US"/>
        </w:rPr>
        <w:t xml:space="preserve">the </w:t>
      </w:r>
      <w:r>
        <w:rPr>
          <w:sz w:val="20"/>
          <w:szCs w:val="20"/>
        </w:rPr>
        <w:t xml:space="preserve">autoregressive moving average model with integration to make the time series forecast more stationary and more robust </w:t>
      </w:r>
      <w:r>
        <w:rPr>
          <w:rFonts w:eastAsia="SimSun" w:hint="eastAsia"/>
          <w:sz w:val="20"/>
          <w:szCs w:val="20"/>
          <w:lang w:val="en-US"/>
        </w:rPr>
        <w:t>in</w:t>
      </w:r>
      <w:r>
        <w:rPr>
          <w:sz w:val="20"/>
          <w:szCs w:val="20"/>
        </w:rPr>
        <w:t xml:space="preserve"> a short-term forecast horizon. Many scholars used ARIMA in the field of finance and economy, such as forecasting the future value of a currency and future demand for supply chain management [11</w:t>
      </w:r>
      <w:r>
        <w:rPr>
          <w:rFonts w:hint="eastAsia"/>
          <w:sz w:val="20"/>
          <w:szCs w:val="20"/>
        </w:rPr>
        <w:t xml:space="preserve">, </w:t>
      </w:r>
      <w:r>
        <w:rPr>
          <w:sz w:val="20"/>
          <w:szCs w:val="20"/>
        </w:rPr>
        <w:t>12]. However, all those methods are flawed in that there is still no research showing the application of those methods on US-listed Chinese stocks.</w:t>
      </w:r>
    </w:p>
    <w:p w14:paraId="3456185C" w14:textId="59779B79" w:rsidR="005B5546" w:rsidRDefault="0044080A">
      <w:pPr>
        <w:pStyle w:val="BodyText"/>
        <w:rPr>
          <w:sz w:val="20"/>
          <w:szCs w:val="20"/>
        </w:rPr>
      </w:pPr>
      <w:r>
        <w:rPr>
          <w:sz w:val="20"/>
          <w:szCs w:val="20"/>
        </w:rPr>
        <w:lastRenderedPageBreak/>
        <w:t xml:space="preserve">In this paper, we will select 6 assets with the Sharpe ratio as our portfolio. We will then figure out the specific weight of each asset in the portfolio by Monte Carlo simulation and select one combination of weights that is suitable for us. We would finally do the trend forecast via the ARIMA model </w:t>
      </w:r>
      <w:r w:rsidR="000A51E2">
        <w:rPr>
          <w:sz w:val="20"/>
          <w:szCs w:val="20"/>
        </w:rPr>
        <w:t>to predict</w:t>
      </w:r>
      <w:r>
        <w:rPr>
          <w:sz w:val="20"/>
          <w:szCs w:val="20"/>
        </w:rPr>
        <w:t xml:space="preserve"> our portfolio.</w:t>
      </w:r>
    </w:p>
    <w:p w14:paraId="65F1400F" w14:textId="77777777" w:rsidR="005B5546" w:rsidRDefault="0044080A" w:rsidP="004B6CEE">
      <w:pPr>
        <w:pStyle w:val="Heading1"/>
        <w:jc w:val="center"/>
      </w:pPr>
      <w:r>
        <w:t>Method</w:t>
      </w:r>
    </w:p>
    <w:p w14:paraId="733379F4" w14:textId="77777777" w:rsidR="005B5546" w:rsidRDefault="0044080A">
      <w:pPr>
        <w:pStyle w:val="Heading2"/>
      </w:pPr>
      <w:r>
        <w:t xml:space="preserve">Data preparation </w:t>
      </w:r>
    </w:p>
    <w:p w14:paraId="18DA852C" w14:textId="7B9494D6" w:rsidR="005B5546" w:rsidRDefault="0044080A">
      <w:pPr>
        <w:pStyle w:val="BodyText"/>
        <w:rPr>
          <w:sz w:val="20"/>
          <w:szCs w:val="20"/>
        </w:rPr>
      </w:pPr>
      <w:r>
        <w:rPr>
          <w:sz w:val="20"/>
          <w:szCs w:val="20"/>
        </w:rPr>
        <w:t xml:space="preserve">We get a list of Chinese companies </w:t>
      </w:r>
      <w:r w:rsidR="000A51E2">
        <w:rPr>
          <w:sz w:val="20"/>
          <w:szCs w:val="20"/>
        </w:rPr>
        <w:t>that trade on the U.S stock market from</w:t>
      </w:r>
      <w:r>
        <w:rPr>
          <w:sz w:val="20"/>
          <w:szCs w:val="20"/>
        </w:rPr>
        <w:t xml:space="preserve"> Wind [13]. After that, we select the company which is listed on market for at least 4 years. Then we got those companies' historical data from the website Yahoo finance [14]. Each company's daily stock price data is selected from January 1, 2017, to June 30, 2021. We annualized daily return and daily return’s standard deviation then calculated the annual sharp ratio of all those companies to pick the sock. The annual sharp ratio is defined as:</w:t>
      </w:r>
    </w:p>
    <w:p w14:paraId="1233A275" w14:textId="2C851C75" w:rsidR="005B5546" w:rsidRDefault="002C3328" w:rsidP="004B6CEE">
      <w:pPr>
        <w:pStyle w:val="BodyText"/>
        <w:rPr>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SharpeRatio=</m:t>
              </m:r>
              <m:f>
                <m:fPr>
                  <m:ctrlPr>
                    <w:rPr>
                      <w:rFonts w:ascii="Cambria Math" w:hAnsi="Cambria Math"/>
                      <w:sz w:val="20"/>
                      <w:szCs w:val="20"/>
                    </w:rPr>
                  </m:ctrlPr>
                </m:fPr>
                <m:num>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a</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m:t>
                      </m:r>
                    </m:sub>
                  </m:sSub>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Var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a</m:t>
                              </m:r>
                            </m:sub>
                          </m:sSub>
                        </m:e>
                      </m:d>
                    </m:e>
                  </m:rad>
                  <m:ctrlPr>
                    <w:rPr>
                      <w:rFonts w:ascii="Cambria Math" w:hAnsi="Cambria Math"/>
                      <w:i/>
                      <w:sz w:val="20"/>
                      <w:szCs w:val="20"/>
                    </w:rPr>
                  </m:ctrlPr>
                </m:den>
              </m:f>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e>
              </m:d>
            </m:e>
          </m:eqArr>
        </m:oMath>
      </m:oMathPara>
    </w:p>
    <w:p w14:paraId="77D249CE" w14:textId="35A61196" w:rsidR="005B5546" w:rsidRDefault="0044080A">
      <w:pPr>
        <w:pStyle w:val="BodyText"/>
        <w:ind w:firstLine="0"/>
        <w:rPr>
          <w:sz w:val="20"/>
          <w:szCs w:val="20"/>
        </w:rPr>
      </w:pPr>
      <w:r>
        <w:rPr>
          <w:sz w:val="20"/>
          <w:szCs w:val="20"/>
        </w:rPr>
        <w:t xml:space="preserve">where </w:t>
      </w:r>
      <m:oMath>
        <m:sSub>
          <m:sSubPr>
            <m:ctrlPr>
              <w:rPr>
                <w:rFonts w:ascii="Cambria Math" w:hAnsi="Cambria Math"/>
                <w:i/>
                <w:sz w:val="20"/>
                <w:szCs w:val="20"/>
              </w:rPr>
            </m:ctrlPr>
          </m:sSubPr>
          <m:e>
            <m:r>
              <m:rPr>
                <m:sty m:val="p"/>
              </m:rPr>
              <w:rPr>
                <w:rFonts w:ascii="Cambria Math" w:hAnsi="Cambria Math"/>
                <w:sz w:val="20"/>
                <w:szCs w:val="20"/>
              </w:rPr>
              <m:t>R</m:t>
            </m:r>
          </m:e>
          <m:sub>
            <m:r>
              <m:rPr>
                <m:sty m:val="p"/>
              </m:rPr>
              <w:rPr>
                <w:rFonts w:ascii="Cambria Math" w:hAnsi="Cambria Math"/>
                <w:sz w:val="20"/>
                <w:szCs w:val="20"/>
              </w:rPr>
              <m:t>a</m:t>
            </m:r>
          </m:sub>
        </m:sSub>
      </m:oMath>
      <w:r>
        <w:rPr>
          <w:sz w:val="20"/>
          <w:szCs w:val="20"/>
        </w:rPr>
        <w:t xml:space="preserve"> is the annualized asset return, </w:t>
      </w:r>
      <w:bookmarkStart w:id="0" w:name="OLE_LINK9"/>
      <w:bookmarkStart w:id="1" w:name="OLE_LINK10"/>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m:t>
            </m:r>
          </m:sub>
        </m:sSub>
      </m:oMath>
      <w:bookmarkStart w:id="2" w:name="OLE_LINK11"/>
      <w:bookmarkStart w:id="3" w:name="OLE_LINK12"/>
      <w:r>
        <w:rPr>
          <w:sz w:val="20"/>
          <w:szCs w:val="20"/>
        </w:rPr>
        <w:t xml:space="preserve"> is the risk-free return which is assumed as </w:t>
      </w:r>
      <w:proofErr w:type="gramStart"/>
      <w:r>
        <w:rPr>
          <w:sz w:val="20"/>
          <w:szCs w:val="20"/>
        </w:rPr>
        <w:t>constant.</w:t>
      </w:r>
      <w:proofErr w:type="gramEnd"/>
      <w:r>
        <w:rPr>
          <w:sz w:val="20"/>
          <w:szCs w:val="20"/>
        </w:rPr>
        <w:t xml:space="preserve"> </w:t>
      </w:r>
      <w:bookmarkEnd w:id="0"/>
      <w:bookmarkEnd w:id="1"/>
      <w:bookmarkEnd w:id="2"/>
      <w:bookmarkEnd w:id="3"/>
      <w:r>
        <w:rPr>
          <w:sz w:val="20"/>
          <w:szCs w:val="20"/>
        </w:rPr>
        <w:t xml:space="preserve">According to the date after calculation, we selected the six companies with the highest Sharpe ratio. The six companies are SPI Energy Co., Ltd., ATA Creativity Global, Bit Brother Limited, Moxian, Inc., </w:t>
      </w:r>
      <w:proofErr w:type="spellStart"/>
      <w:r>
        <w:rPr>
          <w:sz w:val="20"/>
          <w:szCs w:val="20"/>
        </w:rPr>
        <w:t>Daqo</w:t>
      </w:r>
      <w:proofErr w:type="spellEnd"/>
      <w:r>
        <w:rPr>
          <w:sz w:val="20"/>
          <w:szCs w:val="20"/>
        </w:rPr>
        <w:t xml:space="preserve"> New Energy Corp., and </w:t>
      </w:r>
      <w:proofErr w:type="spellStart"/>
      <w:r>
        <w:rPr>
          <w:sz w:val="20"/>
          <w:szCs w:val="20"/>
        </w:rPr>
        <w:t>Renren</w:t>
      </w:r>
      <w:proofErr w:type="spellEnd"/>
      <w:r>
        <w:rPr>
          <w:sz w:val="20"/>
          <w:szCs w:val="20"/>
        </w:rPr>
        <w:t xml:space="preserve"> Inc. For more information about those companies, see </w:t>
      </w:r>
      <w:r>
        <w:rPr>
          <w:rFonts w:eastAsia="SimSun" w:hint="eastAsia"/>
          <w:sz w:val="20"/>
          <w:szCs w:val="20"/>
          <w:lang w:val="en-US"/>
        </w:rPr>
        <w:t>T</w:t>
      </w:r>
      <w:r>
        <w:rPr>
          <w:sz w:val="20"/>
          <w:szCs w:val="20"/>
        </w:rPr>
        <w:t>able Ⅰ. The calculation and analysis through Python.</w:t>
      </w:r>
    </w:p>
    <w:p w14:paraId="230A5DE3" w14:textId="77777777" w:rsidR="005B5546" w:rsidRDefault="005B5546">
      <w:pPr>
        <w:pStyle w:val="BodyText"/>
        <w:ind w:firstLine="0"/>
      </w:pPr>
    </w:p>
    <w:p w14:paraId="5FC08F8D" w14:textId="77777777" w:rsidR="005B5546" w:rsidRDefault="0044080A">
      <w:pPr>
        <w:pStyle w:val="tablehead"/>
      </w:pPr>
      <w:r>
        <w:t>The stock information</w:t>
      </w:r>
    </w:p>
    <w:tbl>
      <w:tblPr>
        <w:tblW w:w="5070" w:type="dxa"/>
        <w:jc w:val="center"/>
        <w:tblBorders>
          <w:top w:val="single" w:sz="4" w:space="0" w:color="7F7F7F" w:themeColor="text1" w:themeTint="80"/>
          <w:bottom w:val="single" w:sz="4" w:space="0" w:color="7F7F7F" w:themeColor="text1" w:themeTint="80"/>
          <w:insideH w:val="single" w:sz="4" w:space="0" w:color="7F7F7F" w:themeColor="text1" w:themeTint="80"/>
        </w:tblBorders>
        <w:tblLook w:val="04A0" w:firstRow="1" w:lastRow="0" w:firstColumn="1" w:lastColumn="0" w:noHBand="0" w:noVBand="1"/>
      </w:tblPr>
      <w:tblGrid>
        <w:gridCol w:w="732"/>
        <w:gridCol w:w="883"/>
        <w:gridCol w:w="1248"/>
        <w:gridCol w:w="1541"/>
        <w:gridCol w:w="879"/>
      </w:tblGrid>
      <w:tr w:rsidR="005B5546" w14:paraId="3866CDFA" w14:textId="77777777">
        <w:trPr>
          <w:trHeight w:val="719"/>
          <w:jc w:val="center"/>
        </w:trPr>
        <w:tc>
          <w:tcPr>
            <w:tcW w:w="0" w:type="auto"/>
            <w:tcBorders>
              <w:bottom w:val="single" w:sz="4" w:space="0" w:color="7F7F7F" w:themeColor="text1" w:themeTint="80"/>
            </w:tcBorders>
            <w:shd w:val="clear" w:color="auto" w:fill="auto"/>
            <w:vAlign w:val="center"/>
          </w:tcPr>
          <w:p w14:paraId="794FF600" w14:textId="77777777" w:rsidR="005B5546" w:rsidRDefault="0044080A">
            <w:pPr>
              <w:pStyle w:val="tablecolhead"/>
            </w:pPr>
            <w:r>
              <w:t>Stock Symbol</w:t>
            </w:r>
          </w:p>
        </w:tc>
        <w:tc>
          <w:tcPr>
            <w:tcW w:w="850" w:type="dxa"/>
            <w:tcBorders>
              <w:bottom w:val="single" w:sz="4" w:space="0" w:color="7F7F7F" w:themeColor="text1" w:themeTint="80"/>
            </w:tcBorders>
            <w:shd w:val="clear" w:color="auto" w:fill="auto"/>
            <w:vAlign w:val="center"/>
          </w:tcPr>
          <w:p w14:paraId="0B9D5FC8" w14:textId="77777777" w:rsidR="005B5546" w:rsidRDefault="0044080A">
            <w:pPr>
              <w:pStyle w:val="tablecolhead"/>
            </w:pPr>
            <w:r>
              <w:t>Company</w:t>
            </w:r>
          </w:p>
        </w:tc>
        <w:tc>
          <w:tcPr>
            <w:tcW w:w="0" w:type="auto"/>
            <w:tcBorders>
              <w:bottom w:val="single" w:sz="4" w:space="0" w:color="7F7F7F" w:themeColor="text1" w:themeTint="80"/>
            </w:tcBorders>
            <w:shd w:val="clear" w:color="auto" w:fill="auto"/>
            <w:vAlign w:val="center"/>
          </w:tcPr>
          <w:p w14:paraId="2F701FD9" w14:textId="77777777" w:rsidR="005B5546" w:rsidRDefault="0044080A">
            <w:pPr>
              <w:pStyle w:val="tablecolhead"/>
            </w:pPr>
            <w:r>
              <w:t>Sector</w:t>
            </w:r>
          </w:p>
        </w:tc>
        <w:tc>
          <w:tcPr>
            <w:tcW w:w="0" w:type="auto"/>
            <w:tcBorders>
              <w:bottom w:val="single" w:sz="4" w:space="0" w:color="7F7F7F" w:themeColor="text1" w:themeTint="80"/>
            </w:tcBorders>
            <w:shd w:val="clear" w:color="auto" w:fill="auto"/>
            <w:vAlign w:val="center"/>
          </w:tcPr>
          <w:p w14:paraId="7B829767" w14:textId="77777777" w:rsidR="005B5546" w:rsidRDefault="0044080A">
            <w:pPr>
              <w:pStyle w:val="tablecolhead"/>
            </w:pPr>
            <w:r>
              <w:t>Industry</w:t>
            </w:r>
          </w:p>
        </w:tc>
        <w:tc>
          <w:tcPr>
            <w:tcW w:w="0" w:type="auto"/>
            <w:tcBorders>
              <w:bottom w:val="single" w:sz="4" w:space="0" w:color="7F7F7F" w:themeColor="text1" w:themeTint="80"/>
            </w:tcBorders>
            <w:shd w:val="clear" w:color="auto" w:fill="auto"/>
            <w:vAlign w:val="center"/>
          </w:tcPr>
          <w:p w14:paraId="5BF746DF" w14:textId="77777777" w:rsidR="005B5546" w:rsidRDefault="0044080A">
            <w:pPr>
              <w:pStyle w:val="tablecolhead"/>
            </w:pPr>
            <w:r>
              <w:t>Market Cap. (Until August 12, 2021，$)</w:t>
            </w:r>
          </w:p>
        </w:tc>
      </w:tr>
      <w:tr w:rsidR="005B5546" w14:paraId="4DC83751" w14:textId="77777777">
        <w:trPr>
          <w:trHeight w:val="719"/>
          <w:jc w:val="center"/>
        </w:trPr>
        <w:tc>
          <w:tcPr>
            <w:tcW w:w="0" w:type="auto"/>
            <w:tcBorders>
              <w:top w:val="single" w:sz="4" w:space="0" w:color="7F7F7F" w:themeColor="text1" w:themeTint="80"/>
              <w:bottom w:val="nil"/>
            </w:tcBorders>
            <w:shd w:val="clear" w:color="auto" w:fill="auto"/>
            <w:vAlign w:val="center"/>
          </w:tcPr>
          <w:p w14:paraId="5AF8B80D" w14:textId="77777777" w:rsidR="005B5546" w:rsidRDefault="0044080A">
            <w:pPr>
              <w:pStyle w:val="tablecopy"/>
            </w:pPr>
            <w:r>
              <w:t>SPI</w:t>
            </w:r>
          </w:p>
        </w:tc>
        <w:tc>
          <w:tcPr>
            <w:tcW w:w="850" w:type="dxa"/>
            <w:tcBorders>
              <w:top w:val="single" w:sz="4" w:space="0" w:color="7F7F7F" w:themeColor="text1" w:themeTint="80"/>
              <w:bottom w:val="nil"/>
            </w:tcBorders>
            <w:shd w:val="clear" w:color="auto" w:fill="auto"/>
            <w:vAlign w:val="center"/>
          </w:tcPr>
          <w:p w14:paraId="12B9A876" w14:textId="77777777" w:rsidR="005B5546" w:rsidRDefault="0044080A">
            <w:pPr>
              <w:pStyle w:val="tablecopy"/>
            </w:pPr>
            <w:r>
              <w:t>SPI Energy Co., Ltd.</w:t>
            </w:r>
          </w:p>
        </w:tc>
        <w:tc>
          <w:tcPr>
            <w:tcW w:w="0" w:type="auto"/>
            <w:tcBorders>
              <w:top w:val="single" w:sz="4" w:space="0" w:color="7F7F7F" w:themeColor="text1" w:themeTint="80"/>
              <w:bottom w:val="nil"/>
            </w:tcBorders>
            <w:shd w:val="clear" w:color="auto" w:fill="auto"/>
            <w:vAlign w:val="center"/>
          </w:tcPr>
          <w:p w14:paraId="77807342" w14:textId="77777777" w:rsidR="005B5546" w:rsidRDefault="0044080A">
            <w:pPr>
              <w:pStyle w:val="tablecopy"/>
            </w:pPr>
            <w:r>
              <w:t>Technology</w:t>
            </w:r>
          </w:p>
        </w:tc>
        <w:tc>
          <w:tcPr>
            <w:tcW w:w="0" w:type="auto"/>
            <w:tcBorders>
              <w:top w:val="single" w:sz="4" w:space="0" w:color="7F7F7F" w:themeColor="text1" w:themeTint="80"/>
              <w:bottom w:val="nil"/>
            </w:tcBorders>
            <w:shd w:val="clear" w:color="auto" w:fill="auto"/>
            <w:vAlign w:val="center"/>
          </w:tcPr>
          <w:p w14:paraId="15D29441" w14:textId="77777777" w:rsidR="005B5546" w:rsidRDefault="0044080A">
            <w:pPr>
              <w:pStyle w:val="tablecopy"/>
            </w:pPr>
            <w:r>
              <w:t>Solar</w:t>
            </w:r>
          </w:p>
        </w:tc>
        <w:tc>
          <w:tcPr>
            <w:tcW w:w="0" w:type="auto"/>
            <w:tcBorders>
              <w:top w:val="single" w:sz="4" w:space="0" w:color="7F7F7F" w:themeColor="text1" w:themeTint="80"/>
              <w:bottom w:val="nil"/>
            </w:tcBorders>
            <w:shd w:val="clear" w:color="auto" w:fill="auto"/>
            <w:vAlign w:val="center"/>
          </w:tcPr>
          <w:p w14:paraId="4A8E3D08" w14:textId="77777777" w:rsidR="005B5546" w:rsidRDefault="0044080A">
            <w:pPr>
              <w:pStyle w:val="tablecopy"/>
            </w:pPr>
            <w:r>
              <w:t>128.14M</w:t>
            </w:r>
          </w:p>
        </w:tc>
      </w:tr>
      <w:tr w:rsidR="005B5546" w14:paraId="28FA3B25" w14:textId="77777777">
        <w:trPr>
          <w:trHeight w:val="719"/>
          <w:jc w:val="center"/>
        </w:trPr>
        <w:tc>
          <w:tcPr>
            <w:tcW w:w="0" w:type="auto"/>
            <w:tcBorders>
              <w:top w:val="nil"/>
              <w:bottom w:val="nil"/>
            </w:tcBorders>
            <w:shd w:val="clear" w:color="auto" w:fill="auto"/>
            <w:vAlign w:val="center"/>
          </w:tcPr>
          <w:p w14:paraId="14FF0F58" w14:textId="77777777" w:rsidR="005B5546" w:rsidRDefault="0044080A">
            <w:pPr>
              <w:pStyle w:val="tablecopy"/>
            </w:pPr>
            <w:r>
              <w:t>AACG</w:t>
            </w:r>
          </w:p>
        </w:tc>
        <w:tc>
          <w:tcPr>
            <w:tcW w:w="850" w:type="dxa"/>
            <w:tcBorders>
              <w:top w:val="nil"/>
              <w:bottom w:val="nil"/>
            </w:tcBorders>
            <w:shd w:val="clear" w:color="auto" w:fill="auto"/>
            <w:vAlign w:val="center"/>
          </w:tcPr>
          <w:p w14:paraId="17FC728C" w14:textId="77777777" w:rsidR="005B5546" w:rsidRDefault="0044080A">
            <w:pPr>
              <w:pStyle w:val="tablecopy"/>
            </w:pPr>
            <w:r>
              <w:t>ATA Creativity Global</w:t>
            </w:r>
          </w:p>
        </w:tc>
        <w:tc>
          <w:tcPr>
            <w:tcW w:w="0" w:type="auto"/>
            <w:tcBorders>
              <w:top w:val="nil"/>
              <w:bottom w:val="nil"/>
            </w:tcBorders>
            <w:shd w:val="clear" w:color="auto" w:fill="auto"/>
            <w:vAlign w:val="center"/>
          </w:tcPr>
          <w:p w14:paraId="4AC31497" w14:textId="77777777" w:rsidR="005B5546" w:rsidRDefault="0044080A">
            <w:pPr>
              <w:pStyle w:val="tablecopy"/>
            </w:pPr>
            <w:r>
              <w:t>Consumer Defensive</w:t>
            </w:r>
          </w:p>
        </w:tc>
        <w:tc>
          <w:tcPr>
            <w:tcW w:w="0" w:type="auto"/>
            <w:tcBorders>
              <w:top w:val="nil"/>
              <w:bottom w:val="nil"/>
            </w:tcBorders>
            <w:shd w:val="clear" w:color="auto" w:fill="auto"/>
            <w:vAlign w:val="center"/>
          </w:tcPr>
          <w:p w14:paraId="38F9B362" w14:textId="77777777" w:rsidR="005B5546" w:rsidRDefault="0044080A">
            <w:pPr>
              <w:pStyle w:val="tablecopy"/>
            </w:pPr>
            <w:proofErr w:type="spellStart"/>
            <w:r>
              <w:t>Education&amp;Training</w:t>
            </w:r>
            <w:proofErr w:type="spellEnd"/>
            <w:r>
              <w:t xml:space="preserve"> Services</w:t>
            </w:r>
          </w:p>
        </w:tc>
        <w:tc>
          <w:tcPr>
            <w:tcW w:w="0" w:type="auto"/>
            <w:tcBorders>
              <w:top w:val="nil"/>
              <w:bottom w:val="nil"/>
            </w:tcBorders>
            <w:shd w:val="clear" w:color="auto" w:fill="auto"/>
            <w:vAlign w:val="center"/>
          </w:tcPr>
          <w:p w14:paraId="5E6377DD" w14:textId="77777777" w:rsidR="005B5546" w:rsidRDefault="0044080A">
            <w:pPr>
              <w:pStyle w:val="tablecopy"/>
            </w:pPr>
            <w:r>
              <w:t>88.76M</w:t>
            </w:r>
          </w:p>
        </w:tc>
      </w:tr>
      <w:tr w:rsidR="005B5546" w14:paraId="771856F8" w14:textId="77777777">
        <w:trPr>
          <w:trHeight w:val="719"/>
          <w:jc w:val="center"/>
        </w:trPr>
        <w:tc>
          <w:tcPr>
            <w:tcW w:w="0" w:type="auto"/>
            <w:tcBorders>
              <w:top w:val="nil"/>
              <w:bottom w:val="nil"/>
            </w:tcBorders>
            <w:shd w:val="clear" w:color="auto" w:fill="auto"/>
            <w:vAlign w:val="center"/>
          </w:tcPr>
          <w:p w14:paraId="22BBB676" w14:textId="77777777" w:rsidR="005B5546" w:rsidRDefault="0044080A">
            <w:pPr>
              <w:pStyle w:val="tablecopy"/>
            </w:pPr>
            <w:r>
              <w:t>BTB</w:t>
            </w:r>
          </w:p>
        </w:tc>
        <w:tc>
          <w:tcPr>
            <w:tcW w:w="850" w:type="dxa"/>
            <w:tcBorders>
              <w:top w:val="nil"/>
              <w:bottom w:val="nil"/>
            </w:tcBorders>
            <w:shd w:val="clear" w:color="auto" w:fill="auto"/>
            <w:vAlign w:val="center"/>
          </w:tcPr>
          <w:p w14:paraId="1653934D" w14:textId="77777777" w:rsidR="005B5546" w:rsidRDefault="0044080A">
            <w:pPr>
              <w:pStyle w:val="tablecopy"/>
            </w:pPr>
            <w:r>
              <w:t>Bit Brother Limited</w:t>
            </w:r>
          </w:p>
        </w:tc>
        <w:tc>
          <w:tcPr>
            <w:tcW w:w="0" w:type="auto"/>
            <w:tcBorders>
              <w:top w:val="nil"/>
              <w:bottom w:val="nil"/>
            </w:tcBorders>
            <w:shd w:val="clear" w:color="auto" w:fill="auto"/>
            <w:vAlign w:val="center"/>
          </w:tcPr>
          <w:p w14:paraId="1F46C0EC" w14:textId="77777777" w:rsidR="005B5546" w:rsidRDefault="0044080A">
            <w:pPr>
              <w:pStyle w:val="tablecopy"/>
            </w:pPr>
            <w:r>
              <w:t>Consumer Cyclical</w:t>
            </w:r>
          </w:p>
        </w:tc>
        <w:tc>
          <w:tcPr>
            <w:tcW w:w="0" w:type="auto"/>
            <w:tcBorders>
              <w:top w:val="nil"/>
              <w:bottom w:val="nil"/>
            </w:tcBorders>
            <w:shd w:val="clear" w:color="auto" w:fill="auto"/>
            <w:vAlign w:val="center"/>
          </w:tcPr>
          <w:p w14:paraId="7863F04D" w14:textId="77777777" w:rsidR="005B5546" w:rsidRDefault="0044080A">
            <w:pPr>
              <w:pStyle w:val="tablecopy"/>
            </w:pPr>
            <w:r>
              <w:t>Restaurants</w:t>
            </w:r>
          </w:p>
        </w:tc>
        <w:tc>
          <w:tcPr>
            <w:tcW w:w="0" w:type="auto"/>
            <w:tcBorders>
              <w:top w:val="nil"/>
              <w:bottom w:val="nil"/>
            </w:tcBorders>
            <w:shd w:val="clear" w:color="auto" w:fill="auto"/>
            <w:vAlign w:val="center"/>
          </w:tcPr>
          <w:p w14:paraId="2D06C09F" w14:textId="77777777" w:rsidR="005B5546" w:rsidRDefault="0044080A">
            <w:pPr>
              <w:pStyle w:val="tablecopy"/>
            </w:pPr>
            <w:r>
              <w:t>41.046M</w:t>
            </w:r>
          </w:p>
        </w:tc>
      </w:tr>
      <w:tr w:rsidR="005B5546" w14:paraId="20167DD8" w14:textId="77777777">
        <w:trPr>
          <w:trHeight w:val="719"/>
          <w:jc w:val="center"/>
        </w:trPr>
        <w:tc>
          <w:tcPr>
            <w:tcW w:w="0" w:type="auto"/>
            <w:tcBorders>
              <w:top w:val="nil"/>
              <w:bottom w:val="nil"/>
            </w:tcBorders>
            <w:shd w:val="clear" w:color="auto" w:fill="auto"/>
            <w:vAlign w:val="center"/>
          </w:tcPr>
          <w:p w14:paraId="7BCD65AC" w14:textId="77777777" w:rsidR="005B5546" w:rsidRDefault="0044080A">
            <w:pPr>
              <w:pStyle w:val="tablecopy"/>
            </w:pPr>
            <w:r>
              <w:t>MOXC</w:t>
            </w:r>
          </w:p>
        </w:tc>
        <w:tc>
          <w:tcPr>
            <w:tcW w:w="850" w:type="dxa"/>
            <w:tcBorders>
              <w:top w:val="nil"/>
              <w:bottom w:val="nil"/>
            </w:tcBorders>
            <w:shd w:val="clear" w:color="auto" w:fill="auto"/>
            <w:vAlign w:val="center"/>
          </w:tcPr>
          <w:p w14:paraId="11C261D0" w14:textId="77777777" w:rsidR="005B5546" w:rsidRDefault="0044080A">
            <w:pPr>
              <w:pStyle w:val="tablecopy"/>
            </w:pPr>
            <w:proofErr w:type="spellStart"/>
            <w:r>
              <w:t>Moxian</w:t>
            </w:r>
            <w:proofErr w:type="spellEnd"/>
            <w:r>
              <w:t>, Inc.</w:t>
            </w:r>
          </w:p>
        </w:tc>
        <w:tc>
          <w:tcPr>
            <w:tcW w:w="0" w:type="auto"/>
            <w:tcBorders>
              <w:top w:val="nil"/>
              <w:bottom w:val="nil"/>
            </w:tcBorders>
            <w:shd w:val="clear" w:color="auto" w:fill="auto"/>
            <w:vAlign w:val="center"/>
          </w:tcPr>
          <w:p w14:paraId="692F1272" w14:textId="77777777" w:rsidR="005B5546" w:rsidRDefault="0044080A">
            <w:pPr>
              <w:pStyle w:val="tablecopy"/>
            </w:pPr>
            <w:r>
              <w:t>Communication Services</w:t>
            </w:r>
          </w:p>
        </w:tc>
        <w:tc>
          <w:tcPr>
            <w:tcW w:w="0" w:type="auto"/>
            <w:tcBorders>
              <w:top w:val="nil"/>
              <w:bottom w:val="nil"/>
            </w:tcBorders>
            <w:shd w:val="clear" w:color="auto" w:fill="auto"/>
            <w:vAlign w:val="center"/>
          </w:tcPr>
          <w:p w14:paraId="4DE38DDC" w14:textId="77777777" w:rsidR="005B5546" w:rsidRDefault="0044080A">
            <w:pPr>
              <w:pStyle w:val="tablecopy"/>
            </w:pPr>
            <w:r>
              <w:t>Internet Content &amp; Information</w:t>
            </w:r>
          </w:p>
        </w:tc>
        <w:tc>
          <w:tcPr>
            <w:tcW w:w="0" w:type="auto"/>
            <w:tcBorders>
              <w:top w:val="nil"/>
              <w:bottom w:val="nil"/>
            </w:tcBorders>
            <w:shd w:val="clear" w:color="auto" w:fill="auto"/>
            <w:vAlign w:val="center"/>
          </w:tcPr>
          <w:p w14:paraId="2DC600B9" w14:textId="77777777" w:rsidR="005B5546" w:rsidRDefault="0044080A">
            <w:pPr>
              <w:pStyle w:val="tablecopy"/>
            </w:pPr>
            <w:r>
              <w:t>148.543M</w:t>
            </w:r>
          </w:p>
        </w:tc>
      </w:tr>
      <w:tr w:rsidR="005B5546" w14:paraId="0ACCB8B6" w14:textId="77777777">
        <w:trPr>
          <w:trHeight w:val="719"/>
          <w:jc w:val="center"/>
        </w:trPr>
        <w:tc>
          <w:tcPr>
            <w:tcW w:w="0" w:type="auto"/>
            <w:tcBorders>
              <w:top w:val="nil"/>
              <w:bottom w:val="nil"/>
            </w:tcBorders>
            <w:shd w:val="clear" w:color="auto" w:fill="auto"/>
            <w:vAlign w:val="center"/>
          </w:tcPr>
          <w:p w14:paraId="19E689A2" w14:textId="77777777" w:rsidR="005B5546" w:rsidRDefault="0044080A">
            <w:pPr>
              <w:pStyle w:val="tablecopy"/>
            </w:pPr>
            <w:r>
              <w:t>DQ</w:t>
            </w:r>
          </w:p>
        </w:tc>
        <w:tc>
          <w:tcPr>
            <w:tcW w:w="850" w:type="dxa"/>
            <w:tcBorders>
              <w:top w:val="nil"/>
              <w:bottom w:val="nil"/>
            </w:tcBorders>
            <w:shd w:val="clear" w:color="auto" w:fill="auto"/>
            <w:vAlign w:val="center"/>
          </w:tcPr>
          <w:p w14:paraId="3C3ACE3D" w14:textId="77777777" w:rsidR="005B5546" w:rsidRDefault="0044080A">
            <w:pPr>
              <w:pStyle w:val="tablecopy"/>
            </w:pPr>
            <w:proofErr w:type="spellStart"/>
            <w:r>
              <w:t>Daqo</w:t>
            </w:r>
            <w:proofErr w:type="spellEnd"/>
            <w:r>
              <w:t xml:space="preserve"> New Energy Corp. </w:t>
            </w:r>
          </w:p>
        </w:tc>
        <w:tc>
          <w:tcPr>
            <w:tcW w:w="0" w:type="auto"/>
            <w:tcBorders>
              <w:top w:val="nil"/>
              <w:bottom w:val="nil"/>
            </w:tcBorders>
            <w:shd w:val="clear" w:color="auto" w:fill="auto"/>
            <w:vAlign w:val="center"/>
          </w:tcPr>
          <w:p w14:paraId="3706D174" w14:textId="77777777" w:rsidR="005B5546" w:rsidRDefault="0044080A">
            <w:pPr>
              <w:pStyle w:val="tablecopy"/>
            </w:pPr>
            <w:r>
              <w:t>Technology</w:t>
            </w:r>
          </w:p>
        </w:tc>
        <w:tc>
          <w:tcPr>
            <w:tcW w:w="0" w:type="auto"/>
            <w:tcBorders>
              <w:top w:val="nil"/>
              <w:bottom w:val="nil"/>
            </w:tcBorders>
            <w:shd w:val="clear" w:color="auto" w:fill="auto"/>
            <w:vAlign w:val="center"/>
          </w:tcPr>
          <w:p w14:paraId="1B9E1A12" w14:textId="77777777" w:rsidR="005B5546" w:rsidRDefault="0044080A">
            <w:pPr>
              <w:pStyle w:val="tablecopy"/>
            </w:pPr>
            <w:r>
              <w:t>Semiconductor Equipment &amp; Material</w:t>
            </w:r>
          </w:p>
        </w:tc>
        <w:tc>
          <w:tcPr>
            <w:tcW w:w="0" w:type="auto"/>
            <w:tcBorders>
              <w:top w:val="nil"/>
              <w:bottom w:val="nil"/>
            </w:tcBorders>
            <w:shd w:val="clear" w:color="auto" w:fill="auto"/>
            <w:vAlign w:val="center"/>
          </w:tcPr>
          <w:p w14:paraId="1B5AF098" w14:textId="77777777" w:rsidR="005B5546" w:rsidRDefault="0044080A">
            <w:pPr>
              <w:pStyle w:val="tablecopy"/>
            </w:pPr>
            <w:r>
              <w:t>4,162B</w:t>
            </w:r>
          </w:p>
        </w:tc>
      </w:tr>
      <w:tr w:rsidR="005B5546" w14:paraId="7322B083" w14:textId="77777777">
        <w:trPr>
          <w:trHeight w:val="719"/>
          <w:jc w:val="center"/>
        </w:trPr>
        <w:tc>
          <w:tcPr>
            <w:tcW w:w="0" w:type="auto"/>
            <w:tcBorders>
              <w:top w:val="nil"/>
              <w:bottom w:val="single" w:sz="4" w:space="0" w:color="auto"/>
            </w:tcBorders>
            <w:shd w:val="clear" w:color="auto" w:fill="auto"/>
            <w:vAlign w:val="center"/>
          </w:tcPr>
          <w:p w14:paraId="6AD6C826" w14:textId="77777777" w:rsidR="005B5546" w:rsidRDefault="0044080A">
            <w:pPr>
              <w:pStyle w:val="tablecopy"/>
            </w:pPr>
            <w:r>
              <w:t>RENN</w:t>
            </w:r>
          </w:p>
        </w:tc>
        <w:tc>
          <w:tcPr>
            <w:tcW w:w="850" w:type="dxa"/>
            <w:tcBorders>
              <w:top w:val="nil"/>
              <w:bottom w:val="single" w:sz="4" w:space="0" w:color="auto"/>
            </w:tcBorders>
            <w:shd w:val="clear" w:color="auto" w:fill="auto"/>
            <w:vAlign w:val="center"/>
          </w:tcPr>
          <w:p w14:paraId="4CC9562F" w14:textId="77777777" w:rsidR="005B5546" w:rsidRDefault="0044080A">
            <w:pPr>
              <w:pStyle w:val="tablecopy"/>
            </w:pPr>
            <w:proofErr w:type="spellStart"/>
            <w:r>
              <w:t>Renren</w:t>
            </w:r>
            <w:proofErr w:type="spellEnd"/>
            <w:r>
              <w:t xml:space="preserve"> Inc.</w:t>
            </w:r>
          </w:p>
        </w:tc>
        <w:tc>
          <w:tcPr>
            <w:tcW w:w="0" w:type="auto"/>
            <w:tcBorders>
              <w:top w:val="nil"/>
              <w:bottom w:val="single" w:sz="4" w:space="0" w:color="auto"/>
            </w:tcBorders>
            <w:shd w:val="clear" w:color="auto" w:fill="auto"/>
            <w:vAlign w:val="center"/>
          </w:tcPr>
          <w:p w14:paraId="62FC36FE" w14:textId="77777777" w:rsidR="005B5546" w:rsidRDefault="0044080A">
            <w:pPr>
              <w:pStyle w:val="tablecopy"/>
            </w:pPr>
            <w:r>
              <w:t xml:space="preserve"> Consumer Cyclical</w:t>
            </w:r>
          </w:p>
        </w:tc>
        <w:tc>
          <w:tcPr>
            <w:tcW w:w="0" w:type="auto"/>
            <w:tcBorders>
              <w:top w:val="nil"/>
              <w:bottom w:val="single" w:sz="4" w:space="0" w:color="auto"/>
            </w:tcBorders>
            <w:shd w:val="clear" w:color="auto" w:fill="auto"/>
            <w:vAlign w:val="center"/>
          </w:tcPr>
          <w:p w14:paraId="00D69A06" w14:textId="77777777" w:rsidR="005B5546" w:rsidRDefault="0044080A">
            <w:pPr>
              <w:pStyle w:val="tablecopy"/>
            </w:pPr>
            <w:r>
              <w:t>Auto &amp; Truck Dealerships</w:t>
            </w:r>
          </w:p>
        </w:tc>
        <w:tc>
          <w:tcPr>
            <w:tcW w:w="0" w:type="auto"/>
            <w:tcBorders>
              <w:top w:val="nil"/>
              <w:bottom w:val="single" w:sz="4" w:space="0" w:color="auto"/>
            </w:tcBorders>
            <w:shd w:val="clear" w:color="auto" w:fill="auto"/>
            <w:vAlign w:val="center"/>
          </w:tcPr>
          <w:p w14:paraId="43DF934C" w14:textId="77777777" w:rsidR="005B5546" w:rsidRDefault="0044080A">
            <w:pPr>
              <w:pStyle w:val="tablecopy"/>
            </w:pPr>
            <w:r>
              <w:t>245.718M</w:t>
            </w:r>
          </w:p>
        </w:tc>
      </w:tr>
    </w:tbl>
    <w:p w14:paraId="14DA7818" w14:textId="77777777" w:rsidR="005B5546" w:rsidRDefault="005B5546">
      <w:pPr>
        <w:jc w:val="both"/>
      </w:pPr>
    </w:p>
    <w:p w14:paraId="1C3DF6C7" w14:textId="77777777" w:rsidR="005B5546" w:rsidRDefault="0044080A">
      <w:pPr>
        <w:pStyle w:val="Heading2"/>
      </w:pPr>
      <w:r>
        <w:t>Portfolio optimization through Monte Carlo</w:t>
      </w:r>
    </w:p>
    <w:p w14:paraId="103103C4" w14:textId="77777777" w:rsidR="005B5546" w:rsidRDefault="0044080A">
      <w:pPr>
        <w:pStyle w:val="BodyText"/>
        <w:rPr>
          <w:sz w:val="20"/>
          <w:szCs w:val="20"/>
        </w:rPr>
      </w:pPr>
      <w:r>
        <w:rPr>
          <w:sz w:val="20"/>
          <w:szCs w:val="20"/>
        </w:rPr>
        <w:t xml:space="preserve">Then we plot the efficient frontier. We used the Monte Carlo method to find efficient frontier and portfolio allocation.  The first step of this method is generating lots of random numbers as the weight of each stock. Then we constructed many different asset allocations. For each asset allocation, we calculated the annual expected returns, volatility, and sharp ratio. The annual expected return can be calculated by equation (2), </w:t>
      </w:r>
    </w:p>
    <w:p w14:paraId="436A3704" w14:textId="77777777" w:rsidR="005B5546" w:rsidRDefault="002C3328">
      <w:pPr>
        <w:pStyle w:val="equation"/>
        <w:rPr>
          <w:rFonts w:ascii="Times New Roman" w:hAnsi="Times New Roman" w:cs="Times New Roman"/>
          <w:sz w:val="20"/>
          <w:szCs w:val="20"/>
        </w:rPr>
      </w:pPr>
      <m:oMathPara>
        <m:oMathParaPr>
          <m:jc m:val="right"/>
        </m:oMathParaPr>
        <m:oMath>
          <m:eqArr>
            <m:eqArrPr>
              <m:maxDist m:val="1"/>
              <m:ctrlPr>
                <w:rPr>
                  <w:rFonts w:ascii="Cambria Math" w:hAnsi="Cambria Math" w:cs="Times New Roman"/>
                  <w:sz w:val="20"/>
                  <w:szCs w:val="20"/>
                </w:rPr>
              </m:ctrlPr>
            </m:eqArrPr>
            <m:e>
              <m:r>
                <w:rPr>
                  <w:rFonts w:ascii="Cambria Math" w:hAnsi="Cambria Math" w:cs="Times New Roman"/>
                  <w:sz w:val="20"/>
                  <w:szCs w:val="20"/>
                </w:rPr>
                <m:t>ExpectedReturn</m:t>
              </m:r>
              <m:r>
                <m:rPr>
                  <m:sty m:val="p"/>
                </m:rPr>
                <w:rPr>
                  <w:rFonts w:ascii="Cambria Math" w:hAnsi="Cambria Math" w:cs="Times New Roman"/>
                  <w:sz w:val="20"/>
                  <w:szCs w:val="20"/>
                </w:rPr>
                <m:t>=</m:t>
              </m:r>
              <m:r>
                <w:rPr>
                  <w:rFonts w:ascii="Cambria Math" w:hAnsi="Cambria Math" w:cs="Times New Roman"/>
                  <w:sz w:val="20"/>
                  <w:szCs w:val="20"/>
                </w:rPr>
                <m:t>E</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e>
              </m:d>
              <m:r>
                <m:rPr>
                  <m:sty m:val="p"/>
                </m:rPr>
                <w:rPr>
                  <w:rFonts w:ascii="Cambria Math" w:hAnsi="Cambria Math" w:cs="Times New Roman"/>
                  <w:sz w:val="20"/>
                  <w:szCs w:val="20"/>
                </w:rPr>
                <m:t>=</m:t>
              </m:r>
              <m:nary>
                <m:naryPr>
                  <m:chr m:val="∑"/>
                  <m:subHide m:val="1"/>
                  <m:supHide m:val="1"/>
                  <m:ctrlPr>
                    <w:rPr>
                      <w:rFonts w:ascii="Cambria Math" w:hAnsi="Cambria Math" w:cs="Times New Roman"/>
                      <w:sz w:val="20"/>
                      <w:szCs w:val="20"/>
                    </w:rPr>
                  </m:ctrlPr>
                </m:naryPr>
                <m:sub/>
                <m:sup/>
                <m:e>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m:t>
                      </m:r>
                    </m:sub>
                  </m:sSub>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e>
              </m:nary>
              <m:r>
                <m:rPr>
                  <m:sty m:val="p"/>
                </m:rPr>
                <w:rPr>
                  <w:rFonts w:ascii="Cambria Math" w:hAnsi="Cambria Math" w:cs="Times New Roman"/>
                  <w:sz w:val="20"/>
                  <w:szCs w:val="20"/>
                </w:rPr>
                <m:t>#</m:t>
              </m:r>
              <m:r>
                <m:rPr>
                  <m:sty m:val="p"/>
                </m:rPr>
                <w:rPr>
                  <w:rFonts w:ascii="Cambria Math" w:eastAsia="SimSun" w:hAnsi="Cambria Math" w:cs="Times New Roman"/>
                  <w:sz w:val="20"/>
                  <w:szCs w:val="20"/>
                  <w:lang w:val="en-US"/>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2</m:t>
                  </m:r>
                </m:e>
              </m:d>
            </m:e>
          </m:eqArr>
        </m:oMath>
      </m:oMathPara>
    </w:p>
    <w:p w14:paraId="0922A790" w14:textId="77777777" w:rsidR="005B5546" w:rsidRDefault="0044080A">
      <w:pPr>
        <w:pStyle w:val="BodyText"/>
        <w:ind w:firstLine="0"/>
        <w:rPr>
          <w:sz w:val="20"/>
          <w:szCs w:val="20"/>
        </w:rPr>
      </w:pPr>
      <w:r>
        <w:rPr>
          <w:sz w:val="20"/>
          <w:szCs w:val="20"/>
        </w:rPr>
        <w:t xml:space="preserve">where </w:t>
      </w:r>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is the weight of the </w:t>
      </w:r>
      <m:oMath>
        <m:r>
          <w:rPr>
            <w:rFonts w:ascii="Cambria Math" w:hAnsi="Cambria Math"/>
            <w:sz w:val="20"/>
            <w:szCs w:val="20"/>
          </w:rPr>
          <m:t>asse</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i</m:t>
            </m:r>
          </m:sub>
        </m:sSub>
      </m:oMath>
      <w:r>
        <w:rPr>
          <w:sz w:val="20"/>
          <w:szCs w:val="20"/>
        </w:rPr>
        <w:t>. The volatility of each allocation is the covariance matrix of each stock return multiply by the weight and can be calculated by equation (3).</w:t>
      </w:r>
    </w:p>
    <w:p w14:paraId="5A606456" w14:textId="77777777" w:rsidR="005B5546" w:rsidRDefault="002C3328">
      <w:pPr>
        <w:pStyle w:val="equation"/>
        <w:rPr>
          <w:rFonts w:ascii="Times New Roman" w:hAnsi="Times New Roman" w:cs="Times New Roman"/>
          <w:sz w:val="20"/>
          <w:szCs w:val="20"/>
        </w:rPr>
      </w:pPr>
      <m:oMathPara>
        <m:oMath>
          <m:eqArr>
            <m:eqArrPr>
              <m:maxDist m:val="1"/>
              <m:ctrlPr>
                <w:rPr>
                  <w:rFonts w:ascii="Cambria Math" w:hAnsi="Cambria Math" w:cs="Times New Roman"/>
                  <w:sz w:val="20"/>
                  <w:szCs w:val="20"/>
                </w:rPr>
              </m:ctrlPr>
            </m:eqArrPr>
            <m:e>
              <m:r>
                <w:rPr>
                  <w:rFonts w:ascii="Cambria Math" w:hAnsi="Cambria Math" w:cs="Times New Roman"/>
                  <w:sz w:val="20"/>
                  <w:szCs w:val="20"/>
                </w:rPr>
                <m:t>Volatility</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σ</m:t>
                  </m:r>
                </m:e>
                <m:sup>
                  <m:r>
                    <m:rPr>
                      <m:sty m:val="p"/>
                    </m:rPr>
                    <w:rPr>
                      <w:rFonts w:ascii="Cambria Math" w:hAnsi="Cambria Math" w:cs="Times New Roman"/>
                      <w:sz w:val="20"/>
                      <w:szCs w:val="20"/>
                    </w:rPr>
                    <m:t>2</m:t>
                  </m:r>
                </m:sup>
              </m:sSup>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e>
              </m:d>
              <m:r>
                <m:rPr>
                  <m:sty m:val="p"/>
                </m:rPr>
                <w:rPr>
                  <w:rFonts w:ascii="Cambria Math" w:hAnsi="Cambria Math" w:cs="Times New Roman"/>
                  <w:sz w:val="20"/>
                  <w:szCs w:val="20"/>
                </w:rPr>
                <m:t>=</m:t>
              </m:r>
              <m:nary>
                <m:naryPr>
                  <m:chr m:val="∑"/>
                  <m:subHide m:val="1"/>
                  <m:supHide m:val="1"/>
                  <m:ctrlPr>
                    <w:rPr>
                      <w:rFonts w:ascii="Cambria Math" w:hAnsi="Cambria Math" w:cs="Times New Roman"/>
                      <w:sz w:val="20"/>
                      <w:szCs w:val="20"/>
                    </w:rPr>
                  </m:ctrlPr>
                </m:naryPr>
                <m:sub/>
                <m:sup/>
                <m:e>
                  <m:nary>
                    <m:naryPr>
                      <m:chr m:val="∑"/>
                      <m:subHide m:val="1"/>
                      <m:supHide m:val="1"/>
                      <m:ctrlPr>
                        <w:rPr>
                          <w:rFonts w:ascii="Cambria Math" w:hAnsi="Cambria Math" w:cs="Times New Roman"/>
                          <w:sz w:val="20"/>
                          <w:szCs w:val="20"/>
                        </w:rPr>
                      </m:ctrlPr>
                    </m:naryPr>
                    <m:sub/>
                    <m:sup/>
                    <m:e>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i</m:t>
                          </m:r>
                        </m:sub>
                      </m:sSub>
                    </m:e>
                  </m:nary>
                </m:e>
              </m:nary>
              <m:sSub>
                <m:sSubPr>
                  <m:ctrlPr>
                    <w:rPr>
                      <w:rFonts w:ascii="Cambria Math" w:hAnsi="Cambria Math" w:cs="Times New Roman"/>
                      <w:sz w:val="20"/>
                      <w:szCs w:val="20"/>
                    </w:rPr>
                  </m:ctrlPr>
                </m:sSubPr>
                <m:e>
                  <m:r>
                    <w:rPr>
                      <w:rFonts w:ascii="Cambria Math" w:hAnsi="Cambria Math" w:cs="Times New Roman"/>
                      <w:sz w:val="20"/>
                      <w:szCs w:val="20"/>
                    </w:rPr>
                    <m:t>w</m:t>
                  </m:r>
                </m:e>
                <m:sub>
                  <m:r>
                    <w:rPr>
                      <w:rFonts w:ascii="Cambria Math" w:hAnsi="Cambria Math" w:cs="Times New Roman"/>
                      <w:sz w:val="20"/>
                      <w:szCs w:val="20"/>
                    </w:rPr>
                    <m:t>j</m:t>
                  </m:r>
                </m:sub>
              </m:sSub>
              <m:r>
                <w:rPr>
                  <w:rFonts w:ascii="Cambria Math" w:hAnsi="Cambria Math" w:cs="Times New Roman"/>
                  <w:sz w:val="20"/>
                  <w:szCs w:val="20"/>
                </w:rPr>
                <m:t>cov</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j</m:t>
                      </m:r>
                    </m:sub>
                  </m:sSub>
                </m:e>
              </m:d>
              <m:r>
                <m:rPr>
                  <m:sty m:val="p"/>
                </m:rPr>
                <w:rPr>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m:t>3</m:t>
                  </m:r>
                </m:e>
              </m:d>
            </m:e>
          </m:eqArr>
        </m:oMath>
      </m:oMathPara>
    </w:p>
    <w:p w14:paraId="584DC530" w14:textId="77777777" w:rsidR="005B5546" w:rsidRDefault="0044080A">
      <w:pPr>
        <w:pStyle w:val="Heading2"/>
      </w:pPr>
      <w:r>
        <w:t>Trend forecast</w:t>
      </w:r>
    </w:p>
    <w:p w14:paraId="3A929FE0" w14:textId="77777777" w:rsidR="005B5546" w:rsidRDefault="0044080A">
      <w:pPr>
        <w:pStyle w:val="Heading3"/>
      </w:pPr>
      <w:r>
        <w:t>Pre-process</w:t>
      </w:r>
    </w:p>
    <w:p w14:paraId="260C1B42" w14:textId="77777777" w:rsidR="005B5546" w:rsidRDefault="0044080A">
      <w:pPr>
        <w:pStyle w:val="BodyText"/>
        <w:rPr>
          <w:sz w:val="20"/>
          <w:szCs w:val="20"/>
        </w:rPr>
      </w:pPr>
      <w:r>
        <w:rPr>
          <w:sz w:val="20"/>
          <w:szCs w:val="20"/>
        </w:rPr>
        <w:t>We used the compound return for trend forecast and time series analysis. The compound return is defined as:</w:t>
      </w:r>
    </w:p>
    <w:p w14:paraId="397E865F" w14:textId="77777777" w:rsidR="005B5546" w:rsidRDefault="002C3328">
      <w:pPr>
        <w:pStyle w:val="equation"/>
        <w:rPr>
          <w:sz w:val="20"/>
          <w:szCs w:val="20"/>
        </w:rPr>
      </w:pPr>
      <m:oMathPara>
        <m:oMath>
          <m:eqArr>
            <m:eqArrPr>
              <m:maxDist m:val="1"/>
              <m:ctrlPr>
                <w:rPr>
                  <w:rFonts w:ascii="Cambria Math" w:hAnsi="Cambria Math"/>
                  <w:sz w:val="20"/>
                  <w:szCs w:val="20"/>
                </w:rPr>
              </m:ctrlPr>
            </m:eqArrPr>
            <m:e>
              <m:r>
                <w:rPr>
                  <w:rFonts w:ascii="Cambria Math" w:hAnsi="Cambria Math"/>
                  <w:sz w:val="20"/>
                  <w:szCs w:val="20"/>
                </w:rPr>
                <m:t>CompoundReturn</m:t>
              </m:r>
              <m:r>
                <m:rPr>
                  <m:sty m:val="p"/>
                </m:rPr>
                <w:rPr>
                  <w:rFonts w:ascii="Cambria Math" w:hAnsi="Cambria Math"/>
                  <w:sz w:val="20"/>
                  <w:szCs w:val="20"/>
                </w:rPr>
                <m:t>=</m:t>
              </m:r>
              <m:r>
                <w:rPr>
                  <w:rFonts w:ascii="Cambria Math" w:hAnsi="Cambria Math"/>
                  <w:sz w:val="20"/>
                  <w:szCs w:val="20"/>
                </w:rPr>
                <m:t>ln</m:t>
              </m:r>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t</m:t>
                          </m:r>
                          <m:r>
                            <m:rPr>
                              <m:sty m:val="p"/>
                            </m:rPr>
                            <w:rPr>
                              <w:rFonts w:ascii="Cambria Math" w:hAnsi="Cambria Math"/>
                              <w:sz w:val="20"/>
                              <w:szCs w:val="20"/>
                            </w:rPr>
                            <m:t>+1</m:t>
                          </m:r>
                        </m:sub>
                      </m:sSub>
                    </m:num>
                    <m:den>
                      <m:r>
                        <w:rPr>
                          <w:rFonts w:ascii="Cambria Math" w:hAnsi="Cambria Math"/>
                          <w:sz w:val="20"/>
                          <w:szCs w:val="20"/>
                        </w:rPr>
                        <m:t>Vt</m:t>
                      </m:r>
                    </m:den>
                  </m:f>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4</m:t>
                  </m:r>
                </m:e>
              </m:d>
            </m:e>
          </m:eqArr>
        </m:oMath>
      </m:oMathPara>
    </w:p>
    <w:p w14:paraId="6A59982F" w14:textId="12363076" w:rsidR="005B5546" w:rsidRDefault="0044080A">
      <w:pPr>
        <w:pStyle w:val="BodyText"/>
        <w:ind w:firstLine="0"/>
        <w:rPr>
          <w:sz w:val="20"/>
          <w:szCs w:val="20"/>
        </w:rPr>
      </w:pPr>
      <w:r>
        <w:rPr>
          <w:sz w:val="20"/>
          <w:szCs w:val="20"/>
        </w:rPr>
        <w:t xml:space="preserve">where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t</m:t>
            </m:r>
          </m:sub>
        </m:sSub>
      </m:oMath>
      <w:r>
        <w:rPr>
          <w:sz w:val="20"/>
          <w:szCs w:val="20"/>
        </w:rPr>
        <w:t xml:space="preserve"> is the price at time </w:t>
      </w:r>
      <w:proofErr w:type="gramStart"/>
      <w:r>
        <w:rPr>
          <w:sz w:val="20"/>
          <w:szCs w:val="20"/>
        </w:rPr>
        <w:t>t.</w:t>
      </w:r>
      <w:proofErr w:type="gramEnd"/>
      <w:r>
        <w:rPr>
          <w:sz w:val="20"/>
          <w:szCs w:val="20"/>
        </w:rPr>
        <w:t xml:space="preserve"> Then, we combined the histogram and scatter</w:t>
      </w:r>
      <w:r w:rsidR="000A51E2">
        <w:rPr>
          <w:sz w:val="20"/>
          <w:szCs w:val="20"/>
        </w:rPr>
        <w:t>ed</w:t>
      </w:r>
      <w:r>
        <w:rPr>
          <w:sz w:val="20"/>
          <w:szCs w:val="20"/>
        </w:rPr>
        <w:t xml:space="preserve"> plot to check whether the compound return of each stock is invariant or not. For the histogram method, each stock data will be split in half, and then compare the distribution of 2 plots. According to the plot of each stock, the compound return of all stocks is invariant.</w:t>
      </w:r>
    </w:p>
    <w:p w14:paraId="68183E1D" w14:textId="77777777" w:rsidR="005B5546" w:rsidRDefault="0044080A">
      <w:pPr>
        <w:pStyle w:val="Heading3"/>
      </w:pPr>
      <w:r>
        <w:t>ARIMA model for forecasting</w:t>
      </w:r>
    </w:p>
    <w:p w14:paraId="0513D779" w14:textId="77777777" w:rsidR="005B5546" w:rsidRDefault="0044080A">
      <w:pPr>
        <w:pStyle w:val="BodyText"/>
        <w:rPr>
          <w:sz w:val="20"/>
          <w:szCs w:val="20"/>
        </w:rPr>
      </w:pPr>
      <w:r>
        <w:rPr>
          <w:rFonts w:hint="eastAsia"/>
          <w:sz w:val="20"/>
          <w:szCs w:val="20"/>
        </w:rPr>
        <w:t>We</w:t>
      </w:r>
      <w:r>
        <w:rPr>
          <w:sz w:val="20"/>
          <w:szCs w:val="20"/>
        </w:rPr>
        <w:t xml:space="preserve"> </w:t>
      </w:r>
      <w:r>
        <w:rPr>
          <w:rFonts w:hint="eastAsia"/>
          <w:sz w:val="20"/>
          <w:szCs w:val="20"/>
        </w:rPr>
        <w:t>u</w:t>
      </w:r>
      <w:r>
        <w:rPr>
          <w:sz w:val="20"/>
          <w:szCs w:val="20"/>
        </w:rPr>
        <w:t>se the autoregressive integrated moving average (ARIMA) model to predict the future trend of each stock. The ARIMA (p, d, q) model’s concise form is shown as:</w:t>
      </w:r>
    </w:p>
    <w:p w14:paraId="653DF6E0" w14:textId="77777777" w:rsidR="005B5546" w:rsidRDefault="002C3328">
      <w:pPr>
        <w:pStyle w:val="equation"/>
        <w:rPr>
          <w:sz w:val="20"/>
          <w:szCs w:val="20"/>
        </w:rPr>
      </w:pPr>
      <m:oMathPara>
        <m:oMath>
          <m:eqArr>
            <m:eqArrPr>
              <m:maxDist m:val="1"/>
              <m:ctrlPr>
                <w:rPr>
                  <w:rFonts w:ascii="Cambria Math" w:hAnsi="Cambria Math"/>
                  <w:sz w:val="20"/>
                  <w:szCs w:val="20"/>
                </w:rPr>
              </m:ctrlPr>
            </m:eqArrPr>
            <m:e>
              <m:r>
                <w:rPr>
                  <w:rFonts w:ascii="Cambria Math" w:hAnsi="Cambria Math"/>
                  <w:sz w:val="20"/>
                  <w:szCs w:val="20"/>
                </w:rPr>
                <m:t>ϕ</m:t>
              </m:r>
              <m:d>
                <m:dPr>
                  <m:ctrlPr>
                    <w:rPr>
                      <w:rFonts w:ascii="Cambria Math" w:hAnsi="Cambria Math"/>
                      <w:sz w:val="20"/>
                      <w:szCs w:val="20"/>
                    </w:rPr>
                  </m:ctrlPr>
                </m:dPr>
                <m:e>
                  <m:r>
                    <w:rPr>
                      <w:rFonts w:ascii="Cambria Math" w:hAnsi="Cambria Math"/>
                      <w:sz w:val="20"/>
                      <w:szCs w:val="20"/>
                    </w:rPr>
                    <m:t>B</m:t>
                  </m:r>
                </m:e>
              </m:d>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1-</m:t>
                      </m:r>
                      <m:r>
                        <w:rPr>
                          <w:rFonts w:ascii="Cambria Math" w:hAnsi="Cambria Math"/>
                          <w:sz w:val="20"/>
                          <w:szCs w:val="20"/>
                        </w:rPr>
                        <m:t>B</m:t>
                      </m:r>
                    </m:e>
                  </m:d>
                </m:e>
                <m:sup>
                  <m:r>
                    <w:rPr>
                      <w:rFonts w:ascii="Cambria Math" w:hAnsi="Cambria Math"/>
                      <w:sz w:val="20"/>
                      <w:szCs w:val="20"/>
                    </w:rPr>
                    <m:t>d</m:t>
                  </m:r>
                </m:sup>
              </m:sSup>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t</m:t>
                  </m:r>
                </m:sub>
              </m:sSub>
              <m:r>
                <m:rPr>
                  <m:sty m:val="p"/>
                </m:rPr>
                <w:rPr>
                  <w:rFonts w:ascii="Cambria Math" w:hAnsi="Cambria Math"/>
                  <w:sz w:val="20"/>
                  <w:szCs w:val="20"/>
                </w:rPr>
                <m:t>=</m:t>
              </m:r>
              <m:r>
                <w:rPr>
                  <w:rFonts w:ascii="Cambria Math" w:hAnsi="Cambria Math"/>
                  <w:sz w:val="20"/>
                  <w:szCs w:val="20"/>
                </w:rPr>
                <m:t>θ</m:t>
              </m:r>
              <m:d>
                <m:dPr>
                  <m:ctrlPr>
                    <w:rPr>
                      <w:rFonts w:ascii="Cambria Math" w:hAnsi="Cambria Math"/>
                      <w:sz w:val="20"/>
                      <w:szCs w:val="20"/>
                    </w:rPr>
                  </m:ctrlPr>
                </m:dPr>
                <m:e>
                  <m:r>
                    <w:rPr>
                      <w:rFonts w:ascii="Cambria Math" w:hAnsi="Cambria Math"/>
                      <w:sz w:val="20"/>
                      <w:szCs w:val="20"/>
                    </w:rPr>
                    <m:t>B</m:t>
                  </m:r>
                </m:e>
              </m:d>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t</m:t>
                  </m:r>
                </m:sub>
              </m:sSub>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5</m:t>
                  </m:r>
                </m:e>
              </m:d>
            </m:e>
          </m:eqArr>
        </m:oMath>
      </m:oMathPara>
    </w:p>
    <w:p w14:paraId="7F608108" w14:textId="56F0ACD0" w:rsidR="005B5546" w:rsidRDefault="0044080A">
      <w:pPr>
        <w:pStyle w:val="BodyText"/>
        <w:ind w:firstLine="0"/>
        <w:rPr>
          <w:color w:val="000000" w:themeColor="text1"/>
          <w:sz w:val="20"/>
          <w:szCs w:val="20"/>
        </w:rPr>
      </w:pPr>
      <w:r>
        <w:rPr>
          <w:sz w:val="20"/>
          <w:szCs w:val="20"/>
        </w:rPr>
        <w:t xml:space="preserve">where </w:t>
      </w:r>
      <m:oMath>
        <m:r>
          <w:rPr>
            <w:rFonts w:ascii="Cambria Math" w:hAnsi="Cambria Math"/>
            <w:sz w:val="20"/>
            <w:szCs w:val="20"/>
          </w:rPr>
          <m:t>B</m:t>
        </m:r>
      </m:oMath>
      <w:r>
        <w:rPr>
          <w:sz w:val="20"/>
          <w:szCs w:val="20"/>
        </w:rPr>
        <w:t xml:space="preserve"> is the backshift operator;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sz w:val="20"/>
          <w:szCs w:val="20"/>
        </w:rPr>
        <w:t xml:space="preserve"> is the time series data;</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Pr>
          <w:sz w:val="20"/>
          <w:szCs w:val="20"/>
        </w:rPr>
        <w:t xml:space="preserve"> is “white noise” random shock variable that follow</w:t>
      </w:r>
      <w:r>
        <w:rPr>
          <w:rFonts w:eastAsia="SimSun" w:hint="eastAsia"/>
          <w:sz w:val="20"/>
          <w:szCs w:val="20"/>
          <w:lang w:val="en-US"/>
        </w:rPr>
        <w:t>s</w:t>
      </w:r>
      <w:r>
        <w:rPr>
          <w:sz w:val="20"/>
          <w:szCs w:val="20"/>
        </w:rPr>
        <w:t xml:space="preserve"> an independent and identically distribution </w:t>
      </w:r>
      <m:oMath>
        <m:d>
          <m:dPr>
            <m:ctrlPr>
              <w:rPr>
                <w:rFonts w:ascii="Cambria Math" w:hAnsi="Cambria Math"/>
                <w:i/>
                <w:sz w:val="20"/>
                <w:szCs w:val="20"/>
              </w:rPr>
            </m:ctrlPr>
          </m:dPr>
          <m:e>
            <m:r>
              <w:rPr>
                <w:rFonts w:ascii="Cambria Math" w:hAnsi="Cambria Math"/>
                <w:sz w:val="20"/>
                <w:szCs w:val="20"/>
              </w:rPr>
              <m:t>0,</m:t>
            </m:r>
            <m:sSubSup>
              <m:sSubSupPr>
                <m:ctrlPr>
                  <w:rPr>
                    <w:rFonts w:ascii="Cambria Math" w:hAnsi="Cambria Math"/>
                    <w:i/>
                    <w:sz w:val="20"/>
                    <w:szCs w:val="20"/>
                  </w:rPr>
                </m:ctrlPr>
              </m:sSubSupPr>
              <m:e>
                <m:r>
                  <m:rPr>
                    <m:sty m:val="p"/>
                  </m:rPr>
                  <w:rPr>
                    <w:rFonts w:ascii="Cambria Math" w:hAnsi="Cambria Math"/>
                    <w:sz w:val="20"/>
                    <w:szCs w:val="20"/>
                  </w:rPr>
                  <m:t>σ</m:t>
                </m:r>
              </m:e>
              <m:sub>
                <m:r>
                  <w:rPr>
                    <w:rFonts w:ascii="Cambria Math" w:hAnsi="Cambria Math"/>
                    <w:sz w:val="20"/>
                    <w:szCs w:val="20"/>
                  </w:rPr>
                  <m:t>w</m:t>
                </m:r>
              </m:sub>
              <m:sup>
                <m:r>
                  <w:rPr>
                    <w:rFonts w:ascii="Cambria Math" w:hAnsi="Cambria Math"/>
                    <w:sz w:val="20"/>
                    <w:szCs w:val="20"/>
                  </w:rPr>
                  <m:t>2</m:t>
                </m:r>
              </m:sup>
            </m:sSubSup>
          </m:e>
        </m:d>
      </m:oMath>
      <w:r>
        <w:rPr>
          <w:sz w:val="20"/>
          <w:szCs w:val="20"/>
        </w:rPr>
        <w:t xml:space="preserve">;  </w:t>
      </w:r>
      <m:oMath>
        <m:r>
          <m:rPr>
            <m:sty m:val="p"/>
          </m:rP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r>
          <w:rPr>
            <w:rFonts w:ascii="Cambria Math" w:hAnsi="Cambria Math"/>
            <w:color w:val="000000" w:themeColor="text1"/>
            <w:sz w:val="20"/>
            <w:szCs w:val="20"/>
          </w:rPr>
          <m:t>1-</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ϕ</m:t>
            </m:r>
          </m:e>
          <m:sub>
            <m:r>
              <w:rPr>
                <w:rFonts w:ascii="Cambria Math" w:hAnsi="Cambria Math"/>
                <w:color w:val="000000" w:themeColor="text1"/>
                <w:sz w:val="20"/>
                <w:szCs w:val="20"/>
              </w:rPr>
              <m:t>1</m:t>
            </m:r>
          </m:sub>
        </m:sSub>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B</m:t>
            </m:r>
          </m:e>
          <m:sup>
            <m:r>
              <w:rPr>
                <w:rFonts w:ascii="Cambria Math" w:hAnsi="Cambria Math"/>
                <w:color w:val="000000" w:themeColor="text1"/>
                <w:sz w:val="20"/>
                <w:szCs w:val="20"/>
              </w:rPr>
              <m:t>1</m:t>
            </m:r>
          </m:sup>
        </m:sSup>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ϕ</m:t>
            </m:r>
          </m:e>
          <m:sub>
            <m:r>
              <w:rPr>
                <w:rFonts w:ascii="Cambria Math" w:hAnsi="Cambria Math"/>
                <w:color w:val="000000" w:themeColor="text1"/>
                <w:sz w:val="20"/>
                <w:szCs w:val="20"/>
              </w:rPr>
              <m:t>2</m:t>
            </m:r>
          </m:sub>
        </m:sSub>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B</m:t>
            </m:r>
          </m:e>
          <m:sup>
            <m:r>
              <w:rPr>
                <w:rFonts w:ascii="Cambria Math" w:hAnsi="Cambria Math"/>
                <w:color w:val="000000" w:themeColor="text1"/>
                <w:sz w:val="20"/>
                <w:szCs w:val="20"/>
              </w:rPr>
              <m:t>2</m:t>
            </m:r>
          </m:sup>
        </m:sSup>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ϕ</m:t>
            </m:r>
          </m:e>
          <m:sub>
            <m:r>
              <w:rPr>
                <w:rFonts w:ascii="Cambria Math" w:hAnsi="Cambria Math"/>
                <w:color w:val="000000" w:themeColor="text1"/>
                <w:sz w:val="20"/>
                <w:szCs w:val="20"/>
              </w:rPr>
              <m:t>p</m:t>
            </m:r>
          </m:sub>
        </m:sSub>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B</m:t>
            </m:r>
          </m:e>
          <m:sup>
            <m:r>
              <w:rPr>
                <w:rFonts w:ascii="Cambria Math" w:hAnsi="Cambria Math"/>
                <w:color w:val="000000" w:themeColor="text1"/>
                <w:sz w:val="20"/>
                <w:szCs w:val="20"/>
              </w:rPr>
              <m:t>p</m:t>
            </m:r>
          </m:sup>
        </m:sSup>
      </m:oMath>
      <w:r>
        <w:rPr>
          <w:sz w:val="20"/>
          <w:szCs w:val="20"/>
        </w:rPr>
        <w:t xml:space="preserve"> and </w:t>
      </w:r>
      <m:oMath>
        <m:r>
          <m:rPr>
            <m:sty m:val="p"/>
          </m:rP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r>
          <w:rPr>
            <w:rFonts w:ascii="Cambria Math" w:hAnsi="Cambria Math"/>
            <w:color w:val="000000" w:themeColor="text1"/>
            <w:sz w:val="20"/>
            <w:szCs w:val="20"/>
          </w:rPr>
          <m:t>1</m:t>
        </m:r>
        <m:r>
          <m:rPr>
            <m:sty m:val="p"/>
          </m:rPr>
          <w:rPr>
            <w:rFonts w:ascii="Cambria Math" w:hAnsi="Cambria Math"/>
            <w:sz w:val="20"/>
            <w:szCs w:val="20"/>
          </w:rPr>
          <m:t>+</m:t>
        </m:r>
        <m:sSub>
          <m:sSubPr>
            <m:ctrlPr>
              <w:rPr>
                <w:rFonts w:ascii="Cambria Math" w:hAnsi="Cambria Math"/>
                <w:i/>
                <w:iCs/>
                <w:sz w:val="20"/>
                <w:szCs w:val="20"/>
              </w:rPr>
            </m:ctrlPr>
          </m:sSubPr>
          <m:e>
            <m:r>
              <m:rPr>
                <m:sty m:val="p"/>
              </m:rPr>
              <w:rPr>
                <w:rFonts w:ascii="Cambria Math" w:hAnsi="Cambria Math"/>
                <w:sz w:val="20"/>
                <w:szCs w:val="20"/>
              </w:rPr>
              <m:t>θ</m:t>
            </m:r>
            <m:ctrlPr>
              <w:rPr>
                <w:rFonts w:ascii="Cambria Math" w:hAnsi="Cambria Math"/>
                <w:sz w:val="20"/>
                <w:szCs w:val="20"/>
              </w:rPr>
            </m:ctrlPr>
          </m:e>
          <m:sub>
            <m:r>
              <w:rPr>
                <w:rFonts w:ascii="Cambria Math" w:hAnsi="Cambria Math"/>
                <w:sz w:val="20"/>
                <w:szCs w:val="20"/>
              </w:rPr>
              <m:t>1</m:t>
            </m:r>
          </m:sub>
        </m:sSub>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B</m:t>
            </m:r>
          </m:e>
          <m:sup>
            <m:r>
              <w:rPr>
                <w:rFonts w:ascii="Cambria Math" w:hAnsi="Cambria Math"/>
                <w:color w:val="000000" w:themeColor="text1"/>
                <w:sz w:val="20"/>
                <w:szCs w:val="20"/>
              </w:rPr>
              <m:t>1</m:t>
            </m:r>
          </m:sup>
        </m:sSup>
        <m:r>
          <w:rPr>
            <w:rFonts w:ascii="Cambria Math" w:hAnsi="Cambria Math"/>
            <w:color w:val="000000" w:themeColor="text1"/>
            <w:sz w:val="20"/>
            <w:szCs w:val="20"/>
          </w:rPr>
          <m:t>+</m:t>
        </m:r>
        <m:sSub>
          <m:sSubPr>
            <m:ctrlPr>
              <w:rPr>
                <w:rFonts w:ascii="Cambria Math" w:hAnsi="Cambria Math"/>
                <w:i/>
                <w:iCs/>
                <w:sz w:val="20"/>
                <w:szCs w:val="20"/>
              </w:rPr>
            </m:ctrlPr>
          </m:sSubPr>
          <m:e>
            <m:r>
              <m:rPr>
                <m:sty m:val="p"/>
              </m:rPr>
              <w:rPr>
                <w:rFonts w:ascii="Cambria Math" w:hAnsi="Cambria Math"/>
                <w:sz w:val="20"/>
                <w:szCs w:val="20"/>
              </w:rPr>
              <m:t>θ</m:t>
            </m:r>
            <m:ctrlPr>
              <w:rPr>
                <w:rFonts w:ascii="Cambria Math" w:hAnsi="Cambria Math"/>
                <w:i/>
                <w:color w:val="000000" w:themeColor="text1"/>
                <w:sz w:val="20"/>
                <w:szCs w:val="20"/>
              </w:rPr>
            </m:ctrlPr>
          </m:e>
          <m:sub>
            <m:r>
              <w:rPr>
                <w:rFonts w:ascii="Cambria Math" w:hAnsi="Cambria Math"/>
                <w:sz w:val="20"/>
                <w:szCs w:val="20"/>
              </w:rPr>
              <m:t>2</m:t>
            </m:r>
          </m:sub>
        </m:sSub>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B</m:t>
            </m:r>
          </m:e>
          <m:sup>
            <m:r>
              <w:rPr>
                <w:rFonts w:ascii="Cambria Math" w:hAnsi="Cambria Math"/>
                <w:color w:val="000000" w:themeColor="text1"/>
                <w:sz w:val="20"/>
                <w:szCs w:val="20"/>
              </w:rPr>
              <m:t>2</m:t>
            </m:r>
          </m:sup>
        </m:sSup>
        <m:r>
          <w:rPr>
            <w:rFonts w:ascii="Cambria Math" w:hAnsi="Cambria Math"/>
            <w:color w:val="000000" w:themeColor="text1"/>
            <w:sz w:val="20"/>
            <w:szCs w:val="20"/>
          </w:rPr>
          <m:t>+…+</m:t>
        </m:r>
        <m:sSub>
          <m:sSubPr>
            <m:ctrlPr>
              <w:rPr>
                <w:rFonts w:ascii="Cambria Math" w:hAnsi="Cambria Math"/>
                <w:i/>
                <w:iCs/>
                <w:sz w:val="20"/>
                <w:szCs w:val="20"/>
              </w:rPr>
            </m:ctrlPr>
          </m:sSubPr>
          <m:e>
            <m:r>
              <m:rPr>
                <m:sty m:val="p"/>
              </m:rPr>
              <w:rPr>
                <w:rFonts w:ascii="Cambria Math" w:hAnsi="Cambria Math"/>
                <w:sz w:val="20"/>
                <w:szCs w:val="20"/>
              </w:rPr>
              <m:t>θ</m:t>
            </m:r>
            <m:ctrlPr>
              <w:rPr>
                <w:rFonts w:ascii="Cambria Math" w:hAnsi="Cambria Math"/>
                <w:i/>
                <w:color w:val="000000" w:themeColor="text1"/>
                <w:sz w:val="20"/>
                <w:szCs w:val="20"/>
              </w:rPr>
            </m:ctrlPr>
          </m:e>
          <m:sub>
            <m:r>
              <w:rPr>
                <w:rFonts w:ascii="Cambria Math" w:hAnsi="Cambria Math"/>
                <w:sz w:val="20"/>
                <w:szCs w:val="20"/>
              </w:rPr>
              <m:t>p</m:t>
            </m:r>
          </m:sub>
        </m:sSub>
        <m:sSup>
          <m:sSupPr>
            <m:ctrlPr>
              <w:rPr>
                <w:rFonts w:ascii="Cambria Math" w:hAnsi="Cambria Math"/>
                <w:i/>
                <w:iCs/>
                <w:sz w:val="20"/>
                <w:szCs w:val="20"/>
              </w:rPr>
            </m:ctrlPr>
          </m:sSupPr>
          <m:e>
            <m:r>
              <w:rPr>
                <w:rFonts w:ascii="Cambria Math" w:hAnsi="Cambria Math"/>
                <w:sz w:val="20"/>
                <w:szCs w:val="20"/>
              </w:rPr>
              <m:t>B</m:t>
            </m:r>
          </m:e>
          <m:sup>
            <m:r>
              <w:rPr>
                <w:rFonts w:ascii="Cambria Math" w:hAnsi="Cambria Math"/>
                <w:sz w:val="20"/>
                <w:szCs w:val="20"/>
              </w:rPr>
              <m:t>3</m:t>
            </m:r>
          </m:sup>
        </m:sSup>
      </m:oMath>
      <w:r>
        <w:rPr>
          <w:iCs/>
          <w:sz w:val="20"/>
          <w:szCs w:val="20"/>
        </w:rPr>
        <w:t xml:space="preserve"> represent </w:t>
      </w:r>
      <w:r>
        <w:rPr>
          <w:sz w:val="20"/>
          <w:szCs w:val="20"/>
        </w:rPr>
        <w:t xml:space="preserve">the </w:t>
      </w:r>
      <w:r>
        <w:rPr>
          <w:color w:val="000000" w:themeColor="text1"/>
          <w:sz w:val="20"/>
          <w:szCs w:val="20"/>
        </w:rPr>
        <w:t xml:space="preserve">autoregressive operator and moving average operator with order p and q; </w:t>
      </w:r>
      <m:oMath>
        <m:sSup>
          <m:sSupPr>
            <m:ctrlPr>
              <w:rPr>
                <w:rFonts w:ascii="Cambria Math" w:hAnsi="Cambria Math"/>
                <w:i/>
                <w:color w:val="000000" w:themeColor="text1"/>
                <w:sz w:val="20"/>
                <w:szCs w:val="20"/>
              </w:rPr>
            </m:ctrlPr>
          </m:sSupPr>
          <m:e>
            <m:d>
              <m:dPr>
                <m:ctrlPr>
                  <w:rPr>
                    <w:rFonts w:ascii="Cambria Math" w:hAnsi="Cambria Math"/>
                    <w:i/>
                    <w:color w:val="000000" w:themeColor="text1"/>
                    <w:sz w:val="20"/>
                    <w:szCs w:val="20"/>
                  </w:rPr>
                </m:ctrlPr>
              </m:dPr>
              <m:e>
                <m:r>
                  <w:rPr>
                    <w:rFonts w:ascii="Cambria Math" w:hAnsi="Cambria Math"/>
                    <w:color w:val="000000" w:themeColor="text1"/>
                    <w:sz w:val="20"/>
                    <w:szCs w:val="20"/>
                  </w:rPr>
                  <m:t>1-B</m:t>
                </m:r>
              </m:e>
            </m:d>
          </m:e>
          <m:sup>
            <m:r>
              <w:rPr>
                <w:rFonts w:ascii="Cambria Math" w:hAnsi="Cambria Math"/>
                <w:color w:val="000000" w:themeColor="text1"/>
                <w:sz w:val="20"/>
                <w:szCs w:val="20"/>
              </w:rPr>
              <m:t>d</m:t>
            </m:r>
          </m:sup>
        </m:sSup>
      </m:oMath>
      <w:r>
        <w:rPr>
          <w:color w:val="000000" w:themeColor="text1"/>
          <w:sz w:val="20"/>
          <w:szCs w:val="20"/>
        </w:rPr>
        <w:t xml:space="preserve"> is the difference process with order d [15]. </w:t>
      </w:r>
      <w:r>
        <w:rPr>
          <w:sz w:val="20"/>
          <w:szCs w:val="20"/>
        </w:rPr>
        <w:t>The order of autoregressive process (p) and moving average process (q)</w:t>
      </w:r>
      <w:r>
        <w:rPr>
          <w:rFonts w:eastAsia="SimSun" w:hint="eastAsia"/>
          <w:sz w:val="20"/>
          <w:szCs w:val="20"/>
          <w:lang w:val="en-US"/>
        </w:rPr>
        <w:t xml:space="preserve"> </w:t>
      </w:r>
      <w:r>
        <w:rPr>
          <w:sz w:val="20"/>
          <w:szCs w:val="20"/>
        </w:rPr>
        <w:t>could be obtained by partial autocorrelation (PACF) graphs and autocorrelation (ACF) graphs.  For a more accurate result, we fitted the various model with different order combination</w:t>
      </w:r>
      <w:r>
        <w:rPr>
          <w:rFonts w:eastAsia="SimSun" w:hint="eastAsia"/>
          <w:sz w:val="20"/>
          <w:szCs w:val="20"/>
          <w:lang w:val="en-US"/>
        </w:rPr>
        <w:t>s</w:t>
      </w:r>
      <w:r>
        <w:rPr>
          <w:sz w:val="20"/>
          <w:szCs w:val="20"/>
        </w:rPr>
        <w:t xml:space="preserve">. The range of order p and q is from 0 to 5, and the range of d is 0 to 3. We used the Akaike information criterion (AIC) to compare each model. The AIC can be calculated by the formula (6), </w:t>
      </w:r>
    </w:p>
    <w:p w14:paraId="4943ABDD" w14:textId="77777777" w:rsidR="005B5546" w:rsidRDefault="002C3328">
      <w:pPr>
        <w:pStyle w:val="equation"/>
        <w:rPr>
          <w:sz w:val="20"/>
          <w:szCs w:val="20"/>
        </w:rPr>
      </w:pPr>
      <m:oMathPara>
        <m:oMath>
          <m:eqArr>
            <m:eqArrPr>
              <m:maxDist m:val="1"/>
              <m:ctrlPr>
                <w:rPr>
                  <w:rFonts w:ascii="Cambria Math" w:hAnsi="Cambria Math" w:cs="Times New Roman"/>
                  <w:sz w:val="20"/>
                  <w:szCs w:val="20"/>
                </w:rPr>
              </m:ctrlPr>
            </m:eqArrPr>
            <m:e>
              <m:r>
                <w:rPr>
                  <w:rFonts w:ascii="Cambria Math" w:hAnsi="Cambria Math" w:cs="Times New Roman"/>
                  <w:sz w:val="20"/>
                  <w:szCs w:val="20"/>
                </w:rPr>
                <m:t>AIC</m:t>
              </m:r>
              <m:r>
                <m:rPr>
                  <m:sty m:val="p"/>
                </m:rPr>
                <w:rPr>
                  <w:rFonts w:ascii="Cambria Math" w:hAnsi="Cambria Math" w:cs="Times New Roman"/>
                  <w:sz w:val="20"/>
                  <w:szCs w:val="20"/>
                </w:rPr>
                <m:t>=2</m:t>
              </m:r>
              <m:r>
                <w:rPr>
                  <w:rFonts w:ascii="Cambria Math" w:hAnsi="Cambria Math" w:cs="Times New Roman"/>
                  <w:sz w:val="20"/>
                  <w:szCs w:val="20"/>
                </w:rPr>
                <m:t>k</m:t>
              </m:r>
              <m:r>
                <m:rPr>
                  <m:sty m:val="p"/>
                </m:rPr>
                <w:rPr>
                  <w:rFonts w:ascii="Cambria Math" w:hAnsi="Cambria Math" w:cs="Times New Roman"/>
                  <w:sz w:val="20"/>
                  <w:szCs w:val="20"/>
                </w:rPr>
                <m:t>-2</m:t>
              </m:r>
              <m:r>
                <w:rPr>
                  <w:rFonts w:ascii="Cambria Math" w:hAnsi="Cambria Math" w:cs="Times New Roman"/>
                  <w:sz w:val="20"/>
                  <w:szCs w:val="20"/>
                </w:rPr>
                <m:t>ln</m:t>
              </m:r>
              <m:d>
                <m:dPr>
                  <m:ctrlPr>
                    <w:rPr>
                      <w:rFonts w:ascii="Cambria Math" w:hAnsi="Cambria Math" w:cs="Times New Roman"/>
                      <w:sz w:val="20"/>
                      <w:szCs w:val="20"/>
                    </w:rPr>
                  </m:ctrlPr>
                </m:dPr>
                <m:e>
                  <m:acc>
                    <m:accPr>
                      <m:ctrlPr>
                        <w:rPr>
                          <w:rFonts w:ascii="Cambria Math" w:hAnsi="Cambria Math" w:cs="Times New Roman"/>
                          <w:sz w:val="20"/>
                          <w:szCs w:val="20"/>
                        </w:rPr>
                      </m:ctrlPr>
                    </m:accPr>
                    <m:e>
                      <m:r>
                        <w:rPr>
                          <w:rFonts w:ascii="Cambria Math" w:hAnsi="Cambria Math" w:cs="Times New Roman"/>
                          <w:sz w:val="20"/>
                          <w:szCs w:val="20"/>
                        </w:rPr>
                        <m:t>L</m:t>
                      </m:r>
                    </m:e>
                  </m:acc>
                </m:e>
              </m:d>
              <m:r>
                <m:rPr>
                  <m:sty m:val="p"/>
                </m:rPr>
                <w:rPr>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m:t>6</m:t>
                  </m:r>
                </m:e>
              </m:d>
            </m:e>
          </m:eqArr>
        </m:oMath>
      </m:oMathPara>
    </w:p>
    <w:p w14:paraId="603BD0A3" w14:textId="7B55EEB8" w:rsidR="005B5546" w:rsidRDefault="0044080A">
      <w:pPr>
        <w:pStyle w:val="BodyText"/>
        <w:ind w:firstLine="0"/>
        <w:rPr>
          <w:rFonts w:ascii="SimSun" w:eastAsia="SimSun" w:hAnsi="SimSun" w:cs="SimSun"/>
          <w:lang w:val="en-US"/>
        </w:rPr>
      </w:pPr>
      <w:r>
        <w:rPr>
          <w:sz w:val="20"/>
          <w:szCs w:val="20"/>
        </w:rPr>
        <w:t xml:space="preserve">where k is the number of estimated parameters in the model and </w:t>
      </w:r>
      <m:oMath>
        <m:acc>
          <m:accPr>
            <m:ctrlPr>
              <w:rPr>
                <w:rFonts w:ascii="Cambria Math" w:hAnsi="Cambria Math"/>
                <w:sz w:val="20"/>
                <w:szCs w:val="20"/>
              </w:rPr>
            </m:ctrlPr>
          </m:accPr>
          <m:e>
            <m:r>
              <w:rPr>
                <w:rFonts w:ascii="Cambria Math" w:hAnsi="Cambria Math"/>
                <w:sz w:val="20"/>
                <w:szCs w:val="20"/>
              </w:rPr>
              <m:t>L</m:t>
            </m:r>
          </m:e>
        </m:acc>
      </m:oMath>
      <w:r>
        <w:rPr>
          <w:sz w:val="20"/>
          <w:szCs w:val="20"/>
        </w:rPr>
        <w:t xml:space="preserve"> is the maximum value of the likelihood function for the model. The model with the lowest AIC fitting the trend best. We also do the residual analysis </w:t>
      </w:r>
      <w:r>
        <w:rPr>
          <w:rFonts w:eastAsia="SimSun" w:hint="eastAsia"/>
          <w:sz w:val="20"/>
          <w:szCs w:val="20"/>
          <w:lang w:val="en-US"/>
        </w:rPr>
        <w:t>to</w:t>
      </w:r>
      <w:r>
        <w:rPr>
          <w:sz w:val="20"/>
          <w:szCs w:val="20"/>
        </w:rPr>
        <w:t xml:space="preserve"> check whether the residual is normal</w:t>
      </w:r>
      <w:proofErr w:type="spellStart"/>
      <w:r>
        <w:rPr>
          <w:rFonts w:eastAsia="SimSun" w:hint="eastAsia"/>
          <w:sz w:val="20"/>
          <w:szCs w:val="20"/>
          <w:lang w:val="en-US"/>
        </w:rPr>
        <w:t>ly</w:t>
      </w:r>
      <w:proofErr w:type="spellEnd"/>
      <w:r>
        <w:rPr>
          <w:sz w:val="20"/>
          <w:szCs w:val="20"/>
        </w:rPr>
        <w:t xml:space="preserve"> </w:t>
      </w:r>
      <w:proofErr w:type="spellStart"/>
      <w:r>
        <w:rPr>
          <w:sz w:val="20"/>
          <w:szCs w:val="20"/>
        </w:rPr>
        <w:t>distribut</w:t>
      </w:r>
      <w:proofErr w:type="spellEnd"/>
      <w:r>
        <w:rPr>
          <w:rFonts w:eastAsia="SimSun" w:hint="eastAsia"/>
          <w:sz w:val="20"/>
          <w:szCs w:val="20"/>
          <w:lang w:val="en-US"/>
        </w:rPr>
        <w:t>ed</w:t>
      </w:r>
      <w:r>
        <w:rPr>
          <w:sz w:val="20"/>
          <w:szCs w:val="20"/>
        </w:rPr>
        <w:t xml:space="preserve">. By observing the time series </w:t>
      </w:r>
      <w:r w:rsidR="000A51E2">
        <w:rPr>
          <w:sz w:val="20"/>
          <w:szCs w:val="20"/>
        </w:rPr>
        <w:t>plot,</w:t>
      </w:r>
      <w:r>
        <w:rPr>
          <w:sz w:val="20"/>
          <w:szCs w:val="20"/>
        </w:rPr>
        <w:t xml:space="preserve"> which include</w:t>
      </w:r>
      <w:r>
        <w:rPr>
          <w:rFonts w:eastAsia="SimSun" w:hint="eastAsia"/>
          <w:sz w:val="20"/>
          <w:szCs w:val="20"/>
          <w:lang w:val="en-US"/>
        </w:rPr>
        <w:t>s</w:t>
      </w:r>
      <w:r>
        <w:rPr>
          <w:sz w:val="20"/>
          <w:szCs w:val="20"/>
        </w:rPr>
        <w:t xml:space="preserve"> plots of residual data, ACF, PAF, QQ and probability, </w:t>
      </w:r>
      <w:proofErr w:type="spellStart"/>
      <w:r>
        <w:rPr>
          <w:rFonts w:eastAsia="SimSun" w:hint="eastAsia"/>
          <w:sz w:val="20"/>
          <w:szCs w:val="20"/>
          <w:lang w:val="en-US"/>
        </w:rPr>
        <w:t>i</w:t>
      </w:r>
      <w:proofErr w:type="spellEnd"/>
      <w:r>
        <w:rPr>
          <w:rFonts w:hint="eastAsia"/>
          <w:sz w:val="20"/>
          <w:szCs w:val="20"/>
        </w:rPr>
        <w:t xml:space="preserve">t is proved that the residual </w:t>
      </w:r>
      <w:r>
        <w:rPr>
          <w:rFonts w:eastAsia="SimSun" w:hint="eastAsia"/>
          <w:sz w:val="20"/>
          <w:szCs w:val="20"/>
          <w:lang w:val="en-US"/>
        </w:rPr>
        <w:t>is</w:t>
      </w:r>
      <w:r>
        <w:rPr>
          <w:rFonts w:hint="eastAsia"/>
          <w:sz w:val="20"/>
          <w:szCs w:val="20"/>
        </w:rPr>
        <w:t xml:space="preserve"> </w:t>
      </w:r>
      <w:proofErr w:type="gramStart"/>
      <w:r>
        <w:rPr>
          <w:rFonts w:hint="eastAsia"/>
          <w:sz w:val="20"/>
          <w:szCs w:val="20"/>
        </w:rPr>
        <w:t>independent.</w:t>
      </w:r>
      <w:r>
        <w:rPr>
          <w:rFonts w:ascii="SimSun" w:eastAsia="SimSun" w:hAnsi="SimSun" w:cs="SimSun"/>
          <w:sz w:val="20"/>
          <w:szCs w:val="20"/>
          <w:lang w:val="en-US"/>
        </w:rPr>
        <w:t>.</w:t>
      </w:r>
      <w:proofErr w:type="gramEnd"/>
    </w:p>
    <w:p w14:paraId="51F5F59F" w14:textId="49E4E2ED" w:rsidR="005B5546" w:rsidRDefault="0044080A" w:rsidP="004B6CEE">
      <w:pPr>
        <w:pStyle w:val="Heading1"/>
        <w:jc w:val="center"/>
      </w:pPr>
      <w:r>
        <w:t>Results and Discussion</w:t>
      </w:r>
    </w:p>
    <w:p w14:paraId="63DCA8C1" w14:textId="77777777" w:rsidR="005B5546" w:rsidRDefault="0044080A">
      <w:pPr>
        <w:pStyle w:val="Heading2"/>
      </w:pPr>
      <w:r>
        <w:t>Efficient frontier and portfolio allocation</w:t>
      </w:r>
    </w:p>
    <w:p w14:paraId="2342E5B5" w14:textId="2AB3FA49" w:rsidR="005B5546" w:rsidRDefault="0044080A">
      <w:pPr>
        <w:pStyle w:val="BodyText"/>
        <w:rPr>
          <w:sz w:val="20"/>
          <w:szCs w:val="20"/>
        </w:rPr>
      </w:pPr>
      <w:r>
        <w:rPr>
          <w:sz w:val="20"/>
          <w:szCs w:val="20"/>
        </w:rPr>
        <w:t xml:space="preserve">In figure 1, the blue line shows the efficient frontier of the 5 stocks that we chose. The x-axis shows volatility, and the y-axis shows the expected returns on the left side and the Sharpe ratio on the right side. The marks represent the volatility and Sharpe ratio of each stock when the stock’s weight is 100% in the portfolio. We can see that most dots have high volatility and are </w:t>
      </w:r>
      <w:r w:rsidR="000A51E2">
        <w:rPr>
          <w:sz w:val="20"/>
          <w:szCs w:val="20"/>
        </w:rPr>
        <w:t>red,</w:t>
      </w:r>
      <w:r>
        <w:rPr>
          <w:sz w:val="20"/>
          <w:szCs w:val="20"/>
        </w:rPr>
        <w:t xml:space="preserve"> which means most combinations have a low Sharpe ratio.    </w:t>
      </w:r>
    </w:p>
    <w:p w14:paraId="58731251" w14:textId="77777777" w:rsidR="005B5546" w:rsidRDefault="0044080A">
      <w:pPr>
        <w:pStyle w:val="figurecaption"/>
        <w:numPr>
          <w:ilvl w:val="0"/>
          <w:numId w:val="0"/>
        </w:numPr>
        <w:jc w:val="both"/>
      </w:pPr>
      <w:r>
        <w:rPr>
          <w:noProof/>
          <w:lang w:eastAsia="zh-CN"/>
        </w:rPr>
        <w:drawing>
          <wp:inline distT="0" distB="0" distL="0" distR="0" wp14:anchorId="6CE26BA5" wp14:editId="45489912">
            <wp:extent cx="3205480" cy="21202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cstate="print">
                      <a:extLst>
                        <a:ext uri="{28A0092B-C50C-407E-A947-70E740481C1C}">
                          <a14:useLocalDpi xmlns:a14="http://schemas.microsoft.com/office/drawing/2010/main" val="0"/>
                        </a:ext>
                      </a:extLst>
                    </a:blip>
                    <a:srcRect l="1860" t="2791" r="4366" b="4179"/>
                    <a:stretch>
                      <a:fillRect/>
                    </a:stretch>
                  </pic:blipFill>
                  <pic:spPr>
                    <a:xfrm>
                      <a:off x="0" y="0"/>
                      <a:ext cx="3223633" cy="2132272"/>
                    </a:xfrm>
                    <a:prstGeom prst="rect">
                      <a:avLst/>
                    </a:prstGeom>
                    <a:ln>
                      <a:noFill/>
                    </a:ln>
                  </pic:spPr>
                </pic:pic>
              </a:graphicData>
            </a:graphic>
          </wp:inline>
        </w:drawing>
      </w:r>
    </w:p>
    <w:p w14:paraId="519284CB" w14:textId="77777777" w:rsidR="005B5546" w:rsidRDefault="0044080A">
      <w:pPr>
        <w:pStyle w:val="figurecaption"/>
      </w:pPr>
      <w:r>
        <w:t xml:space="preserve"> Efficient Frontier 1</w:t>
      </w:r>
      <w:r>
        <w:rPr>
          <w:rFonts w:hint="eastAsia"/>
          <w:lang w:eastAsia="zh-CN"/>
        </w:rPr>
        <w:t>.</w:t>
      </w:r>
    </w:p>
    <w:p w14:paraId="7CFD31A4" w14:textId="77777777" w:rsidR="005B5546" w:rsidRDefault="0044080A">
      <w:pPr>
        <w:pStyle w:val="BodyText"/>
        <w:rPr>
          <w:sz w:val="20"/>
          <w:szCs w:val="20"/>
        </w:rPr>
      </w:pPr>
      <w:r>
        <w:rPr>
          <w:sz w:val="20"/>
          <w:szCs w:val="20"/>
        </w:rPr>
        <w:t xml:space="preserve">In figure 2, </w:t>
      </w:r>
      <w:r>
        <w:rPr>
          <w:rFonts w:eastAsia="SimSun" w:hint="eastAsia"/>
          <w:sz w:val="20"/>
          <w:szCs w:val="20"/>
          <w:lang w:val="en-US"/>
        </w:rPr>
        <w:t xml:space="preserve">the </w:t>
      </w:r>
      <w:r>
        <w:rPr>
          <w:sz w:val="20"/>
          <w:szCs w:val="20"/>
        </w:rPr>
        <w:t>max Sharpe ratio portfolio and minimum volatility portfolio are shown by the marks on the efficient frontier. The details of each portfolio are shown in the figures below.</w:t>
      </w:r>
    </w:p>
    <w:p w14:paraId="18664EE0" w14:textId="77777777" w:rsidR="005B5546" w:rsidRDefault="0044080A">
      <w:pPr>
        <w:pStyle w:val="figurecaption"/>
        <w:numPr>
          <w:ilvl w:val="0"/>
          <w:numId w:val="0"/>
        </w:numPr>
        <w:jc w:val="both"/>
      </w:pPr>
      <w:r>
        <w:rPr>
          <w:noProof/>
          <w:lang w:eastAsia="zh-CN"/>
        </w:rPr>
        <w:drawing>
          <wp:inline distT="0" distB="0" distL="0" distR="0" wp14:anchorId="0D251265" wp14:editId="623F71C6">
            <wp:extent cx="3205480" cy="2141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rcRect l="1654" t="2170" r="3643" b="2929"/>
                    <a:stretch>
                      <a:fillRect/>
                    </a:stretch>
                  </pic:blipFill>
                  <pic:spPr>
                    <a:xfrm>
                      <a:off x="0" y="0"/>
                      <a:ext cx="3205922" cy="2141954"/>
                    </a:xfrm>
                    <a:prstGeom prst="rect">
                      <a:avLst/>
                    </a:prstGeom>
                    <a:ln>
                      <a:noFill/>
                    </a:ln>
                  </pic:spPr>
                </pic:pic>
              </a:graphicData>
            </a:graphic>
          </wp:inline>
        </w:drawing>
      </w:r>
    </w:p>
    <w:p w14:paraId="27ECA93D" w14:textId="77777777" w:rsidR="005B5546" w:rsidRDefault="0044080A">
      <w:pPr>
        <w:pStyle w:val="figurecaption"/>
      </w:pPr>
      <w:r>
        <w:t>Efficient Frontier 2</w:t>
      </w:r>
      <w:r>
        <w:rPr>
          <w:rFonts w:hint="eastAsia"/>
          <w:lang w:eastAsia="zh-CN"/>
        </w:rPr>
        <w:t>.</w:t>
      </w:r>
      <w:r>
        <w:t xml:space="preserve">   </w:t>
      </w:r>
    </w:p>
    <w:p w14:paraId="3D255609" w14:textId="55959CA8" w:rsidR="005B5546" w:rsidRDefault="000A51E2">
      <w:pPr>
        <w:pStyle w:val="BodyText"/>
        <w:rPr>
          <w:sz w:val="20"/>
          <w:szCs w:val="20"/>
        </w:rPr>
      </w:pPr>
      <w:r>
        <w:rPr>
          <w:sz w:val="20"/>
          <w:szCs w:val="20"/>
        </w:rPr>
        <w:t>F</w:t>
      </w:r>
      <w:r w:rsidR="0044080A">
        <w:rPr>
          <w:sz w:val="20"/>
          <w:szCs w:val="20"/>
        </w:rPr>
        <w:t>igure</w:t>
      </w:r>
      <w:r w:rsidR="0044080A">
        <w:rPr>
          <w:rFonts w:eastAsia="SimSun" w:hint="eastAsia"/>
          <w:sz w:val="20"/>
          <w:szCs w:val="20"/>
          <w:lang w:val="en-US"/>
        </w:rPr>
        <w:t xml:space="preserve"> </w:t>
      </w:r>
      <w:r w:rsidR="0044080A">
        <w:rPr>
          <w:sz w:val="20"/>
          <w:szCs w:val="20"/>
        </w:rPr>
        <w:t>3, (a) represents the percentages of each stock in the maximum Sharpe ratio portfolio and (b) represents the percentages of each stock in the minimum volatility Sharpe ratio. The composition of these two portfolios</w:t>
      </w:r>
      <w:r>
        <w:rPr>
          <w:sz w:val="20"/>
          <w:szCs w:val="20"/>
        </w:rPr>
        <w:t>,</w:t>
      </w:r>
      <w:r w:rsidR="0044080A">
        <w:rPr>
          <w:sz w:val="20"/>
          <w:szCs w:val="20"/>
        </w:rPr>
        <w:t xml:space="preserve"> which are oriented in different strategies</w:t>
      </w:r>
      <w:r>
        <w:rPr>
          <w:sz w:val="20"/>
          <w:szCs w:val="20"/>
        </w:rPr>
        <w:t>,</w:t>
      </w:r>
      <w:r w:rsidR="0044080A">
        <w:rPr>
          <w:sz w:val="20"/>
          <w:szCs w:val="20"/>
        </w:rPr>
        <w:t xml:space="preserve"> is similar. The result may be due to the method which we used to choose stocks by the highest Sharper ratio.</w:t>
      </w:r>
    </w:p>
    <w:p w14:paraId="5C627F0B" w14:textId="77777777" w:rsidR="005B5546" w:rsidRDefault="0044080A">
      <w:pPr>
        <w:pStyle w:val="figurecaption"/>
        <w:numPr>
          <w:ilvl w:val="0"/>
          <w:numId w:val="0"/>
        </w:numPr>
      </w:pPr>
      <w:r>
        <w:rPr>
          <w:noProof/>
          <w:lang w:eastAsia="zh-CN"/>
        </w:rPr>
        <w:drawing>
          <wp:inline distT="0" distB="0" distL="0" distR="0" wp14:anchorId="36FCA4E7" wp14:editId="154F01F2">
            <wp:extent cx="2566035" cy="4521200"/>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l="1189" t="792" r="14315"/>
                    <a:stretch>
                      <a:fillRect/>
                    </a:stretch>
                  </pic:blipFill>
                  <pic:spPr>
                    <a:xfrm>
                      <a:off x="0" y="0"/>
                      <a:ext cx="2653542" cy="4674846"/>
                    </a:xfrm>
                    <a:prstGeom prst="rect">
                      <a:avLst/>
                    </a:prstGeom>
                    <a:ln>
                      <a:noFill/>
                    </a:ln>
                  </pic:spPr>
                </pic:pic>
              </a:graphicData>
            </a:graphic>
          </wp:inline>
        </w:drawing>
      </w:r>
    </w:p>
    <w:p w14:paraId="49B0B8CA" w14:textId="2A79E4AC" w:rsidR="005B5546" w:rsidRDefault="0044080A">
      <w:pPr>
        <w:pStyle w:val="figurecaption"/>
      </w:pPr>
      <w:r>
        <w:t xml:space="preserve"> Weights of each stock in portfolios   </w:t>
      </w:r>
    </w:p>
    <w:p w14:paraId="1BADF786" w14:textId="21466A36" w:rsidR="005B5546" w:rsidRDefault="0044080A">
      <w:pPr>
        <w:pStyle w:val="BodyText"/>
        <w:rPr>
          <w:lang w:eastAsia="ja-JP"/>
        </w:rPr>
      </w:pPr>
      <w:r>
        <w:rPr>
          <w:sz w:val="20"/>
          <w:szCs w:val="20"/>
        </w:rPr>
        <w:t xml:space="preserve">Table Ⅱ shows the performance of the two portfolios. Because of the similar allocation of stocks, they show a similar result correspondingly. The volatility of both portfolios is </w:t>
      </w:r>
      <w:r>
        <w:rPr>
          <w:sz w:val="20"/>
          <w:szCs w:val="20"/>
          <w:lang w:eastAsia="ja-JP"/>
        </w:rPr>
        <w:t>typically high even they have a high Sharpe ratio at the same time. This result shows that high risk always comes with high returns</w:t>
      </w:r>
      <w:r>
        <w:rPr>
          <w:lang w:eastAsia="ja-JP"/>
        </w:rPr>
        <w:t>.</w:t>
      </w:r>
    </w:p>
    <w:p w14:paraId="7BFD96DC" w14:textId="77777777" w:rsidR="005B5546" w:rsidRDefault="0044080A">
      <w:pPr>
        <w:pStyle w:val="tablehead"/>
      </w:pPr>
      <w:r>
        <w:t>Performance of portfolio</w:t>
      </w:r>
    </w:p>
    <w:tbl>
      <w:tblPr>
        <w:tblStyle w:val="TableGrid"/>
        <w:tblW w:w="5000" w:type="pct"/>
        <w:tblLook w:val="04A0" w:firstRow="1" w:lastRow="0" w:firstColumn="1" w:lastColumn="0" w:noHBand="0" w:noVBand="1"/>
      </w:tblPr>
      <w:tblGrid>
        <w:gridCol w:w="1899"/>
        <w:gridCol w:w="988"/>
        <w:gridCol w:w="988"/>
        <w:gridCol w:w="1172"/>
      </w:tblGrid>
      <w:tr w:rsidR="005B5546" w14:paraId="04EACDA3" w14:textId="77777777">
        <w:trPr>
          <w:trHeight w:val="399"/>
        </w:trPr>
        <w:tc>
          <w:tcPr>
            <w:tcW w:w="1881" w:type="pct"/>
            <w:tcBorders>
              <w:left w:val="nil"/>
              <w:right w:val="nil"/>
            </w:tcBorders>
            <w:vAlign w:val="center"/>
          </w:tcPr>
          <w:p w14:paraId="4A916531" w14:textId="77777777" w:rsidR="005B5546" w:rsidRDefault="005B5546">
            <w:pPr>
              <w:rPr>
                <w:sz w:val="20"/>
                <w:szCs w:val="20"/>
              </w:rPr>
            </w:pPr>
          </w:p>
        </w:tc>
        <w:tc>
          <w:tcPr>
            <w:tcW w:w="979" w:type="pct"/>
            <w:tcBorders>
              <w:left w:val="nil"/>
              <w:right w:val="nil"/>
            </w:tcBorders>
            <w:vAlign w:val="center"/>
          </w:tcPr>
          <w:p w14:paraId="46E3D899" w14:textId="77777777" w:rsidR="005B5546" w:rsidRDefault="0044080A">
            <w:pPr>
              <w:pStyle w:val="tablecolhead"/>
            </w:pPr>
            <w:r>
              <w:t>Returns</w:t>
            </w:r>
          </w:p>
        </w:tc>
        <w:tc>
          <w:tcPr>
            <w:tcW w:w="979" w:type="pct"/>
            <w:tcBorders>
              <w:left w:val="nil"/>
              <w:right w:val="nil"/>
            </w:tcBorders>
            <w:vAlign w:val="center"/>
          </w:tcPr>
          <w:p w14:paraId="2DF95095" w14:textId="77777777" w:rsidR="005B5546" w:rsidRDefault="0044080A">
            <w:pPr>
              <w:pStyle w:val="tablecolhead"/>
              <w:rPr>
                <w:rFonts w:eastAsia="MS PMincho"/>
              </w:rPr>
            </w:pPr>
            <w:r>
              <w:rPr>
                <w:rFonts w:eastAsia="MS PMincho"/>
              </w:rPr>
              <w:t>Volatility</w:t>
            </w:r>
          </w:p>
        </w:tc>
        <w:tc>
          <w:tcPr>
            <w:tcW w:w="1161" w:type="pct"/>
            <w:tcBorders>
              <w:left w:val="nil"/>
              <w:right w:val="nil"/>
            </w:tcBorders>
            <w:vAlign w:val="center"/>
          </w:tcPr>
          <w:p w14:paraId="5095264A" w14:textId="77777777" w:rsidR="005B5546" w:rsidRDefault="0044080A">
            <w:pPr>
              <w:pStyle w:val="tablecolhead"/>
            </w:pPr>
            <w:r>
              <w:t>Sharpe ratio</w:t>
            </w:r>
          </w:p>
        </w:tc>
      </w:tr>
      <w:tr w:rsidR="005B5546" w14:paraId="30FA64A8" w14:textId="77777777">
        <w:trPr>
          <w:trHeight w:val="399"/>
        </w:trPr>
        <w:tc>
          <w:tcPr>
            <w:tcW w:w="1881" w:type="pct"/>
            <w:tcBorders>
              <w:left w:val="nil"/>
              <w:bottom w:val="nil"/>
              <w:right w:val="nil"/>
            </w:tcBorders>
            <w:vAlign w:val="center"/>
          </w:tcPr>
          <w:p w14:paraId="3EDF9725" w14:textId="77777777" w:rsidR="005B5546" w:rsidRDefault="0044080A">
            <w:pPr>
              <w:pStyle w:val="tablecopy"/>
            </w:pPr>
            <w:r>
              <w:t>Maximum Sharpe Ratio portfolio (SR)</w:t>
            </w:r>
          </w:p>
        </w:tc>
        <w:tc>
          <w:tcPr>
            <w:tcW w:w="979" w:type="pct"/>
            <w:tcBorders>
              <w:left w:val="nil"/>
              <w:bottom w:val="nil"/>
              <w:right w:val="nil"/>
            </w:tcBorders>
            <w:vAlign w:val="center"/>
          </w:tcPr>
          <w:p w14:paraId="22B6315F" w14:textId="77777777" w:rsidR="005B5546" w:rsidRDefault="0044080A">
            <w:pPr>
              <w:pStyle w:val="tablecopy"/>
            </w:pPr>
            <w:r>
              <w:t>135.79%</w:t>
            </w:r>
          </w:p>
        </w:tc>
        <w:tc>
          <w:tcPr>
            <w:tcW w:w="979" w:type="pct"/>
            <w:tcBorders>
              <w:left w:val="nil"/>
              <w:bottom w:val="nil"/>
              <w:right w:val="nil"/>
            </w:tcBorders>
            <w:vAlign w:val="center"/>
          </w:tcPr>
          <w:p w14:paraId="4290D590" w14:textId="77777777" w:rsidR="005B5546" w:rsidRDefault="0044080A">
            <w:pPr>
              <w:pStyle w:val="tablecopy"/>
            </w:pPr>
            <w:r>
              <w:t>75.55%</w:t>
            </w:r>
          </w:p>
        </w:tc>
        <w:tc>
          <w:tcPr>
            <w:tcW w:w="1161" w:type="pct"/>
            <w:tcBorders>
              <w:left w:val="nil"/>
              <w:bottom w:val="nil"/>
              <w:right w:val="nil"/>
            </w:tcBorders>
            <w:vAlign w:val="center"/>
          </w:tcPr>
          <w:p w14:paraId="495DDD2A" w14:textId="77777777" w:rsidR="005B5546" w:rsidRDefault="0044080A">
            <w:pPr>
              <w:pStyle w:val="tablecopy"/>
            </w:pPr>
            <w:r>
              <w:t>179.73%</w:t>
            </w:r>
          </w:p>
        </w:tc>
      </w:tr>
      <w:tr w:rsidR="005B5546" w14:paraId="29B74FF0" w14:textId="77777777">
        <w:trPr>
          <w:trHeight w:val="382"/>
        </w:trPr>
        <w:tc>
          <w:tcPr>
            <w:tcW w:w="1881" w:type="pct"/>
            <w:tcBorders>
              <w:top w:val="nil"/>
              <w:left w:val="nil"/>
              <w:right w:val="nil"/>
            </w:tcBorders>
            <w:vAlign w:val="center"/>
          </w:tcPr>
          <w:p w14:paraId="10F4570D" w14:textId="77777777" w:rsidR="005B5546" w:rsidRDefault="0044080A">
            <w:pPr>
              <w:pStyle w:val="tablecopy"/>
            </w:pPr>
            <w:r>
              <w:t>Minimum Volatility portfolio (MV)</w:t>
            </w:r>
          </w:p>
        </w:tc>
        <w:tc>
          <w:tcPr>
            <w:tcW w:w="979" w:type="pct"/>
            <w:tcBorders>
              <w:top w:val="nil"/>
              <w:left w:val="nil"/>
              <w:right w:val="nil"/>
            </w:tcBorders>
            <w:vAlign w:val="center"/>
          </w:tcPr>
          <w:p w14:paraId="08BC5548" w14:textId="77777777" w:rsidR="005B5546" w:rsidRDefault="0044080A">
            <w:pPr>
              <w:pStyle w:val="tablecopy"/>
            </w:pPr>
            <w:r>
              <w:t>114.99%</w:t>
            </w:r>
          </w:p>
        </w:tc>
        <w:tc>
          <w:tcPr>
            <w:tcW w:w="979" w:type="pct"/>
            <w:tcBorders>
              <w:top w:val="nil"/>
              <w:left w:val="nil"/>
              <w:right w:val="nil"/>
            </w:tcBorders>
            <w:vAlign w:val="center"/>
          </w:tcPr>
          <w:p w14:paraId="3C20708A" w14:textId="77777777" w:rsidR="005B5546" w:rsidRDefault="0044080A">
            <w:pPr>
              <w:pStyle w:val="tablecopy"/>
            </w:pPr>
            <w:r>
              <w:t>68.80%</w:t>
            </w:r>
          </w:p>
        </w:tc>
        <w:tc>
          <w:tcPr>
            <w:tcW w:w="1161" w:type="pct"/>
            <w:tcBorders>
              <w:top w:val="nil"/>
              <w:left w:val="nil"/>
              <w:right w:val="nil"/>
            </w:tcBorders>
            <w:shd w:val="clear" w:color="auto" w:fill="auto"/>
            <w:vAlign w:val="center"/>
          </w:tcPr>
          <w:p w14:paraId="438A3F9D" w14:textId="77777777" w:rsidR="005B5546" w:rsidRDefault="0044080A">
            <w:pPr>
              <w:pStyle w:val="tablecopy"/>
            </w:pPr>
            <w:r>
              <w:t>167.15%</w:t>
            </w:r>
          </w:p>
        </w:tc>
      </w:tr>
    </w:tbl>
    <w:p w14:paraId="78828539" w14:textId="77777777" w:rsidR="005B5546" w:rsidRDefault="0044080A">
      <w:pPr>
        <w:pStyle w:val="Heading2"/>
      </w:pPr>
      <w:r>
        <w:lastRenderedPageBreak/>
        <w:t>Results of ARIMA-based trend prediction</w:t>
      </w:r>
    </w:p>
    <w:p w14:paraId="423DD025" w14:textId="25655749" w:rsidR="005B5546" w:rsidRDefault="0044080A">
      <w:pPr>
        <w:pStyle w:val="BodyText"/>
        <w:rPr>
          <w:sz w:val="20"/>
          <w:szCs w:val="20"/>
        </w:rPr>
      </w:pPr>
      <w:r>
        <w:rPr>
          <w:rFonts w:hint="eastAsia"/>
          <w:sz w:val="20"/>
          <w:szCs w:val="20"/>
        </w:rPr>
        <w:t>T</w:t>
      </w:r>
      <w:r>
        <w:rPr>
          <w:sz w:val="20"/>
          <w:szCs w:val="20"/>
        </w:rPr>
        <w:t xml:space="preserve">able Ⅲ shows the AIC of the model that we use to predict the stocks, which can show us how well the model fit. We got a minus relatively low value. Therefore, we can say that the model we used fit well.  </w:t>
      </w:r>
    </w:p>
    <w:p w14:paraId="5866FFC5" w14:textId="77777777" w:rsidR="005B5546" w:rsidRDefault="0044080A">
      <w:pPr>
        <w:pStyle w:val="tablehead"/>
      </w:pPr>
      <w:r>
        <w:t>AIC of   stock’s model</w:t>
      </w: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29"/>
        <w:gridCol w:w="729"/>
        <w:gridCol w:w="850"/>
        <w:gridCol w:w="729"/>
        <w:gridCol w:w="729"/>
        <w:gridCol w:w="729"/>
      </w:tblGrid>
      <w:tr w:rsidR="005B5546" w14:paraId="301B6FED" w14:textId="77777777">
        <w:trPr>
          <w:trHeight w:val="411"/>
          <w:jc w:val="center"/>
        </w:trPr>
        <w:tc>
          <w:tcPr>
            <w:tcW w:w="533" w:type="pct"/>
          </w:tcPr>
          <w:p w14:paraId="026F0ABA" w14:textId="77777777" w:rsidR="005B5546" w:rsidRDefault="005B5546">
            <w:pPr>
              <w:rPr>
                <w:b/>
                <w:bCs/>
              </w:rPr>
            </w:pPr>
          </w:p>
        </w:tc>
        <w:tc>
          <w:tcPr>
            <w:tcW w:w="745" w:type="pct"/>
          </w:tcPr>
          <w:p w14:paraId="78FB3318" w14:textId="77777777" w:rsidR="005B5546" w:rsidRDefault="0044080A">
            <w:pPr>
              <w:pStyle w:val="tablecolhead"/>
            </w:pPr>
            <w:r>
              <w:t>SPI</w:t>
            </w:r>
          </w:p>
        </w:tc>
        <w:tc>
          <w:tcPr>
            <w:tcW w:w="745" w:type="pct"/>
          </w:tcPr>
          <w:p w14:paraId="57E42265" w14:textId="77777777" w:rsidR="005B5546" w:rsidRDefault="0044080A">
            <w:pPr>
              <w:pStyle w:val="tablecolhead"/>
            </w:pPr>
            <w:r>
              <w:t>AACG</w:t>
            </w:r>
          </w:p>
        </w:tc>
        <w:tc>
          <w:tcPr>
            <w:tcW w:w="745" w:type="pct"/>
          </w:tcPr>
          <w:p w14:paraId="66086537" w14:textId="77777777" w:rsidR="005B5546" w:rsidRDefault="0044080A">
            <w:pPr>
              <w:pStyle w:val="tablecolhead"/>
            </w:pPr>
            <w:r>
              <w:t>BTB</w:t>
            </w:r>
          </w:p>
        </w:tc>
        <w:tc>
          <w:tcPr>
            <w:tcW w:w="745" w:type="pct"/>
          </w:tcPr>
          <w:p w14:paraId="6B1FD7BA" w14:textId="77777777" w:rsidR="005B5546" w:rsidRDefault="0044080A">
            <w:pPr>
              <w:pStyle w:val="tablecolhead"/>
            </w:pPr>
            <w:r>
              <w:t>MOXC</w:t>
            </w:r>
          </w:p>
        </w:tc>
        <w:tc>
          <w:tcPr>
            <w:tcW w:w="745" w:type="pct"/>
          </w:tcPr>
          <w:p w14:paraId="3FA3F83A" w14:textId="77777777" w:rsidR="005B5546" w:rsidRDefault="0044080A">
            <w:pPr>
              <w:pStyle w:val="tablecolhead"/>
            </w:pPr>
            <w:r>
              <w:t>DQ</w:t>
            </w:r>
          </w:p>
        </w:tc>
        <w:tc>
          <w:tcPr>
            <w:tcW w:w="745" w:type="pct"/>
          </w:tcPr>
          <w:p w14:paraId="10769414" w14:textId="77777777" w:rsidR="005B5546" w:rsidRDefault="0044080A">
            <w:pPr>
              <w:pStyle w:val="tablecolhead"/>
            </w:pPr>
            <w:r>
              <w:t>RENN</w:t>
            </w:r>
          </w:p>
        </w:tc>
      </w:tr>
      <w:tr w:rsidR="005B5546" w14:paraId="0329E9D6" w14:textId="77777777">
        <w:trPr>
          <w:trHeight w:val="425"/>
          <w:jc w:val="center"/>
        </w:trPr>
        <w:tc>
          <w:tcPr>
            <w:tcW w:w="533" w:type="pct"/>
          </w:tcPr>
          <w:p w14:paraId="27A19477" w14:textId="77777777" w:rsidR="005B5546" w:rsidRDefault="0044080A">
            <w:pPr>
              <w:pStyle w:val="tablecopy"/>
            </w:pPr>
            <w:r>
              <w:t>ARIMA</w:t>
            </w:r>
          </w:p>
        </w:tc>
        <w:tc>
          <w:tcPr>
            <w:tcW w:w="745" w:type="pct"/>
          </w:tcPr>
          <w:p w14:paraId="7CC96A00" w14:textId="77777777" w:rsidR="005B5546" w:rsidRDefault="0044080A">
            <w:pPr>
              <w:pStyle w:val="tablecopy"/>
            </w:pPr>
            <w:r>
              <w:t>-1069.2712</w:t>
            </w:r>
          </w:p>
        </w:tc>
        <w:tc>
          <w:tcPr>
            <w:tcW w:w="745" w:type="pct"/>
          </w:tcPr>
          <w:p w14:paraId="55F47ADC" w14:textId="77777777" w:rsidR="005B5546" w:rsidRDefault="0044080A">
            <w:pPr>
              <w:pStyle w:val="tablecopy"/>
            </w:pPr>
            <w:r>
              <w:t>-1966.7606</w:t>
            </w:r>
          </w:p>
        </w:tc>
        <w:tc>
          <w:tcPr>
            <w:tcW w:w="745" w:type="pct"/>
          </w:tcPr>
          <w:p w14:paraId="1F1A2350" w14:textId="77777777" w:rsidR="005B5546" w:rsidRDefault="0044080A">
            <w:pPr>
              <w:pStyle w:val="tablecopy"/>
            </w:pPr>
            <w:r>
              <w:t>-1867.201252</w:t>
            </w:r>
          </w:p>
        </w:tc>
        <w:tc>
          <w:tcPr>
            <w:tcW w:w="745" w:type="pct"/>
          </w:tcPr>
          <w:p w14:paraId="48C9824A" w14:textId="77777777" w:rsidR="005B5546" w:rsidRDefault="0044080A">
            <w:pPr>
              <w:pStyle w:val="tablecopy"/>
            </w:pPr>
            <w:r>
              <w:t>-2204.1646</w:t>
            </w:r>
          </w:p>
        </w:tc>
        <w:tc>
          <w:tcPr>
            <w:tcW w:w="745" w:type="pct"/>
          </w:tcPr>
          <w:p w14:paraId="75981CA2" w14:textId="77777777" w:rsidR="005B5546" w:rsidRDefault="0044080A">
            <w:pPr>
              <w:pStyle w:val="tablecopy"/>
            </w:pPr>
            <w:r>
              <w:t>-3455.9884</w:t>
            </w:r>
          </w:p>
        </w:tc>
        <w:tc>
          <w:tcPr>
            <w:tcW w:w="745" w:type="pct"/>
          </w:tcPr>
          <w:p w14:paraId="678F6531" w14:textId="77777777" w:rsidR="005B5546" w:rsidRDefault="0044080A">
            <w:pPr>
              <w:pStyle w:val="tablecopy"/>
            </w:pPr>
            <w:r>
              <w:t>-2656.1765</w:t>
            </w:r>
          </w:p>
        </w:tc>
      </w:tr>
    </w:tbl>
    <w:p w14:paraId="79FC72D5" w14:textId="77777777" w:rsidR="005B5546" w:rsidRDefault="005B5546"/>
    <w:p w14:paraId="64CE4925" w14:textId="77777777" w:rsidR="005B5546" w:rsidRDefault="0044080A">
      <w:pPr>
        <w:pStyle w:val="Heading2"/>
      </w:pPr>
      <w:r>
        <w:t>Price Prediction based on Arima</w:t>
      </w:r>
    </w:p>
    <w:p w14:paraId="58D8F345" w14:textId="3BD251CE" w:rsidR="005B5546" w:rsidRDefault="0044080A">
      <w:pPr>
        <w:pStyle w:val="BodyText"/>
        <w:rPr>
          <w:sz w:val="20"/>
          <w:szCs w:val="20"/>
          <w:lang w:eastAsia="ja-JP"/>
        </w:rPr>
      </w:pPr>
      <w:r>
        <w:rPr>
          <w:sz w:val="20"/>
          <w:szCs w:val="20"/>
        </w:rPr>
        <w:t xml:space="preserve">In figure4, the x-axis shows the date, and the y-axis shows the </w:t>
      </w:r>
      <w:r w:rsidR="000A51E2">
        <w:rPr>
          <w:sz w:val="20"/>
          <w:szCs w:val="20"/>
        </w:rPr>
        <w:t>six stocks' compound return (log return)</w:t>
      </w:r>
      <w:r>
        <w:rPr>
          <w:sz w:val="20"/>
          <w:szCs w:val="20"/>
        </w:rPr>
        <w:t>. Graph (a) shows the predicted compound return which we calculated by the ARIMA model and graph (b) shows the real compound return which is calculated by the yahoo finance data. According to the result, the patterns are not as similar as the training data set. The model that we used does not have so much accuracy in prediction and still has the potential to be improved to obtain better precision. The reason may be that the sample size is too small. In future work, we need to increase the sample size or try other models.</w:t>
      </w:r>
    </w:p>
    <w:p w14:paraId="15F98E50" w14:textId="77777777" w:rsidR="005B5546" w:rsidRDefault="0044080A">
      <w:pPr>
        <w:pStyle w:val="figurecaption"/>
        <w:numPr>
          <w:ilvl w:val="0"/>
          <w:numId w:val="0"/>
        </w:numPr>
        <w:rPr>
          <w:lang w:eastAsia="ja-JP"/>
        </w:rPr>
      </w:pPr>
      <w:r>
        <w:rPr>
          <w:noProof/>
          <w:lang w:eastAsia="zh-CN"/>
        </w:rPr>
        <w:drawing>
          <wp:inline distT="0" distB="0" distL="0" distR="0" wp14:anchorId="130A5418" wp14:editId="0E48D285">
            <wp:extent cx="2895600" cy="411797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t="4470" b="-1188"/>
                    <a:stretch>
                      <a:fillRect/>
                    </a:stretch>
                  </pic:blipFill>
                  <pic:spPr>
                    <a:xfrm>
                      <a:off x="0" y="0"/>
                      <a:ext cx="2936833" cy="4176695"/>
                    </a:xfrm>
                    <a:prstGeom prst="rect">
                      <a:avLst/>
                    </a:prstGeom>
                    <a:ln>
                      <a:noFill/>
                    </a:ln>
                  </pic:spPr>
                </pic:pic>
              </a:graphicData>
            </a:graphic>
          </wp:inline>
        </w:drawing>
      </w:r>
    </w:p>
    <w:p w14:paraId="21D54A49" w14:textId="77777777" w:rsidR="005B5546" w:rsidRDefault="0044080A">
      <w:pPr>
        <w:pStyle w:val="figurecaption"/>
        <w:rPr>
          <w:lang w:eastAsia="ja-JP"/>
        </w:rPr>
      </w:pPr>
      <w:r>
        <w:t>Prediction of the stocks</w:t>
      </w:r>
    </w:p>
    <w:p w14:paraId="0E8FA757" w14:textId="77777777" w:rsidR="005B5546" w:rsidRDefault="0044080A" w:rsidP="004B6CEE">
      <w:pPr>
        <w:pStyle w:val="Heading1"/>
        <w:jc w:val="center"/>
      </w:pPr>
      <w:r>
        <w:t>Conclusion</w:t>
      </w:r>
    </w:p>
    <w:p w14:paraId="38137FC2" w14:textId="32BEA0D5" w:rsidR="005B5546" w:rsidRDefault="0044080A">
      <w:pPr>
        <w:pStyle w:val="BodyText"/>
        <w:rPr>
          <w:sz w:val="20"/>
          <w:szCs w:val="20"/>
          <w:lang w:val="en-US"/>
        </w:rPr>
      </w:pPr>
      <w:r>
        <w:rPr>
          <w:sz w:val="20"/>
          <w:szCs w:val="20"/>
        </w:rPr>
        <w:t xml:space="preserve">In this paper, six US-listed Chinese stocks were selected to form different asset portfolios. The selection is based on the annual sharp ratio. The optimal portfolio allocation is selected by efficiency frontier, calculated based on the Monte Carlo method. According to the efficiency frontier plot, no allocation with single stock is the optimal allocation.  The final portfolio allocations are </w:t>
      </w:r>
      <w:r w:rsidR="000A51E2">
        <w:rPr>
          <w:sz w:val="20"/>
          <w:szCs w:val="20"/>
        </w:rPr>
        <w:t>asset allocation with the maximum sharpe ratio (SR) and minimum volatility (MV) allocation</w:t>
      </w:r>
      <w:r>
        <w:rPr>
          <w:sz w:val="20"/>
          <w:szCs w:val="20"/>
        </w:rPr>
        <w:t>.  Both have a high return and high risk, which shows that these Chinese companies may not be good assets. The allocation with pure Chinese companies’ stock is not good for the risk-averse people and may need to add some other stock</w:t>
      </w:r>
      <w:r>
        <w:rPr>
          <w:rFonts w:eastAsia="SimSun" w:hint="eastAsia"/>
          <w:sz w:val="20"/>
          <w:szCs w:val="20"/>
          <w:lang w:val="en-US"/>
        </w:rPr>
        <w:t>s</w:t>
      </w:r>
      <w:r>
        <w:rPr>
          <w:sz w:val="20"/>
          <w:szCs w:val="20"/>
        </w:rPr>
        <w:t xml:space="preserve"> to balance the risk. </w:t>
      </w:r>
      <w:r w:rsidR="000A51E2">
        <w:rPr>
          <w:sz w:val="20"/>
          <w:szCs w:val="20"/>
        </w:rPr>
        <w:t>The ARIMA model has some accuracy in estimating the future, but not much for the forecasting model</w:t>
      </w:r>
      <w:r>
        <w:rPr>
          <w:sz w:val="20"/>
          <w:szCs w:val="20"/>
        </w:rPr>
        <w:t xml:space="preserve">. This can be shown by comparing trend plots of predicted data and real data. The patterns of forecasting return and real return are relatively similar since both </w:t>
      </w:r>
      <w:r>
        <w:rPr>
          <w:rFonts w:hint="eastAsia"/>
          <w:sz w:val="20"/>
          <w:szCs w:val="20"/>
        </w:rPr>
        <w:t>fluctuate</w:t>
      </w:r>
      <w:r>
        <w:rPr>
          <w:rFonts w:eastAsia="SimSun" w:hint="eastAsia"/>
          <w:sz w:val="20"/>
          <w:szCs w:val="20"/>
          <w:lang w:val="en-US"/>
        </w:rPr>
        <w:t xml:space="preserve"> </w:t>
      </w:r>
      <w:r>
        <w:rPr>
          <w:sz w:val="20"/>
          <w:szCs w:val="20"/>
        </w:rPr>
        <w:t xml:space="preserve">around zero. However, the real data is more volatile than the forecast data. </w:t>
      </w:r>
      <w:r w:rsidR="000A51E2">
        <w:rPr>
          <w:sz w:val="20"/>
          <w:szCs w:val="20"/>
        </w:rPr>
        <w:t>The model predicts MOXC's stock most accurately for single stock forecasting</w:t>
      </w:r>
      <w:r>
        <w:rPr>
          <w:sz w:val="20"/>
          <w:szCs w:val="20"/>
        </w:rPr>
        <w:t xml:space="preserve"> and SPI's stock</w:t>
      </w:r>
      <w:r>
        <w:rPr>
          <w:rFonts w:eastAsia="SimSun" w:hint="eastAsia"/>
          <w:sz w:val="20"/>
          <w:szCs w:val="20"/>
          <w:lang w:val="en-US"/>
        </w:rPr>
        <w:t xml:space="preserve"> </w:t>
      </w:r>
      <w:r>
        <w:rPr>
          <w:sz w:val="20"/>
          <w:szCs w:val="20"/>
        </w:rPr>
        <w:t>least accurately</w:t>
      </w:r>
      <w:r>
        <w:rPr>
          <w:rFonts w:eastAsia="SimSun" w:hint="eastAsia"/>
          <w:sz w:val="20"/>
          <w:szCs w:val="20"/>
          <w:lang w:val="en-US"/>
        </w:rPr>
        <w:t xml:space="preserve">. </w:t>
      </w:r>
      <w:r w:rsidR="000A51E2">
        <w:rPr>
          <w:sz w:val="20"/>
          <w:szCs w:val="20"/>
        </w:rPr>
        <w:t>The SPI’s return shows as a  straight line in the predicted data</w:t>
      </w:r>
      <w:r>
        <w:rPr>
          <w:rFonts w:eastAsia="SimSun" w:hint="eastAsia"/>
          <w:sz w:val="20"/>
          <w:szCs w:val="20"/>
          <w:lang w:val="en-US"/>
        </w:rPr>
        <w:t>,</w:t>
      </w:r>
      <w:r>
        <w:rPr>
          <w:sz w:val="20"/>
          <w:szCs w:val="20"/>
        </w:rPr>
        <w:t xml:space="preserve"> but </w:t>
      </w:r>
      <w:r>
        <w:rPr>
          <w:rFonts w:eastAsia="SimSun" w:hint="eastAsia"/>
          <w:sz w:val="20"/>
          <w:szCs w:val="20"/>
          <w:lang w:val="en-US"/>
        </w:rPr>
        <w:t xml:space="preserve">it </w:t>
      </w:r>
      <w:r>
        <w:rPr>
          <w:sz w:val="20"/>
          <w:szCs w:val="20"/>
        </w:rPr>
        <w:t>shows more volatility in the real data. Thus, the ARIMA model could only be used as a reference for return prediction. To further reinforce this research, future research could examine the portfolio allocation with different stock selection indicators (which is the shape ratio in this paper). Increasing the size of data and using an enhanced model with more accuracy could also be considered in future work.</w:t>
      </w:r>
    </w:p>
    <w:p w14:paraId="5F19166F" w14:textId="77777777" w:rsidR="005B5546" w:rsidRDefault="005B5546">
      <w:pPr>
        <w:pStyle w:val="BodyText"/>
        <w:rPr>
          <w:lang w:val="en-US"/>
        </w:rPr>
      </w:pPr>
    </w:p>
    <w:p w14:paraId="607E7BCF" w14:textId="77777777" w:rsidR="005B5546" w:rsidRDefault="0044080A">
      <w:pPr>
        <w:pStyle w:val="Heading5"/>
      </w:pPr>
      <w:r>
        <w:t>References</w:t>
      </w:r>
    </w:p>
    <w:p w14:paraId="6F60AC15" w14:textId="77777777" w:rsidR="005B5546" w:rsidRDefault="0044080A">
      <w:pPr>
        <w:pStyle w:val="references"/>
      </w:pPr>
      <w:r>
        <w:t>Leduc, Sylvain, and Zheng Liu. “The Uncertainty Channel of the Coronavirus.” FRBSF Economic Letter, March 2020, pp.1-5.</w:t>
      </w:r>
    </w:p>
    <w:p w14:paraId="6AB69371" w14:textId="77777777" w:rsidR="005B5546" w:rsidRDefault="0044080A">
      <w:pPr>
        <w:pStyle w:val="references"/>
      </w:pPr>
      <w:r>
        <w:t xml:space="preserve">Ashraf, </w:t>
      </w:r>
      <w:proofErr w:type="spellStart"/>
      <w:r>
        <w:t>Badar</w:t>
      </w:r>
      <w:proofErr w:type="spellEnd"/>
      <w:r>
        <w:t xml:space="preserve"> Nadeem. “Stock Markets’ Reaction to Covid-19: Cases or Fatalities.” April 2020.</w:t>
      </w:r>
    </w:p>
    <w:p w14:paraId="794352F4" w14:textId="77777777" w:rsidR="005B5546" w:rsidRDefault="0044080A">
      <w:pPr>
        <w:pStyle w:val="references"/>
      </w:pPr>
      <w:r>
        <w:t xml:space="preserve">Wu, </w:t>
      </w:r>
      <w:proofErr w:type="spellStart"/>
      <w:r>
        <w:t>Xianbo</w:t>
      </w:r>
      <w:proofErr w:type="spellEnd"/>
      <w:r>
        <w:t xml:space="preserve">, and </w:t>
      </w:r>
      <w:proofErr w:type="spellStart"/>
      <w:r>
        <w:t>Xiaofeng</w:t>
      </w:r>
      <w:proofErr w:type="spellEnd"/>
      <w:r>
        <w:t xml:space="preserve"> Hui. “The Impact of COVID-19 on the Dependence of Chinese Stock Market.” Discrete Dynamics in Nature &amp; Society, May 2021, pp.1–11. </w:t>
      </w:r>
    </w:p>
    <w:p w14:paraId="26D252FA" w14:textId="77777777" w:rsidR="005B5546" w:rsidRDefault="0044080A">
      <w:pPr>
        <w:pStyle w:val="references"/>
      </w:pPr>
      <w:r>
        <w:t>Cheung, Rachel. “China’s Crackdown on Tech Platforms Is Just Getting Started.” World Politics Review (Selective Content), Aug. 2021, pp.1.</w:t>
      </w:r>
    </w:p>
    <w:p w14:paraId="6DC60FDE" w14:textId="157A9AF6" w:rsidR="005B5546" w:rsidRDefault="0044080A">
      <w:pPr>
        <w:pStyle w:val="references"/>
      </w:pPr>
      <w:r>
        <w:rPr>
          <w:i/>
        </w:rPr>
        <w:t>U.S.-China Economic and Security Commission.</w:t>
      </w:r>
      <w:r>
        <w:t xml:space="preserve"> “Chinese Companies listed on U.S. Major Stock Exchanges.” </w:t>
      </w:r>
      <w:r w:rsidRPr="004B6CEE">
        <w:t>https://www.uscc.gov/research/chinese-companies-listed-major-us-stock-exchanges</w:t>
      </w:r>
    </w:p>
    <w:p w14:paraId="625BA9B0" w14:textId="77777777" w:rsidR="005B5546" w:rsidRDefault="0044080A">
      <w:pPr>
        <w:pStyle w:val="references"/>
      </w:pPr>
      <w:r>
        <w:t xml:space="preserve">Ross, John. “Risks of U.S. Listings by China’s Companies.” China Today, vol. 64, no. 1, January 2015, pp. 48–49. </w:t>
      </w:r>
    </w:p>
    <w:p w14:paraId="7189B075" w14:textId="77777777" w:rsidR="005B5546" w:rsidRDefault="0044080A">
      <w:pPr>
        <w:pStyle w:val="references"/>
      </w:pPr>
      <w:r>
        <w:t xml:space="preserve">Brooks, Robert, et al. “Testing the Integration of the US and Chinese Stock Markets in a </w:t>
      </w:r>
      <w:proofErr w:type="spellStart"/>
      <w:r>
        <w:t>Fama</w:t>
      </w:r>
      <w:proofErr w:type="spellEnd"/>
      <w:r>
        <w:t>-French Framework.” Journal of Economic Integration, vol. 24, no. 3, 2009, pp. 435–454.</w:t>
      </w:r>
    </w:p>
    <w:p w14:paraId="4A436B72" w14:textId="77777777" w:rsidR="005B5546" w:rsidRDefault="0044080A">
      <w:pPr>
        <w:pStyle w:val="references"/>
      </w:pPr>
      <w:r>
        <w:t>Sharpe, William F. “Mutual Fund Performance.” The Journal of Business, vol. 39, no. 1, 1966, pp. 119–138.</w:t>
      </w:r>
    </w:p>
    <w:p w14:paraId="177DC078" w14:textId="77777777" w:rsidR="005B5546" w:rsidRDefault="0044080A">
      <w:pPr>
        <w:pStyle w:val="references"/>
      </w:pPr>
      <w:proofErr w:type="spellStart"/>
      <w:r>
        <w:t>Detemple</w:t>
      </w:r>
      <w:proofErr w:type="spellEnd"/>
      <w:r>
        <w:t>, Jérôme B., et al. “A Monte Carlo Method for Optimal Portfolios.” The Journal of Finance, vol. 58, no. 1, 2003, pp. 401–446.</w:t>
      </w:r>
    </w:p>
    <w:p w14:paraId="4E4D7D15" w14:textId="77777777" w:rsidR="005B5546" w:rsidRDefault="0044080A">
      <w:pPr>
        <w:pStyle w:val="references"/>
      </w:pPr>
      <w:proofErr w:type="spellStart"/>
      <w:r>
        <w:t>Dybvig</w:t>
      </w:r>
      <w:proofErr w:type="spellEnd"/>
      <w:r>
        <w:t xml:space="preserve">, Philip H., and Stephen A. Ross. “Portfolio Efficient Sets.” </w:t>
      </w:r>
      <w:proofErr w:type="spellStart"/>
      <w:r>
        <w:t>Econometrica</w:t>
      </w:r>
      <w:proofErr w:type="spellEnd"/>
      <w:r>
        <w:t>, vol. 50, no. 6, 1982, pp. 1525–1546.</w:t>
      </w:r>
    </w:p>
    <w:p w14:paraId="0DC45F08" w14:textId="77777777" w:rsidR="005B5546" w:rsidRDefault="0044080A">
      <w:pPr>
        <w:pStyle w:val="references"/>
      </w:pPr>
      <w:proofErr w:type="spellStart"/>
      <w:r>
        <w:t>Amaira</w:t>
      </w:r>
      <w:proofErr w:type="spellEnd"/>
      <w:r>
        <w:t>, Bouzid. “Future Value of the Tunisian Dinar against the Euro: Arima Approach.” Journal of Academic Research in Economics, vol. 13, no. 1, Mar. 2021, pp. 149–162.</w:t>
      </w:r>
    </w:p>
    <w:p w14:paraId="417E6590" w14:textId="77777777" w:rsidR="005B5546" w:rsidRDefault="0044080A">
      <w:pPr>
        <w:pStyle w:val="references"/>
        <w:rPr>
          <w:color w:val="000000" w:themeColor="text1"/>
          <w:lang w:val="en-CA"/>
        </w:rPr>
      </w:pPr>
      <w:r>
        <w:t xml:space="preserve">Hsiao, J. M., and C. J. Shieh. “Evaluating the Value of Information Sharing in a Supply Chain Using an ARIMA Model.” International </w:t>
      </w:r>
      <w:r>
        <w:lastRenderedPageBreak/>
        <w:t xml:space="preserve">Journal of Advanced Manufacturing Technology, vol. 27, no. 5/6, Jan. </w:t>
      </w:r>
      <w:r>
        <w:rPr>
          <w:color w:val="000000" w:themeColor="text1"/>
        </w:rPr>
        <w:t>2006, pp. 604–609.</w:t>
      </w:r>
    </w:p>
    <w:p w14:paraId="290B0CDF" w14:textId="2319C656" w:rsidR="005B5546" w:rsidRDefault="0044080A">
      <w:pPr>
        <w:pStyle w:val="references"/>
        <w:rPr>
          <w:color w:val="000000" w:themeColor="text1"/>
        </w:rPr>
      </w:pPr>
      <w:r>
        <w:rPr>
          <w:color w:val="000000" w:themeColor="text1"/>
        </w:rPr>
        <w:t xml:space="preserve">Wind website: </w:t>
      </w:r>
      <w:r w:rsidRPr="004B6CEE">
        <w:t>https://www.wind.com.cn/</w:t>
      </w:r>
    </w:p>
    <w:p w14:paraId="27F98C66" w14:textId="3CF3B2BC" w:rsidR="005B5546" w:rsidRDefault="0044080A">
      <w:pPr>
        <w:pStyle w:val="references"/>
        <w:rPr>
          <w:rStyle w:val="Hyperlink"/>
          <w:color w:val="000000" w:themeColor="text1"/>
        </w:rPr>
      </w:pPr>
      <w:r>
        <w:rPr>
          <w:color w:val="000000" w:themeColor="text1"/>
        </w:rPr>
        <w:t xml:space="preserve">Yahoo Finance website: </w:t>
      </w:r>
      <w:r w:rsidRPr="004B6CEE">
        <w:t>https://finance.yahoo.com/</w:t>
      </w:r>
    </w:p>
    <w:p w14:paraId="2B8BE02D" w14:textId="77777777" w:rsidR="005B5546" w:rsidRDefault="0044080A">
      <w:pPr>
        <w:pStyle w:val="references"/>
        <w:rPr>
          <w:color w:val="000000" w:themeColor="text1"/>
        </w:rPr>
      </w:pPr>
      <w:r>
        <w:rPr>
          <w:color w:val="000000" w:themeColor="text1"/>
          <w:shd w:val="clear" w:color="auto" w:fill="FFFFFF"/>
        </w:rPr>
        <w:t xml:space="preserve">Shumway, Robert H., and David S. </w:t>
      </w:r>
      <w:proofErr w:type="spellStart"/>
      <w:r>
        <w:rPr>
          <w:color w:val="000000" w:themeColor="text1"/>
          <w:shd w:val="clear" w:color="auto" w:fill="FFFFFF"/>
        </w:rPr>
        <w:t>Stoffer</w:t>
      </w:r>
      <w:proofErr w:type="spellEnd"/>
      <w:r>
        <w:rPr>
          <w:color w:val="000000" w:themeColor="text1"/>
          <w:shd w:val="clear" w:color="auto" w:fill="FFFFFF"/>
        </w:rPr>
        <w:t>. </w:t>
      </w:r>
      <w:r>
        <w:rPr>
          <w:i/>
          <w:iCs/>
          <w:color w:val="000000" w:themeColor="text1"/>
          <w:shd w:val="clear" w:color="auto" w:fill="FFFFFF"/>
        </w:rPr>
        <w:t>Time Series Analysis and Its Applications</w:t>
      </w:r>
      <w:r>
        <w:rPr>
          <w:color w:val="000000" w:themeColor="text1"/>
          <w:shd w:val="clear" w:color="auto" w:fill="FFFFFF"/>
        </w:rPr>
        <w:t>. Springer International Publishing AG, 2017.</w:t>
      </w:r>
    </w:p>
    <w:p w14:paraId="3023DDE3" w14:textId="77777777" w:rsidR="005B5546" w:rsidRDefault="005B5546">
      <w:pPr>
        <w:pStyle w:val="references"/>
        <w:rPr>
          <w:color w:val="000000" w:themeColor="text1"/>
        </w:rPr>
        <w:sectPr w:rsidR="005B5546">
          <w:type w:val="continuous"/>
          <w:pgSz w:w="12240" w:h="15840"/>
          <w:pgMar w:top="1080" w:right="893" w:bottom="1440" w:left="893" w:header="720" w:footer="720" w:gutter="0"/>
          <w:cols w:num="2" w:space="360"/>
          <w:rtlGutter/>
          <w:docGrid w:linePitch="360"/>
        </w:sectPr>
      </w:pPr>
    </w:p>
    <w:p w14:paraId="6B042880" w14:textId="77777777" w:rsidR="005B5546" w:rsidRDefault="005B5546"/>
    <w:sectPr w:rsidR="005B5546">
      <w:type w:val="continuous"/>
      <w:pgSz w:w="12240" w:h="15840"/>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PFDINTextPro">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MS PMincho">
    <w:panose1 w:val="02020600040205080304"/>
    <w:charset w:val="80"/>
    <w:family w:val="roman"/>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27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5"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zEzMjIxNbY0tDRU0lEKTi0uzszPAykwrAUA92uCCiwAAAA="/>
  </w:docVars>
  <w:rsids>
    <w:rsidRoot w:val="009303D9"/>
    <w:rsid w:val="000107D4"/>
    <w:rsid w:val="00096E8A"/>
    <w:rsid w:val="000A51E2"/>
    <w:rsid w:val="000A7DB7"/>
    <w:rsid w:val="000D2949"/>
    <w:rsid w:val="000E4ED5"/>
    <w:rsid w:val="000F7258"/>
    <w:rsid w:val="00133342"/>
    <w:rsid w:val="001F51B3"/>
    <w:rsid w:val="002254A9"/>
    <w:rsid w:val="002904AB"/>
    <w:rsid w:val="0029519F"/>
    <w:rsid w:val="002C3328"/>
    <w:rsid w:val="002D5337"/>
    <w:rsid w:val="002F1CBB"/>
    <w:rsid w:val="00322C42"/>
    <w:rsid w:val="00335262"/>
    <w:rsid w:val="003476E0"/>
    <w:rsid w:val="00372627"/>
    <w:rsid w:val="00391387"/>
    <w:rsid w:val="003D2E0A"/>
    <w:rsid w:val="0043059B"/>
    <w:rsid w:val="00431885"/>
    <w:rsid w:val="0044080A"/>
    <w:rsid w:val="004B6CEE"/>
    <w:rsid w:val="0051252C"/>
    <w:rsid w:val="0056269A"/>
    <w:rsid w:val="005754B9"/>
    <w:rsid w:val="00576023"/>
    <w:rsid w:val="005B520E"/>
    <w:rsid w:val="005B5546"/>
    <w:rsid w:val="006167FC"/>
    <w:rsid w:val="006B3687"/>
    <w:rsid w:val="006B385C"/>
    <w:rsid w:val="006B4EF8"/>
    <w:rsid w:val="006C3665"/>
    <w:rsid w:val="00700653"/>
    <w:rsid w:val="007924A5"/>
    <w:rsid w:val="007C2FF2"/>
    <w:rsid w:val="00811B8A"/>
    <w:rsid w:val="00812B40"/>
    <w:rsid w:val="008255BA"/>
    <w:rsid w:val="0083294E"/>
    <w:rsid w:val="0085510C"/>
    <w:rsid w:val="00882FD9"/>
    <w:rsid w:val="009303D9"/>
    <w:rsid w:val="009358FF"/>
    <w:rsid w:val="00974B5D"/>
    <w:rsid w:val="009A52D7"/>
    <w:rsid w:val="009C2ADB"/>
    <w:rsid w:val="00A71724"/>
    <w:rsid w:val="00AF2FCC"/>
    <w:rsid w:val="00B11A60"/>
    <w:rsid w:val="00B25862"/>
    <w:rsid w:val="00B42DB1"/>
    <w:rsid w:val="00B453A9"/>
    <w:rsid w:val="00C36828"/>
    <w:rsid w:val="00C84592"/>
    <w:rsid w:val="00C84996"/>
    <w:rsid w:val="00C916FC"/>
    <w:rsid w:val="00CB796D"/>
    <w:rsid w:val="00D47EC6"/>
    <w:rsid w:val="00D73BC8"/>
    <w:rsid w:val="00E40E9C"/>
    <w:rsid w:val="00E44605"/>
    <w:rsid w:val="00E66816"/>
    <w:rsid w:val="00E80FAD"/>
    <w:rsid w:val="00EA01E1"/>
    <w:rsid w:val="00F52570"/>
    <w:rsid w:val="00F62FCE"/>
    <w:rsid w:val="00F650D9"/>
    <w:rsid w:val="00F806DE"/>
    <w:rsid w:val="00FA7A6B"/>
    <w:rsid w:val="04FD289D"/>
    <w:rsid w:val="05B82C62"/>
    <w:rsid w:val="09380C4B"/>
    <w:rsid w:val="0FDA3032"/>
    <w:rsid w:val="147153AD"/>
    <w:rsid w:val="1B5A0BF9"/>
    <w:rsid w:val="1C5E74F1"/>
    <w:rsid w:val="1EA33C7A"/>
    <w:rsid w:val="242C75D4"/>
    <w:rsid w:val="2518466A"/>
    <w:rsid w:val="26FB326B"/>
    <w:rsid w:val="2C4D6471"/>
    <w:rsid w:val="32C91CA4"/>
    <w:rsid w:val="39F369BA"/>
    <w:rsid w:val="43AA64A3"/>
    <w:rsid w:val="46E64018"/>
    <w:rsid w:val="4FFF5390"/>
    <w:rsid w:val="59876FE7"/>
    <w:rsid w:val="5C907D3D"/>
    <w:rsid w:val="620A7FF6"/>
    <w:rsid w:val="630353F9"/>
    <w:rsid w:val="66A25C13"/>
    <w:rsid w:val="6AD3030E"/>
    <w:rsid w:val="71BC342A"/>
    <w:rsid w:val="78140176"/>
    <w:rsid w:val="78F17B7F"/>
    <w:rsid w:val="79A82BB7"/>
    <w:rsid w:val="7CA06945"/>
    <w:rsid w:val="7E70019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4661B"/>
  <w15:docId w15:val="{28F555AC-6A1C-4F4B-BF42-496F9F6C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annotation reference" w:qFormat="1"/>
    <w:lsdException w:name="Title" w:uiPriority="10" w:qFormat="1"/>
    <w:lsdException w:name="Default Paragraph Font" w:semiHidden="1" w:uiPriority="1" w:unhideWhenUsed="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lang w:val="en-CA"/>
    </w:rPr>
  </w:style>
  <w:style w:type="paragraph" w:styleId="Heading1">
    <w:name w:val="heading 1"/>
    <w:basedOn w:val="Normal"/>
    <w:next w:val="Normal"/>
    <w:qFormat/>
    <w:pPr>
      <w:keepNext/>
      <w:keepLines/>
      <w:numPr>
        <w:numId w:val="1"/>
      </w:numPr>
      <w:tabs>
        <w:tab w:val="left" w:pos="216"/>
      </w:tabs>
      <w:spacing w:before="160" w:after="80"/>
      <w:outlineLvl w:val="0"/>
    </w:pPr>
    <w:rPr>
      <w:smallCaps/>
    </w:rPr>
  </w:style>
  <w:style w:type="paragraph" w:styleId="Heading2">
    <w:name w:val="heading 2"/>
    <w:basedOn w:val="Normal"/>
    <w:next w:val="Normal"/>
    <w:qFormat/>
    <w:pPr>
      <w:keepNext/>
      <w:keepLines/>
      <w:numPr>
        <w:ilvl w:val="1"/>
        <w:numId w:val="1"/>
      </w:numPr>
      <w:spacing w:before="120" w:after="60"/>
      <w:outlineLvl w:val="1"/>
    </w:pPr>
    <w:rPr>
      <w:i/>
      <w:iCs/>
    </w:rPr>
  </w:style>
  <w:style w:type="paragraph" w:styleId="Heading3">
    <w:name w:val="heading 3"/>
    <w:basedOn w:val="Normal"/>
    <w:next w:val="Normal"/>
    <w:qFormat/>
    <w:pPr>
      <w:numPr>
        <w:ilvl w:val="2"/>
        <w:numId w:val="1"/>
      </w:numPr>
      <w:spacing w:line="240" w:lineRule="exact"/>
      <w:jc w:val="both"/>
      <w:outlineLvl w:val="2"/>
    </w:pPr>
    <w:rPr>
      <w:i/>
      <w:iCs/>
    </w:rPr>
  </w:style>
  <w:style w:type="paragraph" w:styleId="Heading4">
    <w:name w:val="heading 4"/>
    <w:basedOn w:val="Normal"/>
    <w:next w:val="Normal"/>
    <w:qFormat/>
    <w:pPr>
      <w:numPr>
        <w:ilvl w:val="3"/>
        <w:numId w:val="1"/>
      </w:numPr>
      <w:tabs>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tyle>
  <w:style w:type="paragraph" w:styleId="BodyText">
    <w:name w:val="Body Text"/>
    <w:basedOn w:val="Normal"/>
    <w:qFormat/>
    <w:pPr>
      <w:spacing w:after="120" w:line="228" w:lineRule="auto"/>
      <w:ind w:firstLine="288"/>
      <w:jc w:val="both"/>
    </w:pPr>
    <w:rPr>
      <w:spacing w:val="-1"/>
    </w:rPr>
  </w:style>
  <w:style w:type="paragraph" w:styleId="BalloonText">
    <w:name w:val="Balloon Text"/>
    <w:basedOn w:val="Normal"/>
    <w:link w:val="BalloonTextChar"/>
    <w:rPr>
      <w:sz w:val="18"/>
      <w:szCs w:val="18"/>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pPr>
    <w:rPr>
      <w:sz w:val="18"/>
      <w:szCs w:val="18"/>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itle">
    <w:name w:val="Title"/>
    <w:basedOn w:val="Normal"/>
    <w:next w:val="Normal"/>
    <w:link w:val="TitleChar"/>
    <w:uiPriority w:val="10"/>
    <w:qFormat/>
    <w:pPr>
      <w:contextualSpacing/>
    </w:pPr>
    <w:rPr>
      <w:rFonts w:ascii="Calibri Light" w:eastAsia="DengXian Light" w:hAnsi="Calibri Light"/>
      <w:spacing w:val="-10"/>
      <w:kern w:val="28"/>
      <w:sz w:val="56"/>
      <w:szCs w:val="56"/>
    </w:rPr>
  </w:style>
  <w:style w:type="paragraph" w:styleId="CommentSubject">
    <w:name w:val="annotation subject"/>
    <w:basedOn w:val="CommentText"/>
    <w:next w:val="CommentText"/>
    <w:link w:val="CommentSubjectChar"/>
    <w:rPr>
      <w:b/>
      <w:bCs/>
    </w:rPr>
  </w:style>
  <w:style w:type="table" w:styleId="TableGrid">
    <w:name w:val="Table Grid"/>
    <w:basedOn w:val="TableNormal"/>
    <w:uiPriority w:val="39"/>
    <w:qFormat/>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qFormat/>
    <w:rPr>
      <w:sz w:val="21"/>
      <w:szCs w:val="21"/>
    </w:rPr>
  </w:style>
  <w:style w:type="paragraph" w:customStyle="1" w:styleId="Abstract">
    <w:name w:val="Abstract"/>
    <w:qFormat/>
    <w:pPr>
      <w:spacing w:after="200"/>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qFormat/>
    <w:pPr>
      <w:spacing w:before="360" w:after="40"/>
      <w:jc w:val="center"/>
    </w:pPr>
    <w:rPr>
      <w:sz w:val="22"/>
      <w:szCs w:val="22"/>
      <w:lang w:eastAsia="en-US"/>
    </w:rPr>
  </w:style>
  <w:style w:type="paragraph" w:customStyle="1" w:styleId="bulletlist">
    <w:name w:val="bullet list"/>
    <w:basedOn w:val="BodyText"/>
    <w:pPr>
      <w:numPr>
        <w:numId w:val="2"/>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spacing w:before="80" w:after="200"/>
      <w:jc w:val="center"/>
    </w:pPr>
    <w:rPr>
      <w:sz w:val="16"/>
      <w:szCs w:val="16"/>
      <w:lang w:eastAsia="en-US"/>
    </w:rPr>
  </w:style>
  <w:style w:type="paragraph" w:customStyle="1" w:styleId="footnote">
    <w:name w:val="footnote"/>
    <w:pPr>
      <w:framePr w:hSpace="187" w:vSpace="187" w:wrap="notBeside" w:vAnchor="text" w:hAnchor="page" w:x="6121" w:y="577"/>
      <w:numPr>
        <w:numId w:val="4"/>
      </w:numPr>
      <w:spacing w:after="40"/>
    </w:pPr>
    <w:rPr>
      <w:sz w:val="16"/>
      <w:szCs w:val="16"/>
      <w:lang w:eastAsia="en-US"/>
    </w:rPr>
  </w:style>
  <w:style w:type="paragraph" w:customStyle="1" w:styleId="keywords">
    <w:name w:val="key words"/>
    <w:pPr>
      <w:spacing w:after="120"/>
      <w:ind w:firstLine="288"/>
      <w:jc w:val="both"/>
    </w:pPr>
    <w:rPr>
      <w:b/>
      <w:bCs/>
      <w:i/>
      <w:iCs/>
      <w:sz w:val="18"/>
      <w:szCs w:val="18"/>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spacing w:before="60" w:after="30"/>
      <w:jc w:val="right"/>
    </w:pPr>
    <w:rPr>
      <w:sz w:val="12"/>
      <w:szCs w:val="12"/>
      <w:lang w:eastAsia="en-US"/>
    </w:rPr>
  </w:style>
  <w:style w:type="paragraph" w:customStyle="1" w:styleId="tablehead">
    <w:name w:val="table head"/>
    <w:qFormat/>
    <w:pPr>
      <w:numPr>
        <w:numId w:val="6"/>
      </w:numPr>
      <w:spacing w:before="240" w:after="120" w:line="216" w:lineRule="auto"/>
      <w:jc w:val="center"/>
    </w:pPr>
    <w:rPr>
      <w:smallCaps/>
      <w:sz w:val="16"/>
      <w:szCs w:val="16"/>
      <w:lang w:eastAsia="en-US"/>
    </w:rPr>
  </w:style>
  <w:style w:type="character" w:customStyle="1" w:styleId="HeaderChar">
    <w:name w:val="Header Char"/>
    <w:link w:val="Header"/>
    <w:qFormat/>
    <w:rPr>
      <w:sz w:val="18"/>
      <w:szCs w:val="18"/>
      <w:lang w:eastAsia="en-US"/>
    </w:rPr>
  </w:style>
  <w:style w:type="character" w:customStyle="1" w:styleId="FooterChar">
    <w:name w:val="Footer Char"/>
    <w:link w:val="Footer"/>
    <w:uiPriority w:val="99"/>
    <w:qFormat/>
    <w:rPr>
      <w:sz w:val="18"/>
      <w:szCs w:val="18"/>
      <w:lang w:eastAsia="en-US"/>
    </w:rPr>
  </w:style>
  <w:style w:type="character" w:customStyle="1" w:styleId="TitleChar">
    <w:name w:val="Title Char"/>
    <w:basedOn w:val="DefaultParagraphFont"/>
    <w:link w:val="Title"/>
    <w:uiPriority w:val="10"/>
    <w:qFormat/>
    <w:rPr>
      <w:rFonts w:ascii="Calibri Light" w:eastAsia="DengXian Light" w:hAnsi="Calibri Light"/>
      <w:spacing w:val="-10"/>
      <w:kern w:val="28"/>
      <w:sz w:val="56"/>
      <w:szCs w:val="56"/>
    </w:rPr>
  </w:style>
  <w:style w:type="character" w:styleId="PlaceholderText">
    <w:name w:val="Placeholder Text"/>
    <w:basedOn w:val="DefaultParagraphFont"/>
    <w:uiPriority w:val="99"/>
    <w:semiHidden/>
    <w:qFormat/>
    <w:rPr>
      <w:color w:val="80808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BalloonTextChar">
    <w:name w:val="Balloon Text Char"/>
    <w:basedOn w:val="DefaultParagraphFont"/>
    <w:link w:val="BalloonText"/>
    <w:qFormat/>
    <w:rPr>
      <w:rFonts w:eastAsia="Times New Roman"/>
      <w:sz w:val="18"/>
      <w:szCs w:val="18"/>
    </w:rPr>
  </w:style>
  <w:style w:type="character" w:customStyle="1" w:styleId="CommentTextChar">
    <w:name w:val="Comment Text Char"/>
    <w:basedOn w:val="DefaultParagraphFont"/>
    <w:link w:val="CommentText"/>
    <w:qFormat/>
    <w:rPr>
      <w:rFonts w:eastAsia="Times New Roman"/>
      <w:sz w:val="24"/>
      <w:szCs w:val="24"/>
    </w:rPr>
  </w:style>
  <w:style w:type="character" w:customStyle="1" w:styleId="CommentSubjectChar">
    <w:name w:val="Comment Subject Char"/>
    <w:basedOn w:val="CommentTextChar"/>
    <w:link w:val="CommentSubject"/>
    <w:qFormat/>
    <w:rPr>
      <w:rFonts w:eastAsia="Times New Roman"/>
      <w:b/>
      <w:bCs/>
      <w:sz w:val="24"/>
      <w:szCs w:val="24"/>
    </w:rPr>
  </w:style>
  <w:style w:type="paragraph" w:styleId="Revision">
    <w:name w:val="Revision"/>
    <w:hidden/>
    <w:uiPriority w:val="99"/>
    <w:semiHidden/>
    <w:rsid w:val="004B6CEE"/>
    <w:rPr>
      <w:rFonts w:eastAsia="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D68AF7-F0B3-4DEE-814E-224A2B80B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2430</Words>
  <Characters>13854</Characters>
  <Application>Microsoft Office Word</Application>
  <DocSecurity>0</DocSecurity>
  <Lines>115</Lines>
  <Paragraphs>32</Paragraphs>
  <ScaleCrop>false</ScaleCrop>
  <Company>IEEE</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Leyao Lin</cp:lastModifiedBy>
  <cp:revision>2</cp:revision>
  <dcterms:created xsi:type="dcterms:W3CDTF">2021-09-20T05:06:00Z</dcterms:created>
  <dcterms:modified xsi:type="dcterms:W3CDTF">2021-09-20T05:06:00Z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6F6B2D82CE314821AE6AF743C5BB24E1</vt:lpwstr>
  </property>
</Properties>
</file>