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pPr>
      <w:r>
        <w:rPr>
          <w:rFonts w:ascii="Times New Roman" w:cs="Times New Roman" w:eastAsia="Times New Roman" w:hAnsi="Times New Roman"/>
          <w:b/>
          <w:bCs/>
          <w:sz w:val="28"/>
          <w:szCs w:val="28"/>
        </w:rPr>
        <w:t xml:space="preserve">4.3.9. Duygu Filtresinin Öneri Sistemi Performansına Etkisi: Kontrollü Ek Analiz</w:t>
      </w:r>
    </w:p>
    <w:p>
      <w:pPr>
        <w:spacing w:after="200" w:line="360"/>
        <w:jc w:val="both"/>
      </w:pPr>
      <w:r>
        <w:rPr>
          <w:rFonts w:ascii="Times New Roman" w:cs="Times New Roman" w:eastAsia="Times New Roman" w:hAnsi="Times New Roman"/>
          <w:sz w:val="24"/>
          <w:szCs w:val="24"/>
        </w:rPr>
        <w:t xml:space="preserve">Bölüm 4.2.2 ve 4.3.6'da sunulan öneri sistemi bulguları, içerik tabanlı, işbirlikçi ve hibrit yöntemlerin yalnızca duygu filtresi uygulanmış (Sentiment = 1) etkileşimler üzerinde karşılaştırılmasına dayanmaktadır. Ancak bu değerlendirme, duygu bilgisinin öneri sürecine entegre edilmesinin somut katkısını izole bir biçimde ortaya koyan bir karşılaştırma içermemektedir. Bu bölümde, tezin temel araştırma sorusunu (duygu analizi ile öneri sistemlerinin bütünleştirilmesinin öneri performansına etkisi nedir) doğrudan test etmek amacıyla, aynı algoritmalar ve aynı değerlendirme metodolojisi kullanılarak kontrollü bir ek analiz gerçekleştirilmiştir.</w:t>
      </w:r>
    </w:p>
    <w:p>
      <w:pPr>
        <w:spacing w:after="200" w:before="300"/>
      </w:pPr>
      <w:r>
        <w:rPr>
          <w:rFonts w:ascii="Times New Roman" w:cs="Times New Roman" w:eastAsia="Times New Roman" w:hAnsi="Times New Roman"/>
          <w:b/>
          <w:bCs/>
          <w:sz w:val="24"/>
          <w:szCs w:val="24"/>
        </w:rPr>
        <w:t xml:space="preserve">4.3.9.1. Yöntem</w:t>
      </w:r>
    </w:p>
    <w:p>
      <w:pPr>
        <w:spacing w:after="200" w:line="360"/>
        <w:jc w:val="both"/>
      </w:pPr>
      <w:r>
        <w:rPr>
          <w:rFonts w:ascii="Times New Roman" w:cs="Times New Roman" w:eastAsia="Times New Roman" w:hAnsi="Times New Roman"/>
          <w:sz w:val="24"/>
          <w:szCs w:val="24"/>
        </w:rPr>
        <w:t xml:space="preserve">Bölüm 3.4.3'te tanımlanan içerik tabanlı, işbirlikçi ve hibrit öneri algoritmaları değiştirilmeden, iki farklı koşulda çalıştırılmıştır. Birinci koşulda (duygu filtresi VAR), kullanıcı profili ve kullanıcı-öğe etkileşim matrisi yalnızca pozitif duygulu etkileşimlerden (Sentiment = 1) kurulmuştur; bu, tezin ana metninde uygulanan yaklaşımla birebir aynıdır. İkinci koşulda (duygu filtresi YOK), aynı kullanıcıların tüm etkileşimleri (olumlu ve olumsuz karışık biçimde) kullanılmış, model duygu bilgisinden habersiz bırakılmıştır. Her iki koşulda da başarı ölçütü sabit tutulmuştur: kullanıcının gerçekten olumlu değerlendirdiği (Sentiment = 1), eğitim setinden ayrılmış (held-out) ürünlerin Precision@5 ve Recall@5 ile ne ölçüde yakalandığı. Kıyasın adil olabilmesi için, değerlendirmede kullanılan kullanıcı kümesi ile işbirlikçi filtreleme matrisine dâhil edilen kullanıcı kümesi, iki koşulda da birebir aynı tutulmuştur; tek değişken, bu kullanıcıların etkileşim verisine duygu filtresinin uygulanıp uygulanmadığıdır.</w:t>
      </w:r>
    </w:p>
    <w:p>
      <w:pPr>
        <w:spacing w:after="200" w:before="300"/>
      </w:pPr>
      <w:r>
        <w:rPr>
          <w:rFonts w:ascii="Times New Roman" w:cs="Times New Roman" w:eastAsia="Times New Roman" w:hAnsi="Times New Roman"/>
          <w:b/>
          <w:bCs/>
          <w:sz w:val="24"/>
          <w:szCs w:val="24"/>
        </w:rPr>
        <w:t xml:space="preserve">4.3.9.2. Veri Seti</w:t>
      </w:r>
    </w:p>
    <w:p>
      <w:pPr>
        <w:spacing w:after="200" w:line="360"/>
        <w:jc w:val="both"/>
      </w:pPr>
      <w:r>
        <w:rPr>
          <w:rFonts w:ascii="Times New Roman" w:cs="Times New Roman" w:eastAsia="Times New Roman" w:hAnsi="Times New Roman"/>
          <w:sz w:val="24"/>
          <w:szCs w:val="24"/>
        </w:rPr>
        <w:t xml:space="preserve">Bu ek analizde, orijinal Amazon yorum veri setinden (568.454 satır) rastgele örneklenen 80.000 satırlık bir alt küme kullanılmıştır. Score = 3 olan yorumların çıkarılmasının ardından 74.031 satırlık bir çalışma kümesi elde edilmiş, bu küme üzerinden 300 kullanıcı değerlendirmeye dâhil edilmiştir. Bu 300 kullanıcıdan yalnızca 21 tanesinin (%7) en az bir olumsuz etkileşimi bulunmaktadır; dolayısıyla iki koşul arasındaki fark, büyük ölçüde bu 21 kullanıcının davranışından kaynaklanmaktadır. Bu durum, Bölüm 5.2'de belirtilen veri seyrekliği sınırlılığının doğrudan bir yansımasıdır.</w:t>
      </w:r>
    </w:p>
    <w:p>
      <w:pPr>
        <w:spacing w:after="200" w:before="300"/>
      </w:pPr>
      <w:r>
        <w:rPr>
          <w:rFonts w:ascii="Times New Roman" w:cs="Times New Roman" w:eastAsia="Times New Roman" w:hAnsi="Times New Roman"/>
          <w:b/>
          <w:bCs/>
          <w:sz w:val="24"/>
          <w:szCs w:val="24"/>
        </w:rPr>
        <w:t xml:space="preserve">4.3.9.3. Bulgular</w:t>
      </w:r>
    </w:p>
    <w:p>
      <w:pPr>
        <w:spacing w:after="200" w:line="360"/>
        <w:jc w:val="both"/>
      </w:pPr>
      <w:r>
        <w:rPr>
          <w:rFonts w:ascii="Times New Roman" w:cs="Times New Roman" w:eastAsia="Times New Roman" w:hAnsi="Times New Roman"/>
          <w:sz w:val="24"/>
          <w:szCs w:val="24"/>
        </w:rPr>
        <w:t xml:space="preserve">Tablo 4.9'da, duygu filtresi uygulanan ve uygulanmayan koşullar altında elde edilen Precision@5 ve Recall@5 değerleri ile aralarındaki göreli fark sunulmaktadır.</w:t>
      </w:r>
    </w:p>
    <w:p>
      <w:pPr>
        <w:spacing w:after="100" w:before="100"/>
      </w:pPr>
      <w:r>
        <w:rPr>
          <w:rFonts w:ascii="Times New Roman" w:cs="Times New Roman" w:eastAsia="Times New Roman" w:hAnsi="Times New Roman"/>
          <w:b/>
          <w:bCs/>
          <w:sz w:val="22"/>
          <w:szCs w:val="22"/>
        </w:rPr>
        <w:t xml:space="preserve">Tablo 4.9. Duygu filtresi VAR/YOK koşullarında öneri sistemi performans karşılaştırması</w:t>
      </w:r>
    </w:p>
    <w:tbl>
      <w:tblPr>
        <w:tblW w:type="dxa" w:w="8800"/>
        <w:tblBorders>
          <w:top w:val="single" w:color="000000" w:sz="4"/>
          <w:left w:val="single" w:color="000000" w:sz="4"/>
          <w:bottom w:val="single" w:color="000000" w:sz="4"/>
          <w:right w:val="single" w:color="000000" w:sz="4"/>
          <w:insideH w:val="single" w:color="999999" w:sz="2"/>
          <w:insideV w:val="single" w:color="999999" w:sz="2"/>
        </w:tblBorders>
      </w:tblPr>
      <w:tblGrid>
        <w:gridCol w:w="1800"/>
        <w:gridCol w:w="1300"/>
        <w:gridCol w:w="1300"/>
        <w:gridCol w:w="900"/>
        <w:gridCol w:w="1300"/>
        <w:gridCol w:w="1300"/>
        <w:gridCol w:w="900"/>
      </w:tblGrid>
      <w:tr>
        <w:trPr>
          <w:tblHeader/>
        </w:trPr>
        <w:tc>
          <w:tcPr>
            <w:tcW w:type="dxa" w:w="1800"/>
            <w:shd w:fill="D9D9D9" w:val="clear"/>
            <w:vAlign w:val="center"/>
          </w:tcPr>
          <w:p>
            <w:pPr>
              <w:jc w:val="center"/>
            </w:pPr>
            <w:r>
              <w:rPr>
                <w:rFonts w:ascii="Times New Roman" w:cs="Times New Roman" w:eastAsia="Times New Roman" w:hAnsi="Times New Roman"/>
                <w:b/>
                <w:bCs/>
                <w:sz w:val="20"/>
                <w:szCs w:val="20"/>
              </w:rPr>
              <w:t xml:space="preserve">Yöntem</w:t>
            </w:r>
          </w:p>
        </w:tc>
        <w:tc>
          <w:tcPr>
            <w:tcW w:type="dxa" w:w="1300"/>
            <w:shd w:fill="D9D9D9" w:val="clear"/>
            <w:vAlign w:val="center"/>
          </w:tcPr>
          <w:p>
            <w:pPr>
              <w:jc w:val="center"/>
            </w:pPr>
            <w:r>
              <w:rPr>
                <w:rFonts w:ascii="Times New Roman" w:cs="Times New Roman" w:eastAsia="Times New Roman" w:hAnsi="Times New Roman"/>
                <w:b/>
                <w:bCs/>
                <w:sz w:val="20"/>
                <w:szCs w:val="20"/>
              </w:rPr>
              <w:t xml:space="preserve">Precision@5
(duygu VAR)</w:t>
            </w:r>
          </w:p>
        </w:tc>
        <w:tc>
          <w:tcPr>
            <w:tcW w:type="dxa" w:w="1300"/>
            <w:shd w:fill="D9D9D9" w:val="clear"/>
            <w:vAlign w:val="center"/>
          </w:tcPr>
          <w:p>
            <w:pPr>
              <w:jc w:val="center"/>
            </w:pPr>
            <w:r>
              <w:rPr>
                <w:rFonts w:ascii="Times New Roman" w:cs="Times New Roman" w:eastAsia="Times New Roman" w:hAnsi="Times New Roman"/>
                <w:b/>
                <w:bCs/>
                <w:sz w:val="20"/>
                <w:szCs w:val="20"/>
              </w:rPr>
              <w:t xml:space="preserve">Precision@5
(duygu YOK)</w:t>
            </w:r>
          </w:p>
        </w:tc>
        <w:tc>
          <w:tcPr>
            <w:tcW w:type="dxa" w:w="900"/>
            <w:shd w:fill="D9D9D9" w:val="clear"/>
            <w:vAlign w:val="center"/>
          </w:tcPr>
          <w:p>
            <w:pPr>
              <w:jc w:val="center"/>
            </w:pPr>
            <w:r>
              <w:rPr>
                <w:rFonts w:ascii="Times New Roman" w:cs="Times New Roman" w:eastAsia="Times New Roman" w:hAnsi="Times New Roman"/>
                <w:b/>
                <w:bCs/>
                <w:sz w:val="20"/>
                <w:szCs w:val="20"/>
              </w:rPr>
              <w:t xml:space="preserve">Fark</w:t>
            </w:r>
          </w:p>
        </w:tc>
        <w:tc>
          <w:tcPr>
            <w:tcW w:type="dxa" w:w="1300"/>
            <w:shd w:fill="D9D9D9" w:val="clear"/>
            <w:vAlign w:val="center"/>
          </w:tcPr>
          <w:p>
            <w:pPr>
              <w:jc w:val="center"/>
            </w:pPr>
            <w:r>
              <w:rPr>
                <w:rFonts w:ascii="Times New Roman" w:cs="Times New Roman" w:eastAsia="Times New Roman" w:hAnsi="Times New Roman"/>
                <w:b/>
                <w:bCs/>
                <w:sz w:val="20"/>
                <w:szCs w:val="20"/>
              </w:rPr>
              <w:t xml:space="preserve">Recall@5
(duygu VAR)</w:t>
            </w:r>
          </w:p>
        </w:tc>
        <w:tc>
          <w:tcPr>
            <w:tcW w:type="dxa" w:w="1300"/>
            <w:shd w:fill="D9D9D9" w:val="clear"/>
            <w:vAlign w:val="center"/>
          </w:tcPr>
          <w:p>
            <w:pPr>
              <w:jc w:val="center"/>
            </w:pPr>
            <w:r>
              <w:rPr>
                <w:rFonts w:ascii="Times New Roman" w:cs="Times New Roman" w:eastAsia="Times New Roman" w:hAnsi="Times New Roman"/>
                <w:b/>
                <w:bCs/>
                <w:sz w:val="20"/>
                <w:szCs w:val="20"/>
              </w:rPr>
              <w:t xml:space="preserve">Recall@5
(duygu YOK)</w:t>
            </w:r>
          </w:p>
        </w:tc>
        <w:tc>
          <w:tcPr>
            <w:tcW w:type="dxa" w:w="900"/>
            <w:shd w:fill="D9D9D9" w:val="clear"/>
            <w:vAlign w:val="center"/>
          </w:tcPr>
          <w:p>
            <w:pPr>
              <w:jc w:val="center"/>
            </w:pPr>
            <w:r>
              <w:rPr>
                <w:rFonts w:ascii="Times New Roman" w:cs="Times New Roman" w:eastAsia="Times New Roman" w:hAnsi="Times New Roman"/>
                <w:b/>
                <w:bCs/>
                <w:sz w:val="20"/>
                <w:szCs w:val="20"/>
              </w:rPr>
              <w:t xml:space="preserve">Fark</w:t>
            </w:r>
          </w:p>
        </w:tc>
      </w:tr>
      <w:tr>
        <w:tc>
          <w:tcPr>
            <w:tcW w:type="dxa" w:w="1800"/>
            <w:vAlign w:val="center"/>
          </w:tcPr>
          <w:p>
            <w:pPr>
              <w:jc w:val="center"/>
            </w:pPr>
            <w:r>
              <w:rPr>
                <w:rFonts w:ascii="Times New Roman" w:cs="Times New Roman" w:eastAsia="Times New Roman" w:hAnsi="Times New Roman"/>
                <w:b/>
                <w:bCs/>
                <w:sz w:val="20"/>
                <w:szCs w:val="20"/>
              </w:rPr>
              <w:t xml:space="preserve">İçerik Tabanlı</w:t>
            </w:r>
          </w:p>
        </w:tc>
        <w:tc>
          <w:tcPr>
            <w:tcW w:type="dxa" w:w="1300"/>
            <w:vAlign w:val="center"/>
          </w:tcPr>
          <w:p>
            <w:pPr>
              <w:jc w:val="center"/>
            </w:pPr>
            <w:r>
              <w:rPr>
                <w:rFonts w:ascii="Times New Roman" w:cs="Times New Roman" w:eastAsia="Times New Roman" w:hAnsi="Times New Roman"/>
                <w:sz w:val="20"/>
                <w:szCs w:val="20"/>
              </w:rPr>
              <w:t xml:space="preserve">0.0193</w:t>
            </w:r>
          </w:p>
        </w:tc>
        <w:tc>
          <w:tcPr>
            <w:tcW w:type="dxa" w:w="1300"/>
            <w:vAlign w:val="center"/>
          </w:tcPr>
          <w:p>
            <w:pPr>
              <w:jc w:val="center"/>
            </w:pPr>
            <w:r>
              <w:rPr>
                <w:rFonts w:ascii="Times New Roman" w:cs="Times New Roman" w:eastAsia="Times New Roman" w:hAnsi="Times New Roman"/>
                <w:sz w:val="20"/>
                <w:szCs w:val="20"/>
              </w:rPr>
              <w:t xml:space="preserve">0.0180</w:t>
            </w:r>
          </w:p>
        </w:tc>
        <w:tc>
          <w:tcPr>
            <w:tcW w:type="dxa" w:w="900"/>
            <w:vAlign w:val="center"/>
          </w:tcPr>
          <w:p>
            <w:pPr>
              <w:jc w:val="center"/>
            </w:pPr>
            <w:r>
              <w:rPr>
                <w:rFonts w:ascii="Times New Roman" w:cs="Times New Roman" w:eastAsia="Times New Roman" w:hAnsi="Times New Roman"/>
                <w:sz w:val="20"/>
                <w:szCs w:val="20"/>
              </w:rPr>
              <w:t xml:space="preserve">+%7,4</w:t>
            </w:r>
          </w:p>
        </w:tc>
        <w:tc>
          <w:tcPr>
            <w:tcW w:type="dxa" w:w="1300"/>
            <w:vAlign w:val="center"/>
          </w:tcPr>
          <w:p>
            <w:pPr>
              <w:jc w:val="center"/>
            </w:pPr>
            <w:r>
              <w:rPr>
                <w:rFonts w:ascii="Times New Roman" w:cs="Times New Roman" w:eastAsia="Times New Roman" w:hAnsi="Times New Roman"/>
                <w:sz w:val="20"/>
                <w:szCs w:val="20"/>
              </w:rPr>
              <w:t xml:space="preserve">0.0967</w:t>
            </w:r>
          </w:p>
        </w:tc>
        <w:tc>
          <w:tcPr>
            <w:tcW w:type="dxa" w:w="1300"/>
            <w:vAlign w:val="center"/>
          </w:tcPr>
          <w:p>
            <w:pPr>
              <w:jc w:val="center"/>
            </w:pPr>
            <w:r>
              <w:rPr>
                <w:rFonts w:ascii="Times New Roman" w:cs="Times New Roman" w:eastAsia="Times New Roman" w:hAnsi="Times New Roman"/>
                <w:sz w:val="20"/>
                <w:szCs w:val="20"/>
              </w:rPr>
              <w:t xml:space="preserve">0.0900</w:t>
            </w:r>
          </w:p>
        </w:tc>
        <w:tc>
          <w:tcPr>
            <w:tcW w:type="dxa" w:w="900"/>
            <w:vAlign w:val="center"/>
          </w:tcPr>
          <w:p>
            <w:pPr>
              <w:jc w:val="center"/>
            </w:pPr>
            <w:r>
              <w:rPr>
                <w:rFonts w:ascii="Times New Roman" w:cs="Times New Roman" w:eastAsia="Times New Roman" w:hAnsi="Times New Roman"/>
                <w:sz w:val="20"/>
                <w:szCs w:val="20"/>
              </w:rPr>
              <w:t xml:space="preserve">+%7,4</w:t>
            </w:r>
          </w:p>
        </w:tc>
      </w:tr>
      <w:tr>
        <w:tc>
          <w:tcPr>
            <w:tcW w:type="dxa" w:w="1800"/>
            <w:vAlign w:val="center"/>
          </w:tcPr>
          <w:p>
            <w:pPr>
              <w:jc w:val="center"/>
            </w:pPr>
            <w:r>
              <w:rPr>
                <w:rFonts w:ascii="Times New Roman" w:cs="Times New Roman" w:eastAsia="Times New Roman" w:hAnsi="Times New Roman"/>
                <w:b/>
                <w:bCs/>
                <w:sz w:val="20"/>
                <w:szCs w:val="20"/>
              </w:rPr>
              <w:t xml:space="preserve">İşbirlikçi Filtreleme</w:t>
            </w:r>
          </w:p>
        </w:tc>
        <w:tc>
          <w:tcPr>
            <w:tcW w:type="dxa" w:w="1300"/>
            <w:vAlign w:val="center"/>
          </w:tcPr>
          <w:p>
            <w:pPr>
              <w:jc w:val="center"/>
            </w:pPr>
            <w:r>
              <w:rPr>
                <w:rFonts w:ascii="Times New Roman" w:cs="Times New Roman" w:eastAsia="Times New Roman" w:hAnsi="Times New Roman"/>
                <w:sz w:val="20"/>
                <w:szCs w:val="20"/>
              </w:rPr>
              <w:t xml:space="preserve">0.0127</w:t>
            </w:r>
          </w:p>
        </w:tc>
        <w:tc>
          <w:tcPr>
            <w:tcW w:type="dxa" w:w="1300"/>
            <w:vAlign w:val="center"/>
          </w:tcPr>
          <w:p>
            <w:pPr>
              <w:jc w:val="center"/>
            </w:pPr>
            <w:r>
              <w:rPr>
                <w:rFonts w:ascii="Times New Roman" w:cs="Times New Roman" w:eastAsia="Times New Roman" w:hAnsi="Times New Roman"/>
                <w:sz w:val="20"/>
                <w:szCs w:val="20"/>
              </w:rPr>
              <w:t xml:space="preserve">0.0133</w:t>
            </w:r>
          </w:p>
        </w:tc>
        <w:tc>
          <w:tcPr>
            <w:tcW w:type="dxa" w:w="900"/>
            <w:vAlign w:val="center"/>
          </w:tcPr>
          <w:p>
            <w:pPr>
              <w:jc w:val="center"/>
            </w:pPr>
            <w:r>
              <w:rPr>
                <w:rFonts w:ascii="Times New Roman" w:cs="Times New Roman" w:eastAsia="Times New Roman" w:hAnsi="Times New Roman"/>
                <w:sz w:val="20"/>
                <w:szCs w:val="20"/>
              </w:rPr>
              <w:t xml:space="preserve">−%5,0</w:t>
            </w:r>
          </w:p>
        </w:tc>
        <w:tc>
          <w:tcPr>
            <w:tcW w:type="dxa" w:w="1300"/>
            <w:vAlign w:val="center"/>
          </w:tcPr>
          <w:p>
            <w:pPr>
              <w:jc w:val="center"/>
            </w:pPr>
            <w:r>
              <w:rPr>
                <w:rFonts w:ascii="Times New Roman" w:cs="Times New Roman" w:eastAsia="Times New Roman" w:hAnsi="Times New Roman"/>
                <w:sz w:val="20"/>
                <w:szCs w:val="20"/>
              </w:rPr>
              <w:t xml:space="preserve">0.0633</w:t>
            </w:r>
          </w:p>
        </w:tc>
        <w:tc>
          <w:tcPr>
            <w:tcW w:type="dxa" w:w="1300"/>
            <w:vAlign w:val="center"/>
          </w:tcPr>
          <w:p>
            <w:pPr>
              <w:jc w:val="center"/>
            </w:pPr>
            <w:r>
              <w:rPr>
                <w:rFonts w:ascii="Times New Roman" w:cs="Times New Roman" w:eastAsia="Times New Roman" w:hAnsi="Times New Roman"/>
                <w:sz w:val="20"/>
                <w:szCs w:val="20"/>
              </w:rPr>
              <w:t xml:space="preserve">0.0667</w:t>
            </w:r>
          </w:p>
        </w:tc>
        <w:tc>
          <w:tcPr>
            <w:tcW w:type="dxa" w:w="900"/>
            <w:vAlign w:val="center"/>
          </w:tcPr>
          <w:p>
            <w:pPr>
              <w:jc w:val="center"/>
            </w:pPr>
            <w:r>
              <w:rPr>
                <w:rFonts w:ascii="Times New Roman" w:cs="Times New Roman" w:eastAsia="Times New Roman" w:hAnsi="Times New Roman"/>
                <w:sz w:val="20"/>
                <w:szCs w:val="20"/>
              </w:rPr>
              <w:t xml:space="preserve">−%5,0</w:t>
            </w:r>
          </w:p>
        </w:tc>
      </w:tr>
      <w:tr>
        <w:tc>
          <w:tcPr>
            <w:tcW w:type="dxa" w:w="1800"/>
            <w:vAlign w:val="center"/>
          </w:tcPr>
          <w:p>
            <w:pPr>
              <w:jc w:val="center"/>
            </w:pPr>
            <w:r>
              <w:rPr>
                <w:rFonts w:ascii="Times New Roman" w:cs="Times New Roman" w:eastAsia="Times New Roman" w:hAnsi="Times New Roman"/>
                <w:b/>
                <w:bCs/>
                <w:sz w:val="20"/>
                <w:szCs w:val="20"/>
              </w:rPr>
              <w:t xml:space="preserve">Hibrit (α = 0,9)</w:t>
            </w:r>
          </w:p>
        </w:tc>
        <w:tc>
          <w:tcPr>
            <w:tcW w:type="dxa" w:w="1300"/>
            <w:vAlign w:val="center"/>
          </w:tcPr>
          <w:p>
            <w:pPr>
              <w:jc w:val="center"/>
            </w:pPr>
            <w:r>
              <w:rPr>
                <w:rFonts w:ascii="Times New Roman" w:cs="Times New Roman" w:eastAsia="Times New Roman" w:hAnsi="Times New Roman"/>
                <w:sz w:val="20"/>
                <w:szCs w:val="20"/>
              </w:rPr>
              <w:t xml:space="preserve">0.0153</w:t>
            </w:r>
          </w:p>
        </w:tc>
        <w:tc>
          <w:tcPr>
            <w:tcW w:type="dxa" w:w="1300"/>
            <w:vAlign w:val="center"/>
          </w:tcPr>
          <w:p>
            <w:pPr>
              <w:jc w:val="center"/>
            </w:pPr>
            <w:r>
              <w:rPr>
                <w:rFonts w:ascii="Times New Roman" w:cs="Times New Roman" w:eastAsia="Times New Roman" w:hAnsi="Times New Roman"/>
                <w:sz w:val="20"/>
                <w:szCs w:val="20"/>
              </w:rPr>
              <w:t xml:space="preserve">0.0140</w:t>
            </w:r>
          </w:p>
        </w:tc>
        <w:tc>
          <w:tcPr>
            <w:tcW w:type="dxa" w:w="900"/>
            <w:vAlign w:val="center"/>
          </w:tcPr>
          <w:p>
            <w:pPr>
              <w:jc w:val="center"/>
            </w:pPr>
            <w:r>
              <w:rPr>
                <w:rFonts w:ascii="Times New Roman" w:cs="Times New Roman" w:eastAsia="Times New Roman" w:hAnsi="Times New Roman"/>
                <w:sz w:val="20"/>
                <w:szCs w:val="20"/>
              </w:rPr>
              <w:t xml:space="preserve">+%9,5</w:t>
            </w:r>
          </w:p>
        </w:tc>
        <w:tc>
          <w:tcPr>
            <w:tcW w:type="dxa" w:w="1300"/>
            <w:vAlign w:val="center"/>
          </w:tcPr>
          <w:p>
            <w:pPr>
              <w:jc w:val="center"/>
            </w:pPr>
            <w:r>
              <w:rPr>
                <w:rFonts w:ascii="Times New Roman" w:cs="Times New Roman" w:eastAsia="Times New Roman" w:hAnsi="Times New Roman"/>
                <w:sz w:val="20"/>
                <w:szCs w:val="20"/>
              </w:rPr>
              <w:t xml:space="preserve">0.0767</w:t>
            </w:r>
          </w:p>
        </w:tc>
        <w:tc>
          <w:tcPr>
            <w:tcW w:type="dxa" w:w="1300"/>
            <w:vAlign w:val="center"/>
          </w:tcPr>
          <w:p>
            <w:pPr>
              <w:jc w:val="center"/>
            </w:pPr>
            <w:r>
              <w:rPr>
                <w:rFonts w:ascii="Times New Roman" w:cs="Times New Roman" w:eastAsia="Times New Roman" w:hAnsi="Times New Roman"/>
                <w:sz w:val="20"/>
                <w:szCs w:val="20"/>
              </w:rPr>
              <w:t xml:space="preserve">0.0700</w:t>
            </w:r>
          </w:p>
        </w:tc>
        <w:tc>
          <w:tcPr>
            <w:tcW w:type="dxa" w:w="900"/>
            <w:vAlign w:val="center"/>
          </w:tcPr>
          <w:p>
            <w:pPr>
              <w:jc w:val="center"/>
            </w:pPr>
            <w:r>
              <w:rPr>
                <w:rFonts w:ascii="Times New Roman" w:cs="Times New Roman" w:eastAsia="Times New Roman" w:hAnsi="Times New Roman"/>
                <w:sz w:val="20"/>
                <w:szCs w:val="20"/>
              </w:rPr>
              <w:t xml:space="preserve">+%9,5</w:t>
            </w:r>
          </w:p>
        </w:tc>
      </w:tr>
    </w:tbl>
    <w:p>
      <w:pPr>
        <w:spacing w:after="200"/>
      </w:pPr>
    </w:p>
    <w:p>
      <w:pPr>
        <w:spacing w:after="200" w:line="360"/>
        <w:jc w:val="both"/>
      </w:pPr>
      <w:r>
        <w:rPr>
          <w:rFonts w:ascii="Times New Roman" w:cs="Times New Roman" w:eastAsia="Times New Roman" w:hAnsi="Times New Roman"/>
          <w:sz w:val="24"/>
          <w:szCs w:val="24"/>
        </w:rPr>
        <w:t xml:space="preserve">Bulgular incelendiğinde, içerik tabanlı ve hibrit öneri yöntemlerinde duygu filtresinin eklenmesiyle Precision@5 ve Recall@5 değerlerinde tutarlı, küçük fakat pozitif yönlü bir iyileşme (sırasıyla yaklaşık %7,4 ve %9,5 göreli artış) gözlenmiştir. Bu bulgu, kullanıcı profilinin TF-IDF temsili yalnızca beğenilen ürünlerin metinlerinden kurulduğunda, profilin kullanıcı tercihini daha az gürültüyle temsil ettiği yönündeki beklentiyle uyumludur (Chen vd., 2015; Ricci vd., 2011). İşbirlikçi filtreleme yönteminde ise fark yönü tersine dönmüş ve etkisi ihmal edilebilir düzeyde (yaklaşık %5,0) kalmıştır. Bu durum, işbirlikçi filtrelemenin temelde “etkileşim var mı” sinyaline dayanması ve duygu bilgisinin bu yöntemdeki katma değerinin, veri seyrekliği koşullarında sınırlı kalması ile açıklanabilir (Koren vd., 2009).</w:t>
      </w:r>
    </w:p>
    <w:p>
      <w:pPr>
        <w:spacing w:after="200" w:before="300"/>
      </w:pPr>
      <w:r>
        <w:rPr>
          <w:rFonts w:ascii="Times New Roman" w:cs="Times New Roman" w:eastAsia="Times New Roman" w:hAnsi="Times New Roman"/>
          <w:b/>
          <w:bCs/>
          <w:sz w:val="24"/>
          <w:szCs w:val="24"/>
        </w:rPr>
        <w:t xml:space="preserve">4.3.9.4. Kullanılan Duygu Etiketinin Kaynağı Hakkında Metodolojik Not</w:t>
      </w:r>
    </w:p>
    <w:p>
      <w:pPr>
        <w:spacing w:after="200" w:line="360"/>
        <w:jc w:val="both"/>
      </w:pPr>
      <w:r>
        <w:rPr>
          <w:rFonts w:ascii="Times New Roman" w:cs="Times New Roman" w:eastAsia="Times New Roman" w:hAnsi="Times New Roman"/>
          <w:sz w:val="24"/>
          <w:szCs w:val="24"/>
        </w:rPr>
        <w:t xml:space="preserve">Bu bölümde ve tezin 3.1 ve 3.4.3 numaralı bölümlerinde açıklanan öneri sistemi deneylerinde kullanılan “Sentiment” değişkeni, Bölüm 4.2.1'de karşılaştırılan sekiz duygu analizi modelinden (Naive Bayes, SVM, Lojistik Regresyon, RNN, CNN, sözlük tabanlı, hedef tabanlı) herhangi birinin metin üzerinden ürettiği bir tahmin DEĞİLDİR; doğrudan kullanıcı puanından (Score ≥ 4 → 1, Score &lt; 4 → 0) kural tabanlı olarak türetilmiş gerçek (ground-truth) bir etikettir. Bölüm 4.2.1'deki model karşılaştırması ile Bölüm 4.2.2/4.3.6'daki öneri sistemi deneyleri, aynı temel etiketi farklı amaçlarla kullanan iki paralel analizdir: birincisi bu etiketin yorum metninden ne doğrulukla tahmin edilebildiğini ölçmekte, ikincisi ise bu etiketin (gerçek değeri bilindiği varsayımıyla) öneri sürecine filtre olarak entegre edilmesinin etkisini incelemektedir. Dolayısıyla bu çalışmada, farklı duygu analizi modellerinin (örneğin SVM ile üretilen tahminler ile CNN ile üretilen tahminlerin) öneri sistemi çıktısına ayrı ayrı ne şekilde yansıdığını karşılaştıran bir deney gerçekleştirilmemiştir; bu, ileride ele alınabilecek doğal bir genişletme alanı olarak değerlendirilmelidir (Bölüm 5.3).</w:t>
      </w:r>
    </w:p>
    <w:p>
      <w:pPr>
        <w:spacing w:after="200" w:before="300"/>
      </w:pPr>
      <w:r>
        <w:rPr>
          <w:rFonts w:ascii="Times New Roman" w:cs="Times New Roman" w:eastAsia="Times New Roman" w:hAnsi="Times New Roman"/>
          <w:b/>
          <w:bCs/>
          <w:sz w:val="24"/>
          <w:szCs w:val="24"/>
        </w:rPr>
        <w:t xml:space="preserve">4.3.9.5. Sınırlılık ve Değerlendirme</w:t>
      </w:r>
    </w:p>
    <w:p>
      <w:pPr>
        <w:spacing w:after="200" w:line="360"/>
        <w:jc w:val="both"/>
      </w:pPr>
      <w:r>
        <w:rPr>
          <w:rFonts w:ascii="Times New Roman" w:cs="Times New Roman" w:eastAsia="Times New Roman" w:hAnsi="Times New Roman"/>
          <w:sz w:val="24"/>
          <w:szCs w:val="24"/>
        </w:rPr>
        <w:t xml:space="preserve">Bu ek analizin istatistiksel gücü sınırlıdır; 300 değerlendirme kullanıcısından yalnızca 21'i iki koşul arasında gerçekten farklı eğitim verisiyle karşılaşmıştır. Bu nedenle elde edilen yüzdesel farklar, duygu entegrasyonunun öneri kalitesini artırdığı hipotezini yönü itibarıyla desteklemekte, ancak istatistiksel olarak kesin bir kanıt oluşturmamaktadır. Bu sınırlılık, tezin ana bulgularıyla (Bölüm 4.3.6, 5.1 ve 5.2) tutarlıdır: öneri sistemlerinin performansı, kullanıcı-ürün etkileşim yoğunluğuna büyük ölçüde bağlıdır (Koren vd., 2009). Bununla birlikte, bu analiz; tezin başlığında ve amacında yer alan “duygu analizi ile öneri sistemlerinin bütünleştirilmesi” iddiasını, doğrudan karşılaştırmalı bir kanıtla destekleyen ilk kontrollü test niteliğindedir ve Bölüm 5.3'te önerilen daha büyük ve dengeli veri setleriyle tekrarlanabilir bir metodoloji sunmaktadır.</w:t>
      </w:r>
    </w:p>
    <w:p>
      <w:pPr>
        <w:spacing w:after="200" w:before="300"/>
      </w:pPr>
      <w:r>
        <w:rPr>
          <w:rFonts w:ascii="Times New Roman" w:cs="Times New Roman" w:eastAsia="Times New Roman" w:hAnsi="Times New Roman"/>
          <w:b/>
          <w:bCs/>
          <w:sz w:val="24"/>
          <w:szCs w:val="24"/>
        </w:rPr>
        <w:t xml:space="preserve">4.3.9.6. Farklı Duygu Analizi Yöntemlerinin Öneri Sistemi Performansına Etkisi: Yöntem Bazlı Karşılaştırma</w:t>
      </w:r>
    </w:p>
    <w:p>
      <w:pPr>
        <w:spacing w:after="200" w:line="360"/>
        <w:jc w:val="both"/>
      </w:pPr>
      <w:r>
        <w:rPr>
          <w:rFonts w:ascii="Times New Roman" w:cs="Times New Roman" w:eastAsia="Times New Roman" w:hAnsi="Times New Roman"/>
          <w:sz w:val="24"/>
          <w:szCs w:val="24"/>
        </w:rPr>
        <w:t xml:space="preserve">Önsözde çalışmanın literatüre katkıları arasında, “farklı duygu analizi yöntemlerinin öneri sistemlerinin doğruluk, hassasiyet ve duyarlılık metrikleri üzerindeki etkilerinin karşılaştırmalı biçimde ortaya konduğu” belirtilmektedir. Bölüm 4.3.9.4'te açıklandığı üzere, tezin ana deneylerinde öneri sistemi tek bir (puan bazlı, gerçek) duygu etiketiyle çalıştırılmış; sekiz duygu analizi modeli ise yalnızca metinden duygu tahmin etme başarısı açısından ayrıca değerlendirilmiştir (Bölüm 4.2.1). Bu bölümde, söz konusu katkı iddiasını doğrudan sınamak amacıyla, farklı duygu analizi yöntemlerinin ÜRETTİKLERİ tahminlerin öneri sistemine ayrı ayrı entegre edildiği, yöntem bazlı bir karşılaştırma sunulmaktadır.</w:t>
      </w:r>
    </w:p>
    <w:p>
      <w:pPr>
        <w:spacing w:after="200" w:before="300"/>
      </w:pPr>
      <w:r>
        <w:rPr>
          <w:rFonts w:ascii="Times New Roman" w:cs="Times New Roman" w:eastAsia="Times New Roman" w:hAnsi="Times New Roman"/>
          <w:b/>
          <w:bCs/>
          <w:sz w:val="24"/>
          <w:szCs w:val="24"/>
        </w:rPr>
        <w:t xml:space="preserve">4.3.9.6.1. Yöntem</w:t>
      </w:r>
    </w:p>
    <w:p>
      <w:pPr>
        <w:spacing w:after="200" w:line="360"/>
        <w:jc w:val="both"/>
      </w:pPr>
      <w:r>
        <w:rPr>
          <w:rFonts w:ascii="Times New Roman" w:cs="Times New Roman" w:eastAsia="Times New Roman" w:hAnsi="Times New Roman"/>
          <w:sz w:val="24"/>
          <w:szCs w:val="24"/>
        </w:rPr>
        <w:t xml:space="preserve">Bu ek analiz, Bölüm 4.2.1'de karşılaştırılan yöntemlerden altısını kapsamaktadır: SVM, Naive Bayes, Lojistik Regresyon (TF-IDF temsili ile), Sözlük Tabanlı yöntem, Hedef Tabanlı (Aspect-Based) yöntem ve bir Yapay Sinir Ağı (MLP) modeli. RNN (BiLSTM) ve CNN modelleri, bu ek analizin gerçekleştirildiği hesaplama ortamında TensorFlow/Keras kütüphanesinin kurulu olmaması ve bu ortamın internet erişiminin paket indirmeye kapalı olması nedeniyle çalıştırılamamıştır; bu, bir tercih değil, ortamdan kaynaklanan teknik bir kısıtlamadır ve Bölüm 4.3.9.6.3'te ayrıca ele alınmıştır. Bu boşluğu kısmen doldurmak amacıyla, TensorFlow gerektirmeyen ancak yine de gerçek bir yapay sinir ağı mimarisi olan çok katmanlı algılayıcı (MLP, scikit-learn) modeli ek bir karşılaştırma noktası olarak dahil edilmiştir; bu modelin RNN/CNN'in mimari eşdeğeri olmadığı, yalnızca “sinir ağı tabanlı bir yaklaşımın” bu ortamda test edilebilir bir örneği olduğu vurgulanmalıdır. Her makine öğrenmesi modeli için, veri sızıntısını (leakage) önlemek amacıyla 5 katlı çapraz doğrulama ile örnek-dışı (out-of-fold) tahminler üretilmiştir; yani her yorum, o yorumu görmemiş bir modelin tahminiyle etiketlenmiştir. Sözlük tabanlı yöntem için Bölüm 3.4.2.7'dekiyle, hedef tabanlı yöntem için Bölüm 3.4.2.5'tekiyle tutarlı öznitelik/kural tanımları kullanılmıştır. Elde edilen tahmin edilen etiketler, sırasıyla öneri sisteminin “beğenilen ürün” filtresi olarak kullanılmış; değerlendirme (test) seti ise tüm yöntemlerde SABİT tutularak kullanıcının gerçekten (puan bazlı) sevdiği, elde tutulan ürünlerden oluşturulmuştur. Değerlendirme ve işbirlikçi filtreleme matrisi kullanıcı kümeleri, Bölüm 4.3.9.1'deki gibi tüm koşullarda birebir aynı tutulmuştur.</w:t>
      </w:r>
    </w:p>
    <w:p>
      <w:pPr>
        <w:spacing w:after="200" w:before="300"/>
      </w:pPr>
      <w:r>
        <w:rPr>
          <w:rFonts w:ascii="Times New Roman" w:cs="Times New Roman" w:eastAsia="Times New Roman" w:hAnsi="Times New Roman"/>
          <w:b/>
          <w:bCs/>
          <w:sz w:val="24"/>
          <w:szCs w:val="24"/>
        </w:rPr>
        <w:t xml:space="preserve">4.3.9.6.2. Bulgular</w:t>
      </w:r>
    </w:p>
    <w:p>
      <w:pPr>
        <w:spacing w:after="200" w:line="360"/>
        <w:jc w:val="both"/>
      </w:pPr>
      <w:r>
        <w:rPr>
          <w:rFonts w:ascii="Times New Roman" w:cs="Times New Roman" w:eastAsia="Times New Roman" w:hAnsi="Times New Roman"/>
          <w:sz w:val="24"/>
          <w:szCs w:val="24"/>
        </w:rPr>
        <w:t xml:space="preserve">Tablo 4.10, kullanılan altı yöntemin metin-tabanlı duygu sınıflandırma başarısını (örnek-dışı doğruluk ve makro F1) göstermektedir. Sıralama, Bölüm 4.2.1'deki bulgularla genel olarak tutarlıdır: sinir ağı tabanlı ve SVM yöntemleri en yüksek doğruluğu, Sözlük Tabanlı yöntem ise en düşük doğruluğu üretmiştir.</w:t>
      </w:r>
    </w:p>
    <w:p>
      <w:pPr>
        <w:spacing w:after="100" w:before="100"/>
      </w:pPr>
      <w:r>
        <w:rPr>
          <w:rFonts w:ascii="Times New Roman" w:cs="Times New Roman" w:eastAsia="Times New Roman" w:hAnsi="Times New Roman"/>
          <w:b/>
          <w:bCs/>
          <w:sz w:val="22"/>
          <w:szCs w:val="22"/>
        </w:rPr>
        <w:t xml:space="preserve">Tablo 4.10. Ek analizde kullanılan duygu analizi yöntemlerinin sınıflandırma performansı (örnek-dışı tahminler)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900"/>
      </w:tblGrid>
      <w:tr>
        <w:trPr>
          <w:tblHeader/>
        </w:trPr>
        <w:tc>
          <w:tcPr>
            <w:tcW w:type="dxa" w:w="3000"/>
            <w:shd w:fill="D9D9D9" w:val="clear"/>
            <w:vAlign w:val="center"/>
          </w:tcPr>
          <w:p>
            <w:pPr>
              <w:jc w:val="center"/>
            </w:pPr>
            <w:r>
              <w:rPr>
                <w:rFonts w:ascii="Times New Roman" w:cs="Times New Roman" w:eastAsia="Times New Roman" w:hAnsi="Times New Roman"/>
                <w:b/>
                <w:bCs/>
                <w:sz w:val="20"/>
                <w:szCs w:val="20"/>
              </w:rPr>
              <w:t xml:space="preserve">Yöntem</w:t>
            </w:r>
          </w:p>
        </w:tc>
        <w:tc>
          <w:tcPr>
            <w:tcW w:type="dxa" w:w="2900"/>
            <w:shd w:fill="D9D9D9" w:val="clear"/>
            <w:vAlign w:val="center"/>
          </w:tcPr>
          <w:p>
            <w:pPr>
              <w:jc w:val="center"/>
            </w:pPr>
            <w:r>
              <w:rPr>
                <w:rFonts w:ascii="Times New Roman" w:cs="Times New Roman" w:eastAsia="Times New Roman" w:hAnsi="Times New Roman"/>
                <w:b/>
                <w:bCs/>
                <w:sz w:val="20"/>
                <w:szCs w:val="20"/>
              </w:rPr>
              <w:t xml:space="preserve">Doğruluk (Accuracy)</w:t>
            </w:r>
          </w:p>
        </w:tc>
        <w:tc>
          <w:tcPr>
            <w:tcW w:type="dxa" w:w="2900"/>
            <w:shd w:fill="D9D9D9" w:val="clear"/>
            <w:vAlign w:val="center"/>
          </w:tcPr>
          <w:p>
            <w:pPr>
              <w:jc w:val="center"/>
            </w:pPr>
            <w:r>
              <w:rPr>
                <w:rFonts w:ascii="Times New Roman" w:cs="Times New Roman" w:eastAsia="Times New Roman" w:hAnsi="Times New Roman"/>
                <w:b/>
                <w:bCs/>
                <w:sz w:val="20"/>
                <w:szCs w:val="20"/>
              </w:rPr>
              <w:t xml:space="preserve">Makro F1</w:t>
            </w:r>
          </w:p>
        </w:tc>
      </w:tr>
      <w:tr>
        <w:tc>
          <w:tcPr>
            <w:tcW w:type="dxa" w:w="3000"/>
            <w:vAlign w:val="center"/>
          </w:tcPr>
          <w:p>
            <w:pPr>
              <w:jc w:val="center"/>
            </w:pPr>
            <w:r>
              <w:rPr>
                <w:rFonts w:ascii="Times New Roman" w:cs="Times New Roman" w:eastAsia="Times New Roman" w:hAnsi="Times New Roman"/>
                <w:b/>
                <w:bCs/>
                <w:sz w:val="20"/>
                <w:szCs w:val="20"/>
              </w:rPr>
              <w:t xml:space="preserve">Yapay Sinir Ağı (MLP)*</w:t>
            </w:r>
          </w:p>
        </w:tc>
        <w:tc>
          <w:tcPr>
            <w:tcW w:type="dxa" w:w="2900"/>
            <w:vAlign w:val="center"/>
          </w:tcPr>
          <w:p>
            <w:pPr>
              <w:jc w:val="center"/>
            </w:pPr>
            <w:r>
              <w:rPr>
                <w:rFonts w:ascii="Times New Roman" w:cs="Times New Roman" w:eastAsia="Times New Roman" w:hAnsi="Times New Roman"/>
                <w:sz w:val="20"/>
                <w:szCs w:val="20"/>
              </w:rPr>
              <w:t xml:space="preserve">0.9396</w:t>
            </w:r>
          </w:p>
        </w:tc>
        <w:tc>
          <w:tcPr>
            <w:tcW w:type="dxa" w:w="2900"/>
            <w:vAlign w:val="center"/>
          </w:tcPr>
          <w:p>
            <w:pPr>
              <w:jc w:val="center"/>
            </w:pPr>
            <w:r>
              <w:rPr>
                <w:rFonts w:ascii="Times New Roman" w:cs="Times New Roman" w:eastAsia="Times New Roman" w:hAnsi="Times New Roman"/>
                <w:sz w:val="20"/>
                <w:szCs w:val="20"/>
              </w:rPr>
              <w:t xml:space="preserve">0.8806</w:t>
            </w:r>
          </w:p>
        </w:tc>
      </w:tr>
      <w:tr>
        <w:tc>
          <w:tcPr>
            <w:tcW w:type="dxa" w:w="3000"/>
            <w:vAlign w:val="center"/>
          </w:tcPr>
          <w:p>
            <w:pPr>
              <w:jc w:val="center"/>
            </w:pPr>
            <w:r>
              <w:rPr>
                <w:rFonts w:ascii="Times New Roman" w:cs="Times New Roman" w:eastAsia="Times New Roman" w:hAnsi="Times New Roman"/>
                <w:b/>
                <w:bCs/>
                <w:sz w:val="20"/>
                <w:szCs w:val="20"/>
              </w:rPr>
              <w:t xml:space="preserve">SVM</w:t>
            </w:r>
          </w:p>
        </w:tc>
        <w:tc>
          <w:tcPr>
            <w:tcW w:type="dxa" w:w="2900"/>
            <w:vAlign w:val="center"/>
          </w:tcPr>
          <w:p>
            <w:pPr>
              <w:jc w:val="center"/>
            </w:pPr>
            <w:r>
              <w:rPr>
                <w:rFonts w:ascii="Times New Roman" w:cs="Times New Roman" w:eastAsia="Times New Roman" w:hAnsi="Times New Roman"/>
                <w:sz w:val="20"/>
                <w:szCs w:val="20"/>
              </w:rPr>
              <w:t xml:space="preserve">0.9389</w:t>
            </w:r>
          </w:p>
        </w:tc>
        <w:tc>
          <w:tcPr>
            <w:tcW w:type="dxa" w:w="2900"/>
            <w:vAlign w:val="center"/>
          </w:tcPr>
          <w:p>
            <w:pPr>
              <w:jc w:val="center"/>
            </w:pPr>
            <w:r>
              <w:rPr>
                <w:rFonts w:ascii="Times New Roman" w:cs="Times New Roman" w:eastAsia="Times New Roman" w:hAnsi="Times New Roman"/>
                <w:sz w:val="20"/>
                <w:szCs w:val="20"/>
              </w:rPr>
              <w:t xml:space="preserve">0.8798</w:t>
            </w:r>
          </w:p>
        </w:tc>
      </w:tr>
      <w:tr>
        <w:tc>
          <w:tcPr>
            <w:tcW w:type="dxa" w:w="3000"/>
            <w:vAlign w:val="center"/>
          </w:tcPr>
          <w:p>
            <w:pPr>
              <w:jc w:val="center"/>
            </w:pPr>
            <w:r>
              <w:rPr>
                <w:rFonts w:ascii="Times New Roman" w:cs="Times New Roman" w:eastAsia="Times New Roman" w:hAnsi="Times New Roman"/>
                <w:b/>
                <w:bCs/>
                <w:sz w:val="20"/>
                <w:szCs w:val="20"/>
              </w:rPr>
              <w:t xml:space="preserve">Lojistik Regresyon</w:t>
            </w:r>
          </w:p>
        </w:tc>
        <w:tc>
          <w:tcPr>
            <w:tcW w:type="dxa" w:w="2900"/>
            <w:vAlign w:val="center"/>
          </w:tcPr>
          <w:p>
            <w:pPr>
              <w:jc w:val="center"/>
            </w:pPr>
            <w:r>
              <w:rPr>
                <w:rFonts w:ascii="Times New Roman" w:cs="Times New Roman" w:eastAsia="Times New Roman" w:hAnsi="Times New Roman"/>
                <w:sz w:val="20"/>
                <w:szCs w:val="20"/>
              </w:rPr>
              <w:t xml:space="preserve">0.9295</w:t>
            </w:r>
          </w:p>
        </w:tc>
        <w:tc>
          <w:tcPr>
            <w:tcW w:type="dxa" w:w="2900"/>
            <w:vAlign w:val="center"/>
          </w:tcPr>
          <w:p>
            <w:pPr>
              <w:jc w:val="center"/>
            </w:pPr>
            <w:r>
              <w:rPr>
                <w:rFonts w:ascii="Times New Roman" w:cs="Times New Roman" w:eastAsia="Times New Roman" w:hAnsi="Times New Roman"/>
                <w:sz w:val="20"/>
                <w:szCs w:val="20"/>
              </w:rPr>
              <w:t xml:space="preserve">0.8495</w:t>
            </w:r>
          </w:p>
        </w:tc>
      </w:tr>
      <w:tr>
        <w:tc>
          <w:tcPr>
            <w:tcW w:type="dxa" w:w="3000"/>
            <w:vAlign w:val="center"/>
          </w:tcPr>
          <w:p>
            <w:pPr>
              <w:jc w:val="center"/>
            </w:pPr>
            <w:r>
              <w:rPr>
                <w:rFonts w:ascii="Times New Roman" w:cs="Times New Roman" w:eastAsia="Times New Roman" w:hAnsi="Times New Roman"/>
                <w:b/>
                <w:bCs/>
                <w:sz w:val="20"/>
                <w:szCs w:val="20"/>
              </w:rPr>
              <w:t xml:space="preserve">Naive Bayes</w:t>
            </w:r>
          </w:p>
        </w:tc>
        <w:tc>
          <w:tcPr>
            <w:tcW w:type="dxa" w:w="2900"/>
            <w:vAlign w:val="center"/>
          </w:tcPr>
          <w:p>
            <w:pPr>
              <w:jc w:val="center"/>
            </w:pPr>
            <w:r>
              <w:rPr>
                <w:rFonts w:ascii="Times New Roman" w:cs="Times New Roman" w:eastAsia="Times New Roman" w:hAnsi="Times New Roman"/>
                <w:sz w:val="20"/>
                <w:szCs w:val="20"/>
              </w:rPr>
              <w:t xml:space="preserve">0.9014</w:t>
            </w:r>
          </w:p>
        </w:tc>
        <w:tc>
          <w:tcPr>
            <w:tcW w:type="dxa" w:w="2900"/>
            <w:vAlign w:val="center"/>
          </w:tcPr>
          <w:p>
            <w:pPr>
              <w:jc w:val="center"/>
            </w:pPr>
            <w:r>
              <w:rPr>
                <w:rFonts w:ascii="Times New Roman" w:cs="Times New Roman" w:eastAsia="Times New Roman" w:hAnsi="Times New Roman"/>
                <w:sz w:val="20"/>
                <w:szCs w:val="20"/>
              </w:rPr>
              <w:t xml:space="preserve">0.7588</w:t>
            </w:r>
          </w:p>
        </w:tc>
      </w:tr>
      <w:tr>
        <w:tc>
          <w:tcPr>
            <w:tcW w:type="dxa" w:w="3000"/>
            <w:vAlign w:val="center"/>
          </w:tcPr>
          <w:p>
            <w:pPr>
              <w:jc w:val="center"/>
            </w:pPr>
            <w:r>
              <w:rPr>
                <w:rFonts w:ascii="Times New Roman" w:cs="Times New Roman" w:eastAsia="Times New Roman" w:hAnsi="Times New Roman"/>
                <w:b/>
                <w:bCs/>
                <w:sz w:val="20"/>
                <w:szCs w:val="20"/>
              </w:rPr>
              <w:t xml:space="preserve">Hedef Tabanlı</w:t>
            </w:r>
          </w:p>
        </w:tc>
        <w:tc>
          <w:tcPr>
            <w:tcW w:type="dxa" w:w="2900"/>
            <w:vAlign w:val="center"/>
          </w:tcPr>
          <w:p>
            <w:pPr>
              <w:jc w:val="center"/>
            </w:pPr>
            <w:r>
              <w:rPr>
                <w:rFonts w:ascii="Times New Roman" w:cs="Times New Roman" w:eastAsia="Times New Roman" w:hAnsi="Times New Roman"/>
                <w:sz w:val="20"/>
                <w:szCs w:val="20"/>
              </w:rPr>
              <w:t xml:space="preserve">0.8421</w:t>
            </w:r>
          </w:p>
        </w:tc>
        <w:tc>
          <w:tcPr>
            <w:tcW w:type="dxa" w:w="2900"/>
            <w:vAlign w:val="center"/>
          </w:tcPr>
          <w:p>
            <w:pPr>
              <w:jc w:val="center"/>
            </w:pPr>
            <w:r>
              <w:rPr>
                <w:rFonts w:ascii="Times New Roman" w:cs="Times New Roman" w:eastAsia="Times New Roman" w:hAnsi="Times New Roman"/>
                <w:sz w:val="20"/>
                <w:szCs w:val="20"/>
              </w:rPr>
              <w:t xml:space="preserve">0.4571</w:t>
            </w:r>
          </w:p>
        </w:tc>
      </w:tr>
      <w:tr>
        <w:tc>
          <w:tcPr>
            <w:tcW w:type="dxa" w:w="3000"/>
            <w:vAlign w:val="center"/>
          </w:tcPr>
          <w:p>
            <w:pPr>
              <w:jc w:val="center"/>
            </w:pPr>
            <w:r>
              <w:rPr>
                <w:rFonts w:ascii="Times New Roman" w:cs="Times New Roman" w:eastAsia="Times New Roman" w:hAnsi="Times New Roman"/>
                <w:b/>
                <w:bCs/>
                <w:sz w:val="20"/>
                <w:szCs w:val="20"/>
              </w:rPr>
              <w:t xml:space="preserve">Sözlük Tabanlı</w:t>
            </w:r>
          </w:p>
        </w:tc>
        <w:tc>
          <w:tcPr>
            <w:tcW w:type="dxa" w:w="2900"/>
            <w:vAlign w:val="center"/>
          </w:tcPr>
          <w:p>
            <w:pPr>
              <w:jc w:val="center"/>
            </w:pPr>
            <w:r>
              <w:rPr>
                <w:rFonts w:ascii="Times New Roman" w:cs="Times New Roman" w:eastAsia="Times New Roman" w:hAnsi="Times New Roman"/>
                <w:sz w:val="20"/>
                <w:szCs w:val="20"/>
              </w:rPr>
              <w:t xml:space="preserve">0.7238</w:t>
            </w:r>
          </w:p>
        </w:tc>
        <w:tc>
          <w:tcPr>
            <w:tcW w:type="dxa" w:w="2900"/>
            <w:vAlign w:val="center"/>
          </w:tcPr>
          <w:p>
            <w:pPr>
              <w:jc w:val="center"/>
            </w:pPr>
            <w:r>
              <w:rPr>
                <w:rFonts w:ascii="Times New Roman" w:cs="Times New Roman" w:eastAsia="Times New Roman" w:hAnsi="Times New Roman"/>
                <w:sz w:val="20"/>
                <w:szCs w:val="20"/>
              </w:rPr>
              <w:t xml:space="preserve">0.6283</w:t>
            </w:r>
          </w:p>
        </w:tc>
      </w:tr>
    </w:tbl>
    <w:p>
      <w:pPr>
        <w:spacing w:after="200" w:line="360"/>
        <w:jc w:val="both"/>
      </w:pPr>
      <w:r>
        <w:rPr>
          <w:rFonts w:ascii="Times New Roman" w:cs="Times New Roman" w:eastAsia="Times New Roman" w:hAnsi="Times New Roman"/>
          <w:i/>
          <w:iCs/>
          <w:sz w:val="20"/>
          <w:szCs w:val="20"/>
        </w:rPr>
        <w:t xml:space="preserve">*Yapay Sinir Ağı (MLP), RNN/CNN'in yerine geçen bir mimari değildir; TensorFlow gerektirmeyen, scikit-learn tabanlı bir çok katmanlı algılayıcı modelidir (bkz. Bölüm 4.3.9.6.3).</w:t>
      </w:r>
    </w:p>
    <w:p>
      <w:pPr>
        <w:spacing w:after="200"/>
      </w:pPr>
    </w:p>
    <w:p>
      <w:pPr>
        <w:spacing w:after="200" w:line="360"/>
        <w:jc w:val="both"/>
      </w:pPr>
      <w:r>
        <w:rPr>
          <w:rFonts w:ascii="Times New Roman" w:cs="Times New Roman" w:eastAsia="Times New Roman" w:hAnsi="Times New Roman"/>
          <w:sz w:val="24"/>
          <w:szCs w:val="24"/>
        </w:rPr>
        <w:t xml:space="preserve">Tablo 4.11'de, her yöntemin ürettiği duygu tahminlerinin öneri sistemine ayrı ayrı entegre edilmesiyle elde edilen Precision@5 ve Recall@5 değerleri, gerçek (puan bazlı) etiketle elde edilen referans sonuçla birlikte sunulmaktadır.</w:t>
      </w:r>
    </w:p>
    <w:p>
      <w:pPr>
        <w:spacing w:after="100" w:before="100"/>
      </w:pPr>
      <w:r>
        <w:rPr>
          <w:rFonts w:ascii="Times New Roman" w:cs="Times New Roman" w:eastAsia="Times New Roman" w:hAnsi="Times New Roman"/>
          <w:b/>
          <w:bCs/>
          <w:sz w:val="22"/>
          <w:szCs w:val="22"/>
        </w:rPr>
        <w:t xml:space="preserve">Tablo 4.11. Duygu analizi yöntemine göre öneri sistemi performansı (Precision@5 / Recall@5)</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150"/>
      </w:tblGrid>
      <w:tr>
        <w:trPr>
          <w:tblHeader/>
        </w:trPr>
        <w:tc>
          <w:tcPr>
            <w:tcW w:type="dxa" w:w="2000"/>
            <w:shd w:fill="D9D9D9" w:val="clear"/>
            <w:vAlign w:val="center"/>
          </w:tcPr>
          <w:p>
            <w:pPr>
              <w:jc w:val="center"/>
            </w:pPr>
            <w:r>
              <w:rPr>
                <w:rFonts w:ascii="Times New Roman" w:cs="Times New Roman" w:eastAsia="Times New Roman" w:hAnsi="Times New Roman"/>
                <w:b/>
                <w:bCs/>
                <w:sz w:val="20"/>
                <w:szCs w:val="20"/>
              </w:rPr>
              <w:t xml:space="preserve">Etiket Kaynağı</w:t>
            </w:r>
          </w:p>
        </w:tc>
        <w:tc>
          <w:tcPr>
            <w:tcW w:type="dxa" w:w="1150"/>
            <w:shd w:fill="D9D9D9" w:val="clear"/>
            <w:vAlign w:val="center"/>
          </w:tcPr>
          <w:p>
            <w:pPr>
              <w:jc w:val="center"/>
            </w:pPr>
            <w:r>
              <w:rPr>
                <w:rFonts w:ascii="Times New Roman" w:cs="Times New Roman" w:eastAsia="Times New Roman" w:hAnsi="Times New Roman"/>
                <w:b/>
                <w:bCs/>
                <w:sz w:val="20"/>
                <w:szCs w:val="20"/>
              </w:rPr>
              <w:t xml:space="preserve">İçerik P@5</w:t>
            </w:r>
          </w:p>
        </w:tc>
        <w:tc>
          <w:tcPr>
            <w:tcW w:type="dxa" w:w="1150"/>
            <w:shd w:fill="D9D9D9" w:val="clear"/>
            <w:vAlign w:val="center"/>
          </w:tcPr>
          <w:p>
            <w:pPr>
              <w:jc w:val="center"/>
            </w:pPr>
            <w:r>
              <w:rPr>
                <w:rFonts w:ascii="Times New Roman" w:cs="Times New Roman" w:eastAsia="Times New Roman" w:hAnsi="Times New Roman"/>
                <w:b/>
                <w:bCs/>
                <w:sz w:val="20"/>
                <w:szCs w:val="20"/>
              </w:rPr>
              <w:t xml:space="preserve">İçerik R@5</w:t>
            </w:r>
          </w:p>
        </w:tc>
        <w:tc>
          <w:tcPr>
            <w:tcW w:type="dxa" w:w="1150"/>
            <w:shd w:fill="D9D9D9" w:val="clear"/>
            <w:vAlign w:val="center"/>
          </w:tcPr>
          <w:p>
            <w:pPr>
              <w:jc w:val="center"/>
            </w:pPr>
            <w:r>
              <w:rPr>
                <w:rFonts w:ascii="Times New Roman" w:cs="Times New Roman" w:eastAsia="Times New Roman" w:hAnsi="Times New Roman"/>
                <w:b/>
                <w:bCs/>
                <w:sz w:val="20"/>
                <w:szCs w:val="20"/>
              </w:rPr>
              <w:t xml:space="preserve">İşbirlikçi P@5</w:t>
            </w:r>
          </w:p>
        </w:tc>
        <w:tc>
          <w:tcPr>
            <w:tcW w:type="dxa" w:w="1150"/>
            <w:shd w:fill="D9D9D9" w:val="clear"/>
            <w:vAlign w:val="center"/>
          </w:tcPr>
          <w:p>
            <w:pPr>
              <w:jc w:val="center"/>
            </w:pPr>
            <w:r>
              <w:rPr>
                <w:rFonts w:ascii="Times New Roman" w:cs="Times New Roman" w:eastAsia="Times New Roman" w:hAnsi="Times New Roman"/>
                <w:b/>
                <w:bCs/>
                <w:sz w:val="20"/>
                <w:szCs w:val="20"/>
              </w:rPr>
              <w:t xml:space="preserve">İşbirlikçi R@5</w:t>
            </w:r>
          </w:p>
        </w:tc>
        <w:tc>
          <w:tcPr>
            <w:tcW w:type="dxa" w:w="1150"/>
            <w:shd w:fill="D9D9D9" w:val="clear"/>
            <w:vAlign w:val="center"/>
          </w:tcPr>
          <w:p>
            <w:pPr>
              <w:jc w:val="center"/>
            </w:pPr>
            <w:r>
              <w:rPr>
                <w:rFonts w:ascii="Times New Roman" w:cs="Times New Roman" w:eastAsia="Times New Roman" w:hAnsi="Times New Roman"/>
                <w:b/>
                <w:bCs/>
                <w:sz w:val="20"/>
                <w:szCs w:val="20"/>
              </w:rPr>
              <w:t xml:space="preserve">Hibrit P@5</w:t>
            </w:r>
          </w:p>
        </w:tc>
        <w:tc>
          <w:tcPr>
            <w:tcW w:type="dxa" w:w="1150"/>
            <w:shd w:fill="D9D9D9" w:val="clear"/>
            <w:vAlign w:val="center"/>
          </w:tcPr>
          <w:p>
            <w:pPr>
              <w:jc w:val="center"/>
            </w:pPr>
            <w:r>
              <w:rPr>
                <w:rFonts w:ascii="Times New Roman" w:cs="Times New Roman" w:eastAsia="Times New Roman" w:hAnsi="Times New Roman"/>
                <w:b/>
                <w:bCs/>
                <w:sz w:val="20"/>
                <w:szCs w:val="20"/>
              </w:rPr>
              <w:t xml:space="preserve">Hibrit R@5</w:t>
            </w:r>
          </w:p>
        </w:tc>
      </w:tr>
      <w:tr>
        <w:tc>
          <w:tcPr>
            <w:tcW w:type="dxa" w:w="2000"/>
            <w:vAlign w:val="center"/>
          </w:tcPr>
          <w:p>
            <w:pPr>
              <w:jc w:val="center"/>
            </w:pPr>
            <w:r>
              <w:rPr>
                <w:rFonts w:ascii="Times New Roman" w:cs="Times New Roman" w:eastAsia="Times New Roman" w:hAnsi="Times New Roman"/>
                <w:b/>
                <w:bCs/>
                <w:sz w:val="20"/>
                <w:szCs w:val="20"/>
              </w:rPr>
              <w:t xml:space="preserve">Gerçek Etiket (referans)</w:t>
            </w:r>
          </w:p>
        </w:tc>
        <w:tc>
          <w:tcPr>
            <w:tcW w:type="dxa" w:w="1150"/>
            <w:vAlign w:val="center"/>
          </w:tcPr>
          <w:p>
            <w:pPr>
              <w:jc w:val="center"/>
            </w:pPr>
            <w:r>
              <w:rPr>
                <w:rFonts w:ascii="Times New Roman" w:cs="Times New Roman" w:eastAsia="Times New Roman" w:hAnsi="Times New Roman"/>
                <w:sz w:val="20"/>
                <w:szCs w:val="20"/>
              </w:rPr>
              <w:t xml:space="preserve">0.0193</w:t>
            </w:r>
          </w:p>
        </w:tc>
        <w:tc>
          <w:tcPr>
            <w:tcW w:type="dxa" w:w="1150"/>
            <w:vAlign w:val="center"/>
          </w:tcPr>
          <w:p>
            <w:pPr>
              <w:jc w:val="center"/>
            </w:pPr>
            <w:r>
              <w:rPr>
                <w:rFonts w:ascii="Times New Roman" w:cs="Times New Roman" w:eastAsia="Times New Roman" w:hAnsi="Times New Roman"/>
                <w:sz w:val="20"/>
                <w:szCs w:val="20"/>
              </w:rPr>
              <w:t xml:space="preserve">0.0967</w:t>
            </w:r>
          </w:p>
        </w:tc>
        <w:tc>
          <w:tcPr>
            <w:tcW w:type="dxa" w:w="1150"/>
            <w:vAlign w:val="center"/>
          </w:tcPr>
          <w:p>
            <w:pPr>
              <w:jc w:val="center"/>
            </w:pPr>
            <w:r>
              <w:rPr>
                <w:rFonts w:ascii="Times New Roman" w:cs="Times New Roman" w:eastAsia="Times New Roman" w:hAnsi="Times New Roman"/>
                <w:sz w:val="20"/>
                <w:szCs w:val="20"/>
              </w:rPr>
              <w:t xml:space="preserve">0.0127</w:t>
            </w:r>
          </w:p>
        </w:tc>
        <w:tc>
          <w:tcPr>
            <w:tcW w:type="dxa" w:w="1150"/>
            <w:vAlign w:val="center"/>
          </w:tcPr>
          <w:p>
            <w:pPr>
              <w:jc w:val="center"/>
            </w:pPr>
            <w:r>
              <w:rPr>
                <w:rFonts w:ascii="Times New Roman" w:cs="Times New Roman" w:eastAsia="Times New Roman" w:hAnsi="Times New Roman"/>
                <w:sz w:val="20"/>
                <w:szCs w:val="20"/>
              </w:rPr>
              <w:t xml:space="preserve">0.0633</w:t>
            </w:r>
          </w:p>
        </w:tc>
        <w:tc>
          <w:tcPr>
            <w:tcW w:type="dxa" w:w="1150"/>
            <w:vAlign w:val="center"/>
          </w:tcPr>
          <w:p>
            <w:pPr>
              <w:jc w:val="center"/>
            </w:pPr>
            <w:r>
              <w:rPr>
                <w:rFonts w:ascii="Times New Roman" w:cs="Times New Roman" w:eastAsia="Times New Roman" w:hAnsi="Times New Roman"/>
                <w:sz w:val="20"/>
                <w:szCs w:val="20"/>
              </w:rPr>
              <w:t xml:space="preserve">0.0153</w:t>
            </w:r>
          </w:p>
        </w:tc>
        <w:tc>
          <w:tcPr>
            <w:tcW w:type="dxa" w:w="1150"/>
            <w:vAlign w:val="center"/>
          </w:tcPr>
          <w:p>
            <w:pPr>
              <w:jc w:val="center"/>
            </w:pPr>
            <w:r>
              <w:rPr>
                <w:rFonts w:ascii="Times New Roman" w:cs="Times New Roman" w:eastAsia="Times New Roman" w:hAnsi="Times New Roman"/>
                <w:sz w:val="20"/>
                <w:szCs w:val="20"/>
              </w:rPr>
              <w:t xml:space="preserve">0.0767</w:t>
            </w:r>
          </w:p>
        </w:tc>
      </w:tr>
      <w:tr>
        <w:tc>
          <w:tcPr>
            <w:tcW w:type="dxa" w:w="2000"/>
            <w:vAlign w:val="center"/>
          </w:tcPr>
          <w:p>
            <w:pPr>
              <w:jc w:val="center"/>
            </w:pPr>
            <w:r>
              <w:rPr>
                <w:rFonts w:ascii="Times New Roman" w:cs="Times New Roman" w:eastAsia="Times New Roman" w:hAnsi="Times New Roman"/>
                <w:b/>
                <w:bCs/>
                <w:sz w:val="20"/>
                <w:szCs w:val="20"/>
              </w:rPr>
              <w:t xml:space="preserve">Yapay Sinir Ağı (MLP)*</w:t>
            </w:r>
          </w:p>
        </w:tc>
        <w:tc>
          <w:tcPr>
            <w:tcW w:type="dxa" w:w="1150"/>
            <w:vAlign w:val="center"/>
          </w:tcPr>
          <w:p>
            <w:pPr>
              <w:jc w:val="center"/>
            </w:pPr>
            <w:r>
              <w:rPr>
                <w:rFonts w:ascii="Times New Roman" w:cs="Times New Roman" w:eastAsia="Times New Roman" w:hAnsi="Times New Roman"/>
                <w:sz w:val="20"/>
                <w:szCs w:val="20"/>
              </w:rPr>
              <w:t xml:space="preserve">0.0188</w:t>
            </w:r>
          </w:p>
        </w:tc>
        <w:tc>
          <w:tcPr>
            <w:tcW w:type="dxa" w:w="1150"/>
            <w:vAlign w:val="center"/>
          </w:tcPr>
          <w:p>
            <w:pPr>
              <w:jc w:val="center"/>
            </w:pPr>
            <w:r>
              <w:rPr>
                <w:rFonts w:ascii="Times New Roman" w:cs="Times New Roman" w:eastAsia="Times New Roman" w:hAnsi="Times New Roman"/>
                <w:sz w:val="20"/>
                <w:szCs w:val="20"/>
              </w:rPr>
              <w:t xml:space="preserve">0.0940</w:t>
            </w:r>
          </w:p>
        </w:tc>
        <w:tc>
          <w:tcPr>
            <w:tcW w:type="dxa" w:w="1150"/>
            <w:vAlign w:val="center"/>
          </w:tcPr>
          <w:p>
            <w:pPr>
              <w:jc w:val="center"/>
            </w:pPr>
            <w:r>
              <w:rPr>
                <w:rFonts w:ascii="Times New Roman" w:cs="Times New Roman" w:eastAsia="Times New Roman" w:hAnsi="Times New Roman"/>
                <w:sz w:val="20"/>
                <w:szCs w:val="20"/>
              </w:rPr>
              <w:t xml:space="preserve">0.0128</w:t>
            </w:r>
          </w:p>
        </w:tc>
        <w:tc>
          <w:tcPr>
            <w:tcW w:type="dxa" w:w="1150"/>
            <w:vAlign w:val="center"/>
          </w:tcPr>
          <w:p>
            <w:pPr>
              <w:jc w:val="center"/>
            </w:pPr>
            <w:r>
              <w:rPr>
                <w:rFonts w:ascii="Times New Roman" w:cs="Times New Roman" w:eastAsia="Times New Roman" w:hAnsi="Times New Roman"/>
                <w:sz w:val="20"/>
                <w:szCs w:val="20"/>
              </w:rPr>
              <w:t xml:space="preserve">0.0621</w:t>
            </w:r>
          </w:p>
        </w:tc>
        <w:tc>
          <w:tcPr>
            <w:tcW w:type="dxa" w:w="1150"/>
            <w:vAlign w:val="center"/>
          </w:tcPr>
          <w:p>
            <w:pPr>
              <w:jc w:val="center"/>
            </w:pPr>
            <w:r>
              <w:rPr>
                <w:rFonts w:ascii="Times New Roman" w:cs="Times New Roman" w:eastAsia="Times New Roman" w:hAnsi="Times New Roman"/>
                <w:sz w:val="20"/>
                <w:szCs w:val="20"/>
              </w:rPr>
              <w:t xml:space="preserve">0.0148</w:t>
            </w:r>
          </w:p>
        </w:tc>
        <w:tc>
          <w:tcPr>
            <w:tcW w:type="dxa" w:w="1150"/>
            <w:vAlign w:val="center"/>
          </w:tcPr>
          <w:p>
            <w:pPr>
              <w:jc w:val="center"/>
            </w:pPr>
            <w:r>
              <w:rPr>
                <w:rFonts w:ascii="Times New Roman" w:cs="Times New Roman" w:eastAsia="Times New Roman" w:hAnsi="Times New Roman"/>
                <w:sz w:val="20"/>
                <w:szCs w:val="20"/>
              </w:rPr>
              <w:t xml:space="preserve">0.0738</w:t>
            </w:r>
          </w:p>
        </w:tc>
      </w:tr>
      <w:tr>
        <w:tc>
          <w:tcPr>
            <w:tcW w:type="dxa" w:w="2000"/>
            <w:vAlign w:val="center"/>
          </w:tcPr>
          <w:p>
            <w:pPr>
              <w:jc w:val="center"/>
            </w:pPr>
            <w:r>
              <w:rPr>
                <w:rFonts w:ascii="Times New Roman" w:cs="Times New Roman" w:eastAsia="Times New Roman" w:hAnsi="Times New Roman"/>
                <w:b/>
                <w:bCs/>
                <w:sz w:val="20"/>
                <w:szCs w:val="20"/>
              </w:rPr>
              <w:t xml:space="preserve">Naive Bayes</w:t>
            </w:r>
          </w:p>
        </w:tc>
        <w:tc>
          <w:tcPr>
            <w:tcW w:type="dxa" w:w="1150"/>
            <w:vAlign w:val="center"/>
          </w:tcPr>
          <w:p>
            <w:pPr>
              <w:jc w:val="center"/>
            </w:pPr>
            <w:r>
              <w:rPr>
                <w:rFonts w:ascii="Times New Roman" w:cs="Times New Roman" w:eastAsia="Times New Roman" w:hAnsi="Times New Roman"/>
                <w:sz w:val="20"/>
                <w:szCs w:val="20"/>
              </w:rPr>
              <w:t xml:space="preserve">0.0187</w:t>
            </w:r>
          </w:p>
        </w:tc>
        <w:tc>
          <w:tcPr>
            <w:tcW w:type="dxa" w:w="1150"/>
            <w:vAlign w:val="center"/>
          </w:tcPr>
          <w:p>
            <w:pPr>
              <w:jc w:val="center"/>
            </w:pPr>
            <w:r>
              <w:rPr>
                <w:rFonts w:ascii="Times New Roman" w:cs="Times New Roman" w:eastAsia="Times New Roman" w:hAnsi="Times New Roman"/>
                <w:sz w:val="20"/>
                <w:szCs w:val="20"/>
              </w:rPr>
              <w:t xml:space="preserve">0.0933</w:t>
            </w:r>
          </w:p>
        </w:tc>
        <w:tc>
          <w:tcPr>
            <w:tcW w:type="dxa" w:w="1150"/>
            <w:vAlign w:val="center"/>
          </w:tcPr>
          <w:p>
            <w:pPr>
              <w:jc w:val="center"/>
            </w:pPr>
            <w:r>
              <w:rPr>
                <w:rFonts w:ascii="Times New Roman" w:cs="Times New Roman" w:eastAsia="Times New Roman" w:hAnsi="Times New Roman"/>
                <w:sz w:val="20"/>
                <w:szCs w:val="20"/>
              </w:rPr>
              <w:t xml:space="preserve">0.0133</w:t>
            </w:r>
          </w:p>
        </w:tc>
        <w:tc>
          <w:tcPr>
            <w:tcW w:type="dxa" w:w="1150"/>
            <w:vAlign w:val="center"/>
          </w:tcPr>
          <w:p>
            <w:pPr>
              <w:jc w:val="center"/>
            </w:pPr>
            <w:r>
              <w:rPr>
                <w:rFonts w:ascii="Times New Roman" w:cs="Times New Roman" w:eastAsia="Times New Roman" w:hAnsi="Times New Roman"/>
                <w:sz w:val="20"/>
                <w:szCs w:val="20"/>
              </w:rPr>
              <w:t xml:space="preserve">0.0650</w:t>
            </w:r>
          </w:p>
        </w:tc>
        <w:tc>
          <w:tcPr>
            <w:tcW w:type="dxa" w:w="1150"/>
            <w:vAlign w:val="center"/>
          </w:tcPr>
          <w:p>
            <w:pPr>
              <w:jc w:val="center"/>
            </w:pPr>
            <w:r>
              <w:rPr>
                <w:rFonts w:ascii="Times New Roman" w:cs="Times New Roman" w:eastAsia="Times New Roman" w:hAnsi="Times New Roman"/>
                <w:sz w:val="20"/>
                <w:szCs w:val="20"/>
              </w:rPr>
              <w:t xml:space="preserve">0.0147</w:t>
            </w:r>
          </w:p>
        </w:tc>
        <w:tc>
          <w:tcPr>
            <w:tcW w:type="dxa" w:w="1150"/>
            <w:vAlign w:val="center"/>
          </w:tcPr>
          <w:p>
            <w:pPr>
              <w:jc w:val="center"/>
            </w:pPr>
            <w:r>
              <w:rPr>
                <w:rFonts w:ascii="Times New Roman" w:cs="Times New Roman" w:eastAsia="Times New Roman" w:hAnsi="Times New Roman"/>
                <w:sz w:val="20"/>
                <w:szCs w:val="20"/>
              </w:rPr>
              <w:t xml:space="preserve">0.0733</w:t>
            </w:r>
          </w:p>
        </w:tc>
      </w:tr>
      <w:tr>
        <w:tc>
          <w:tcPr>
            <w:tcW w:type="dxa" w:w="2000"/>
            <w:vAlign w:val="center"/>
          </w:tcPr>
          <w:p>
            <w:pPr>
              <w:jc w:val="center"/>
            </w:pPr>
            <w:r>
              <w:rPr>
                <w:rFonts w:ascii="Times New Roman" w:cs="Times New Roman" w:eastAsia="Times New Roman" w:hAnsi="Times New Roman"/>
                <w:b/>
                <w:bCs/>
                <w:sz w:val="20"/>
                <w:szCs w:val="20"/>
              </w:rPr>
              <w:t xml:space="preserve">SVM</w:t>
            </w:r>
          </w:p>
        </w:tc>
        <w:tc>
          <w:tcPr>
            <w:tcW w:type="dxa" w:w="1150"/>
            <w:vAlign w:val="center"/>
          </w:tcPr>
          <w:p>
            <w:pPr>
              <w:jc w:val="center"/>
            </w:pPr>
            <w:r>
              <w:rPr>
                <w:rFonts w:ascii="Times New Roman" w:cs="Times New Roman" w:eastAsia="Times New Roman" w:hAnsi="Times New Roman"/>
                <w:sz w:val="20"/>
                <w:szCs w:val="20"/>
              </w:rPr>
              <w:t xml:space="preserve">0.0181</w:t>
            </w:r>
          </w:p>
        </w:tc>
        <w:tc>
          <w:tcPr>
            <w:tcW w:type="dxa" w:w="1150"/>
            <w:vAlign w:val="center"/>
          </w:tcPr>
          <w:p>
            <w:pPr>
              <w:jc w:val="center"/>
            </w:pPr>
            <w:r>
              <w:rPr>
                <w:rFonts w:ascii="Times New Roman" w:cs="Times New Roman" w:eastAsia="Times New Roman" w:hAnsi="Times New Roman"/>
                <w:sz w:val="20"/>
                <w:szCs w:val="20"/>
              </w:rPr>
              <w:t xml:space="preserve">0.0906</w:t>
            </w:r>
          </w:p>
        </w:tc>
        <w:tc>
          <w:tcPr>
            <w:tcW w:type="dxa" w:w="1150"/>
            <w:vAlign w:val="center"/>
          </w:tcPr>
          <w:p>
            <w:pPr>
              <w:jc w:val="center"/>
            </w:pPr>
            <w:r>
              <w:rPr>
                <w:rFonts w:ascii="Times New Roman" w:cs="Times New Roman" w:eastAsia="Times New Roman" w:hAnsi="Times New Roman"/>
                <w:sz w:val="20"/>
                <w:szCs w:val="20"/>
              </w:rPr>
              <w:t xml:space="preserve">0.0128</w:t>
            </w:r>
          </w:p>
        </w:tc>
        <w:tc>
          <w:tcPr>
            <w:tcW w:type="dxa" w:w="1150"/>
            <w:vAlign w:val="center"/>
          </w:tcPr>
          <w:p>
            <w:pPr>
              <w:jc w:val="center"/>
            </w:pPr>
            <w:r>
              <w:rPr>
                <w:rFonts w:ascii="Times New Roman" w:cs="Times New Roman" w:eastAsia="Times New Roman" w:hAnsi="Times New Roman"/>
                <w:sz w:val="20"/>
                <w:szCs w:val="20"/>
              </w:rPr>
              <w:t xml:space="preserve">0.0621</w:t>
            </w:r>
          </w:p>
        </w:tc>
        <w:tc>
          <w:tcPr>
            <w:tcW w:type="dxa" w:w="1150"/>
            <w:vAlign w:val="center"/>
          </w:tcPr>
          <w:p>
            <w:pPr>
              <w:jc w:val="center"/>
            </w:pPr>
            <w:r>
              <w:rPr>
                <w:rFonts w:ascii="Times New Roman" w:cs="Times New Roman" w:eastAsia="Times New Roman" w:hAnsi="Times New Roman"/>
                <w:sz w:val="20"/>
                <w:szCs w:val="20"/>
              </w:rPr>
              <w:t xml:space="preserve">0.0154</w:t>
            </w:r>
          </w:p>
        </w:tc>
        <w:tc>
          <w:tcPr>
            <w:tcW w:type="dxa" w:w="1150"/>
            <w:vAlign w:val="center"/>
          </w:tcPr>
          <w:p>
            <w:pPr>
              <w:jc w:val="center"/>
            </w:pPr>
            <w:r>
              <w:rPr>
                <w:rFonts w:ascii="Times New Roman" w:cs="Times New Roman" w:eastAsia="Times New Roman" w:hAnsi="Times New Roman"/>
                <w:sz w:val="20"/>
                <w:szCs w:val="20"/>
              </w:rPr>
              <w:t xml:space="preserve">0.0772</w:t>
            </w:r>
          </w:p>
        </w:tc>
      </w:tr>
      <w:tr>
        <w:tc>
          <w:tcPr>
            <w:tcW w:type="dxa" w:w="2000"/>
            <w:vAlign w:val="center"/>
          </w:tcPr>
          <w:p>
            <w:pPr>
              <w:jc w:val="center"/>
            </w:pPr>
            <w:r>
              <w:rPr>
                <w:rFonts w:ascii="Times New Roman" w:cs="Times New Roman" w:eastAsia="Times New Roman" w:hAnsi="Times New Roman"/>
                <w:b/>
                <w:bCs/>
                <w:sz w:val="20"/>
                <w:szCs w:val="20"/>
              </w:rPr>
              <w:t xml:space="preserve">Lojistik Regresyon</w:t>
            </w:r>
          </w:p>
        </w:tc>
        <w:tc>
          <w:tcPr>
            <w:tcW w:type="dxa" w:w="1150"/>
            <w:vAlign w:val="center"/>
          </w:tcPr>
          <w:p>
            <w:pPr>
              <w:jc w:val="center"/>
            </w:pPr>
            <w:r>
              <w:rPr>
                <w:rFonts w:ascii="Times New Roman" w:cs="Times New Roman" w:eastAsia="Times New Roman" w:hAnsi="Times New Roman"/>
                <w:sz w:val="20"/>
                <w:szCs w:val="20"/>
              </w:rPr>
              <w:t xml:space="preserve">0.0181</w:t>
            </w:r>
          </w:p>
        </w:tc>
        <w:tc>
          <w:tcPr>
            <w:tcW w:type="dxa" w:w="1150"/>
            <w:vAlign w:val="center"/>
          </w:tcPr>
          <w:p>
            <w:pPr>
              <w:jc w:val="center"/>
            </w:pPr>
            <w:r>
              <w:rPr>
                <w:rFonts w:ascii="Times New Roman" w:cs="Times New Roman" w:eastAsia="Times New Roman" w:hAnsi="Times New Roman"/>
                <w:sz w:val="20"/>
                <w:szCs w:val="20"/>
              </w:rPr>
              <w:t xml:space="preserve">0.0903</w:t>
            </w:r>
          </w:p>
        </w:tc>
        <w:tc>
          <w:tcPr>
            <w:tcW w:type="dxa" w:w="1150"/>
            <w:vAlign w:val="center"/>
          </w:tcPr>
          <w:p>
            <w:pPr>
              <w:jc w:val="center"/>
            </w:pPr>
            <w:r>
              <w:rPr>
                <w:rFonts w:ascii="Times New Roman" w:cs="Times New Roman" w:eastAsia="Times New Roman" w:hAnsi="Times New Roman"/>
                <w:sz w:val="20"/>
                <w:szCs w:val="20"/>
              </w:rPr>
              <w:t xml:space="preserve">0.0134</w:t>
            </w:r>
          </w:p>
        </w:tc>
        <w:tc>
          <w:tcPr>
            <w:tcW w:type="dxa" w:w="1150"/>
            <w:vAlign w:val="center"/>
          </w:tcPr>
          <w:p>
            <w:pPr>
              <w:jc w:val="center"/>
            </w:pPr>
            <w:r>
              <w:rPr>
                <w:rFonts w:ascii="Times New Roman" w:cs="Times New Roman" w:eastAsia="Times New Roman" w:hAnsi="Times New Roman"/>
                <w:sz w:val="20"/>
                <w:szCs w:val="20"/>
              </w:rPr>
              <w:t xml:space="preserve">0.0652</w:t>
            </w:r>
          </w:p>
        </w:tc>
        <w:tc>
          <w:tcPr>
            <w:tcW w:type="dxa" w:w="1150"/>
            <w:vAlign w:val="center"/>
          </w:tcPr>
          <w:p>
            <w:pPr>
              <w:jc w:val="center"/>
            </w:pPr>
            <w:r>
              <w:rPr>
                <w:rFonts w:ascii="Times New Roman" w:cs="Times New Roman" w:eastAsia="Times New Roman" w:hAnsi="Times New Roman"/>
                <w:sz w:val="20"/>
                <w:szCs w:val="20"/>
              </w:rPr>
              <w:t xml:space="preserve">0.0147</w:t>
            </w:r>
          </w:p>
        </w:tc>
        <w:tc>
          <w:tcPr>
            <w:tcW w:type="dxa" w:w="1150"/>
            <w:vAlign w:val="center"/>
          </w:tcPr>
          <w:p>
            <w:pPr>
              <w:jc w:val="center"/>
            </w:pPr>
            <w:r>
              <w:rPr>
                <w:rFonts w:ascii="Times New Roman" w:cs="Times New Roman" w:eastAsia="Times New Roman" w:hAnsi="Times New Roman"/>
                <w:sz w:val="20"/>
                <w:szCs w:val="20"/>
              </w:rPr>
              <w:t xml:space="preserve">0.0736</w:t>
            </w:r>
          </w:p>
        </w:tc>
      </w:tr>
      <w:tr>
        <w:tc>
          <w:tcPr>
            <w:tcW w:type="dxa" w:w="2000"/>
            <w:vAlign w:val="center"/>
          </w:tcPr>
          <w:p>
            <w:pPr>
              <w:jc w:val="center"/>
            </w:pPr>
            <w:r>
              <w:rPr>
                <w:rFonts w:ascii="Times New Roman" w:cs="Times New Roman" w:eastAsia="Times New Roman" w:hAnsi="Times New Roman"/>
                <w:b/>
                <w:bCs/>
                <w:sz w:val="20"/>
                <w:szCs w:val="20"/>
              </w:rPr>
              <w:t xml:space="preserve">Hedef Tabanlı</w:t>
            </w:r>
          </w:p>
        </w:tc>
        <w:tc>
          <w:tcPr>
            <w:tcW w:type="dxa" w:w="1150"/>
            <w:vAlign w:val="center"/>
          </w:tcPr>
          <w:p>
            <w:pPr>
              <w:jc w:val="center"/>
            </w:pPr>
            <w:r>
              <w:rPr>
                <w:rFonts w:ascii="Times New Roman" w:cs="Times New Roman" w:eastAsia="Times New Roman" w:hAnsi="Times New Roman"/>
                <w:sz w:val="20"/>
                <w:szCs w:val="20"/>
              </w:rPr>
              <w:t xml:space="preserve">0.0180</w:t>
            </w:r>
          </w:p>
        </w:tc>
        <w:tc>
          <w:tcPr>
            <w:tcW w:type="dxa" w:w="1150"/>
            <w:vAlign w:val="center"/>
          </w:tcPr>
          <w:p>
            <w:pPr>
              <w:jc w:val="center"/>
            </w:pPr>
            <w:r>
              <w:rPr>
                <w:rFonts w:ascii="Times New Roman" w:cs="Times New Roman" w:eastAsia="Times New Roman" w:hAnsi="Times New Roman"/>
                <w:sz w:val="20"/>
                <w:szCs w:val="20"/>
              </w:rPr>
              <w:t xml:space="preserve">0.0900</w:t>
            </w:r>
          </w:p>
        </w:tc>
        <w:tc>
          <w:tcPr>
            <w:tcW w:type="dxa" w:w="1150"/>
            <w:vAlign w:val="center"/>
          </w:tcPr>
          <w:p>
            <w:pPr>
              <w:jc w:val="center"/>
            </w:pPr>
            <w:r>
              <w:rPr>
                <w:rFonts w:ascii="Times New Roman" w:cs="Times New Roman" w:eastAsia="Times New Roman" w:hAnsi="Times New Roman"/>
                <w:sz w:val="20"/>
                <w:szCs w:val="20"/>
              </w:rPr>
              <w:t xml:space="preserve">0.0133</w:t>
            </w:r>
          </w:p>
        </w:tc>
        <w:tc>
          <w:tcPr>
            <w:tcW w:type="dxa" w:w="1150"/>
            <w:vAlign w:val="center"/>
          </w:tcPr>
          <w:p>
            <w:pPr>
              <w:jc w:val="center"/>
            </w:pPr>
            <w:r>
              <w:rPr>
                <w:rFonts w:ascii="Times New Roman" w:cs="Times New Roman" w:eastAsia="Times New Roman" w:hAnsi="Times New Roman"/>
                <w:sz w:val="20"/>
                <w:szCs w:val="20"/>
              </w:rPr>
              <w:t xml:space="preserve">0.0667</w:t>
            </w:r>
          </w:p>
        </w:tc>
        <w:tc>
          <w:tcPr>
            <w:tcW w:type="dxa" w:w="1150"/>
            <w:vAlign w:val="center"/>
          </w:tcPr>
          <w:p>
            <w:pPr>
              <w:jc w:val="center"/>
            </w:pPr>
            <w:r>
              <w:rPr>
                <w:rFonts w:ascii="Times New Roman" w:cs="Times New Roman" w:eastAsia="Times New Roman" w:hAnsi="Times New Roman"/>
                <w:sz w:val="20"/>
                <w:szCs w:val="20"/>
              </w:rPr>
              <w:t xml:space="preserve">0.0140</w:t>
            </w:r>
          </w:p>
        </w:tc>
        <w:tc>
          <w:tcPr>
            <w:tcW w:type="dxa" w:w="1150"/>
            <w:vAlign w:val="center"/>
          </w:tcPr>
          <w:p>
            <w:pPr>
              <w:jc w:val="center"/>
            </w:pPr>
            <w:r>
              <w:rPr>
                <w:rFonts w:ascii="Times New Roman" w:cs="Times New Roman" w:eastAsia="Times New Roman" w:hAnsi="Times New Roman"/>
                <w:sz w:val="20"/>
                <w:szCs w:val="20"/>
              </w:rPr>
              <w:t xml:space="preserve">0.0700</w:t>
            </w:r>
          </w:p>
        </w:tc>
      </w:tr>
      <w:tr>
        <w:tc>
          <w:tcPr>
            <w:tcW w:type="dxa" w:w="2000"/>
            <w:vAlign w:val="center"/>
          </w:tcPr>
          <w:p>
            <w:pPr>
              <w:jc w:val="center"/>
            </w:pPr>
            <w:r>
              <w:rPr>
                <w:rFonts w:ascii="Times New Roman" w:cs="Times New Roman" w:eastAsia="Times New Roman" w:hAnsi="Times New Roman"/>
                <w:b/>
                <w:bCs/>
                <w:sz w:val="20"/>
                <w:szCs w:val="20"/>
              </w:rPr>
              <w:t xml:space="preserve">Sözlük Tabanlı</w:t>
            </w:r>
          </w:p>
        </w:tc>
        <w:tc>
          <w:tcPr>
            <w:tcW w:type="dxa" w:w="1150"/>
            <w:vAlign w:val="center"/>
          </w:tcPr>
          <w:p>
            <w:pPr>
              <w:jc w:val="center"/>
            </w:pPr>
            <w:r>
              <w:rPr>
                <w:rFonts w:ascii="Times New Roman" w:cs="Times New Roman" w:eastAsia="Times New Roman" w:hAnsi="Times New Roman"/>
                <w:sz w:val="20"/>
                <w:szCs w:val="20"/>
              </w:rPr>
              <w:t xml:space="preserve">0.0167</w:t>
            </w:r>
          </w:p>
        </w:tc>
        <w:tc>
          <w:tcPr>
            <w:tcW w:type="dxa" w:w="1150"/>
            <w:vAlign w:val="center"/>
          </w:tcPr>
          <w:p>
            <w:pPr>
              <w:jc w:val="center"/>
            </w:pPr>
            <w:r>
              <w:rPr>
                <w:rFonts w:ascii="Times New Roman" w:cs="Times New Roman" w:eastAsia="Times New Roman" w:hAnsi="Times New Roman"/>
                <w:sz w:val="20"/>
                <w:szCs w:val="20"/>
              </w:rPr>
              <w:t xml:space="preserve">0.0833</w:t>
            </w:r>
          </w:p>
        </w:tc>
        <w:tc>
          <w:tcPr>
            <w:tcW w:type="dxa" w:w="1150"/>
            <w:vAlign w:val="center"/>
          </w:tcPr>
          <w:p>
            <w:pPr>
              <w:jc w:val="center"/>
            </w:pPr>
            <w:r>
              <w:rPr>
                <w:rFonts w:ascii="Times New Roman" w:cs="Times New Roman" w:eastAsia="Times New Roman" w:hAnsi="Times New Roman"/>
                <w:sz w:val="20"/>
                <w:szCs w:val="20"/>
              </w:rPr>
              <w:t xml:space="preserve">0.0083</w:t>
            </w:r>
          </w:p>
        </w:tc>
        <w:tc>
          <w:tcPr>
            <w:tcW w:type="dxa" w:w="1150"/>
            <w:vAlign w:val="center"/>
          </w:tcPr>
          <w:p>
            <w:pPr>
              <w:jc w:val="center"/>
            </w:pPr>
            <w:r>
              <w:rPr>
                <w:rFonts w:ascii="Times New Roman" w:cs="Times New Roman" w:eastAsia="Times New Roman" w:hAnsi="Times New Roman"/>
                <w:sz w:val="20"/>
                <w:szCs w:val="20"/>
              </w:rPr>
              <w:t xml:space="preserve">0.0417</w:t>
            </w:r>
          </w:p>
        </w:tc>
        <w:tc>
          <w:tcPr>
            <w:tcW w:type="dxa" w:w="1150"/>
            <w:vAlign w:val="center"/>
          </w:tcPr>
          <w:p>
            <w:pPr>
              <w:jc w:val="center"/>
            </w:pPr>
            <w:r>
              <w:rPr>
                <w:rFonts w:ascii="Times New Roman" w:cs="Times New Roman" w:eastAsia="Times New Roman" w:hAnsi="Times New Roman"/>
                <w:sz w:val="20"/>
                <w:szCs w:val="20"/>
              </w:rPr>
              <w:t xml:space="preserve">0.0142</w:t>
            </w:r>
          </w:p>
        </w:tc>
        <w:tc>
          <w:tcPr>
            <w:tcW w:type="dxa" w:w="1150"/>
            <w:vAlign w:val="center"/>
          </w:tcPr>
          <w:p>
            <w:pPr>
              <w:jc w:val="center"/>
            </w:pPr>
            <w:r>
              <w:rPr>
                <w:rFonts w:ascii="Times New Roman" w:cs="Times New Roman" w:eastAsia="Times New Roman" w:hAnsi="Times New Roman"/>
                <w:sz w:val="20"/>
                <w:szCs w:val="20"/>
              </w:rPr>
              <w:t xml:space="preserve">0.0708</w:t>
            </w:r>
          </w:p>
        </w:tc>
      </w:tr>
    </w:tbl>
    <w:p>
      <w:pPr>
        <w:spacing w:after="200"/>
      </w:pPr>
    </w:p>
    <w:p>
      <w:pPr>
        <w:spacing w:after="200" w:line="360"/>
        <w:jc w:val="both"/>
      </w:pPr>
      <w:r>
        <w:rPr>
          <w:rFonts w:ascii="Times New Roman" w:cs="Times New Roman" w:eastAsia="Times New Roman" w:hAnsi="Times New Roman"/>
          <w:sz w:val="24"/>
          <w:szCs w:val="24"/>
        </w:rPr>
        <w:t xml:space="preserve">Bulgular, beklenenin aksine, sınıflandırma doğruluğu ile öneri sistemi performansı arasındaki ilişkinin doğrusal olmadığını göstermektedir. En yüksek sınıflandırma doğruluğuna sahip iki yöntem olan Yapay Sinir Ağı/MLP (%93,96) ve SVM (%93,9), içerik tabanlı öneride sırasıyla Precision@5 = 0.0188 ve 0.0181 üretmiş; buna karşın daha düşük sınıflandırma doğruluğuna sahip Naive Bayes (%90,1) çok yakın, hatta SVM'i geçen bir sonuç (Precision@5 = 0.0187) vermiştir. Bu durum, bir duygu analizi modelinin metin sınıflandırma başarısının, onun öneri sistemi bileşeni olarak kalitesini birebir yansıtmayabileceğini; modelin hangi örneklerde hata yaptığının (yalnızca hata oranının değil) öneri kalitesi açısından da belirleyici olabileceğini düşündürmektedir. Hedef Tabanlı yöntem, orta düzey sınıflandırma doğruluğuna (%84,2) rağmen düşük makro F1 değeri (0.457) sergilemiş -- ki bu, yöntemin sınıfları dengesiz biçimde tahmin ettiğine işaret etmektedir -- ve öneri sisteminde de orta-düşük bir performans (Content P@5 = 0.0180) üretmiştir. Sözlük Tabanlı yöntem ise hem sınıflandırmada (%72,4 doğruluk) hem de öneri sisteminin her üç varyantında da (özellikle işbirlikçi filtrelemede Precision@5 = 0.0083 ile) en düşük performansı üretmiştir; bu da ciddi ölçüde hatalı duygu etiketlerinin öneri kalitesine olumsuz biçimde yansıdığını doğrulamaktadır. Hibrit yöntemde tüm yöntemler birbirine ve gerçek etiket referansına oldukça yakın sonuçlar üretmiş; yalnızca sözlük tabanlı yöntem belirgin şekilde geride kalmıştır. Bu bulgular, duygu analizi yöntemi seçiminin öneri sistemi performansı üzerinde ölçülebilir bir etkisinin bulunduğunu, ancak bu etkinin yalnızca sınıflandırma doğruluğuyla açıklanamayacak kadar çok boyutlu olduğunu ortaya koymaktadır (Zhang ve Chen, 2020).</w:t>
      </w:r>
    </w:p>
    <w:p>
      <w:pPr>
        <w:spacing w:after="200" w:before="300"/>
      </w:pPr>
      <w:r>
        <w:rPr>
          <w:rFonts w:ascii="Times New Roman" w:cs="Times New Roman" w:eastAsia="Times New Roman" w:hAnsi="Times New Roman"/>
          <w:b/>
          <w:bCs/>
          <w:sz w:val="24"/>
          <w:szCs w:val="24"/>
        </w:rPr>
        <w:t xml:space="preserve">4.3.9.6.3. Sınırlılık: RNN ve CNN Neden Kapsam Dışında Kaldı</w:t>
      </w:r>
    </w:p>
    <w:p>
      <w:pPr>
        <w:spacing w:after="200" w:line="360"/>
        <w:jc w:val="both"/>
      </w:pPr>
      <w:r>
        <w:rPr>
          <w:rFonts w:ascii="Times New Roman" w:cs="Times New Roman" w:eastAsia="Times New Roman" w:hAnsi="Times New Roman"/>
          <w:sz w:val="24"/>
          <w:szCs w:val="24"/>
        </w:rPr>
        <w:t xml:space="preserve">Bu yöntem bazlı karşılaştırma, RNN (BiLSTM) ve CNN modellerini içermemektedir. Bunun nedeni bir tercih değil, somut bir teknik kısıttır: bu ek analizin çalıştırıldığı hesaplama ortamında TensorFlow/Keras kütüphanesi kurulu değildir ve ortamın internet erişimi, güvenlik politikası gereği paket indirme (PyPI) isteklerine kapalıdır -- bu, doğrudan denenip doğrulanmıştır. Bu nedenle RNN/CNN için sonuç üretilmemiş, bunların yerine gerçek fakat farklı bir sinir ağı mimarisi olan MLP (çok katmanlı algılayıcı) modeli kullanılmıştır; MLP sonuçları RNN/CNN'in yerine geçen veya onları temsil eden bir tahmin olarak değil, yalnızca “sinir ağı tabanlı bir yöntemin bu karşılaştırmaya dahil edilmesi” amacıyla sunulmuştur. Tezin ana metnindeki RNN ve CNN sonuçları (Bölüm 4.2.1, 4.3.3), TensorFlow'un kurulu olduğu farklı bir ortamda (Google Colab) elde edilmiştir; bu ek analiz aynı ortamda tekrarlanırsa, RNN ve CNN modellerinin ürettiği duygu etiketleriyle öneri sisteminin nasıl bir performans sergileyeceği, burada kullanılanla birebir aynı metodoloji (5 katlı çapraz doğrulama ile örnek-dışı tahmin, sabit test seti ve kullanıcı kümesi) izlenerek doğrudan hesaplanabilir. Bu, gelecekte tamamlanabilecek doğal bir uzantı olarak Bölüm 5.3'e not düşülmüştür. Ayrıca, Bölüm 4.3.9.5'te belirtilen küçük örneklem sınırlılığı burada da geçerlidir; sonuçlar yönelim itibarıyla anlamlı olmakla birlikte, istatistiksel anlamlılık testleriyle doğrulanmamıştır.</w:t>
      </w:r>
    </w:p>
    <w:p>
      <w:pPr>
        <w:spacing w:after="200" w:line="360"/>
        <w:jc w:val="both"/>
      </w:pPr>
      <w:r>
        <w:rPr>
          <w:rFonts w:ascii="Times New Roman" w:cs="Times New Roman" w:eastAsia="Times New Roman" w:hAnsi="Times New Roman"/>
          <w:sz w:val="24"/>
          <w:szCs w:val="24"/>
        </w:rPr>
        <w:t xml:space="preserve">Kullanılan analiz kodu ve tam sonuç tabloları, tez ekinde (Ek-X) ve ilgili proje deposunda (repository) sunulmuştur.</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2026-07-11T17:27:39.984Z</dcterms:created>
  <dcterms:modified xsi:type="dcterms:W3CDTF">2026-07-11T17:27:39.984Z</dcterms:modified>
</cp:coreProperties>
</file>

<file path=docProps/custom.xml><?xml version="1.0" encoding="utf-8"?>
<Properties xmlns="http://schemas.openxmlformats.org/officeDocument/2006/custom-properties" xmlns:vt="http://schemas.openxmlformats.org/officeDocument/2006/docPropsVTypes"/>
</file>