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5.0431823730469" w:right="247.7520751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régulation des paris esportifs en France : un vide juridique de plus en plus intenable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50048828125" w:line="360" w:lineRule="auto"/>
        <w:ind w:left="19.9200439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Démarche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360" w:lineRule="auto"/>
        <w:ind w:left="18.480072021484375" w:right="-5.030517578125" w:hanging="1.920013427734375"/>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 choisissant ce sujet, je me suis d'abord demandé pourquoi la France reste l'un des rares grands marchés européens à exclure l'esport de son offre de paris en ligne régulés, alors même que le pays accueille en 2026 l'un des plus grands événements esportifs au monde. Je me suis ensuite interrogé sur les conséquences concrètes de ce blocage réglementaire, puis sur les conditions qui pourraient permettre une évolution du cadre existant.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0283203125" w:line="360" w:lineRule="auto"/>
        <w:ind w:left="21.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360" w:lineRule="auto"/>
        <w:ind w:left="0" w:right="-5.03173828125" w:firstLine="300.4000854492187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 6 juillet au 23 août 2026, Paris accueille l'Esports World Cup, la plus importante compétition esportive au monde, avec plus de 75 millions de dollars de dotation et environ 2 000 joueurs venus de 200 clubs. Pendant sept semaines, la capitale concentrera l'attention mondiale du secteur. Pourtant, aucun opérateur de paris en ligne agréé en France ne pourra proposer le moindre pari sur ces compétitions : l'Autorité nationale des jeux (ANJ) n'a jamais ouvert ce marché.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17.760009765625" w:right="-5.27099609375" w:firstLine="285.520019531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 paradoxe illustre un décalage plus large. La loi du 12 mai 2010, qui a ouvert à la concurrence les paris sportifs et hippiques en ligne, a été pensée à une époque où l'esport n'existait pas encore comme secteur économique structuré. Depuis, l'industrie a connu une croissance considérable, avec un marché mondial des paris esportifs qui aurait dépassé 15 milliards de dollars en 2025, capté en grande partie par des plateformes offshore échappant à tout contrôle français. Le sujet est d'autant plus actuel que l'accueil de l'Esports World Cup à Paris cet été remet la question sur le devant de la scène, sans qu'aucune consultation publique ni calendrier d'ouverture n'ait été annoncé par le régulateur.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21.1199951171875" w:right="-5.030517578125" w:firstLine="282.160034179687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Cette note se propose d'analyser, dans un premier temps, les fondements et les limites du cadre juridique actuel applicable aux paris esportifs en France, puis, dans un second temps, les conséquences de ce statu quo et les conditions envisageables d'une évolution.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21.1199951171875" w:right="-5.030517578125" w:firstLine="282.1600341796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21.1199951171875" w:right="-5.030517578125" w:firstLine="282.1600341796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997802734375" w:line="360" w:lineRule="auto"/>
        <w:ind w:left="0" w:right="-5.02929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997802734375" w:line="360" w:lineRule="auto"/>
        <w:ind w:left="0" w:right="-5.02929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Un encadrement juridique restrictif, conçu avant l'essor de l'esport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997802734375" w:line="360" w:lineRule="auto"/>
        <w:ind w:left="298.7200927734375" w:right="-5.029296875" w:hanging="277.36007690429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 Un principe d'interdiction hérité du monopole étatique sur les jeux d'argent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997802734375" w:line="360" w:lineRule="auto"/>
        <w:ind w:left="0" w:right="-5.02929687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 droit français définit le jeu d'argent et de hasard interdit, au sens de l'article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L.320-1 du Code de la sécurité intérieure, comme toute opération faisant naître l'espérance d'un gain lié au hasard et impliquant un sacrifice financier de la part du participant. Historiquement, l'État a conservé un monopole strict sur ces activités, justifié par des impératifs d'ordre public : protection des populations vulnérables, lutte contre la fraude et le blanchiment d'argent. La loi du 12 mai 2010 a ouvert une brèche dans ce monopole, mais uniquement 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profit des paris sportifs et hippiques, pour des opérateurs agréés par l'ANJ.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360" w:lineRule="auto"/>
        <w:ind w:left="0" w:right="-5.511474609375" w:firstLine="304.7200012207031"/>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 le législateur n'a jamais assimilé la compétition de jeu vidéo à une manifestation sportive au sens du Code des sports. Le régime légal de l'esport, instauré en 2016, exclut explicitement la prise de paris associée à ces compétitions. L'ANJ justifie ce refus par l'absence de fédération sportive officielle capable de garantir la transparence de l'organisation des tournois, ainsi que par les risques d'atteinte à l'intégrité des compétitions, plus difficiles à contrôler que dans le sport traditionnel du fait du renouvellement rapide des joueurs et des titres.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17.760009765625" w:right="-5.509033203125" w:firstLine="282.640075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Une notion de « pari esportif » complexe à qualifier juridiquement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17.760009765625" w:right="-5.509033203125" w:firstLine="282.64007568359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 qualification juridique des pratiques de pari liées à l'esport se heurte à la diversité des formes de mise possibles. Le pari sur objets virtuels, ou « skin betting », consiste à miser des biens numériques dont la valeur marchande reste incertaine sur le plan juridique, ce qui a notamment conduit l'éditeur Valve à intervenir contre plusieurs plateformes utilisant sans autorisation les données de son jeu Counter-Strike. Les ligues fantasy, où des parieurs composent des équipes virtuelles à partir des performances réelles de joueurs professionnels, existent également pour des titres comme League of Legends, mais restent soumises à la même interdiction dès lors qu'un sacrifice financier est exigé. Cette diversité de pratiques, chacune posant des questions différentes de qualification, complique toute réforme d'ensemble du cadre applicable.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17.760009765625" w:right="-5.509033203125" w:firstLine="282.6400756835937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60" w:lineRule="auto"/>
        <w:ind w:left="17.760009765625" w:right="-5.509033203125" w:firstLine="282.6400756835937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758544921875" w:line="360" w:lineRule="auto"/>
        <w:ind w:left="298.7200927734375" w:right="485.3564453125" w:hanging="277.3600769042969"/>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Un statu quo aux conséquences croissantes, qui appelle une évolution encadrée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758544921875" w:line="360" w:lineRule="auto"/>
        <w:ind w:left="298.7200927734375" w:right="485.3564453125" w:hanging="277.36007690429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Des effets économiques et sociaux de plus en plus visibles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9560546875" w:line="360" w:lineRule="auto"/>
        <w:ind w:left="17.760009765625" w:right="-5.511474609375" w:firstLine="281.679992675781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L'absence d'offre régulée ne supprime pas la demande : elle la déplace vers des plateformes offshore et des circuits de paris en </w:t>
      </w:r>
      <w:r w:rsidDel="00000000" w:rsidR="00000000" w:rsidRPr="00000000">
        <w:rPr>
          <w:rFonts w:ascii="Times New Roman" w:cs="Times New Roman" w:eastAsia="Times New Roman" w:hAnsi="Times New Roman"/>
          <w:sz w:val="24"/>
          <w:szCs w:val="24"/>
          <w:rtl w:val="0"/>
        </w:rPr>
        <w:t xml:space="preserve">crypto monnaies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échappant à toute fiscalité et à tout contrôle d'identité. Le profil type du parieur esportif, jeune et familier des outils numériques, correspond précisément à la population que le cadre réglementaire est censé protéger, notamment au regard des risques d'addiction et de la surreprésentation des mineurs dans l'audience esportive. Plusieurs pays européens comparables ont fait un choix différent : le Royaume-Uni, l'Espagne, l'Italie et la Belgique ont intégré l'esport dans leur offre de paris régulée, laissant la France relativement isolée parmi les grandes économies du continent sur ce dossier précis.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8935546875" w:line="360" w:lineRule="auto"/>
        <w:ind w:left="19.680023193359375" w:right="-5.27099609375" w:firstLine="279.7599792480469"/>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L'organisation de l'Esports World Cup à Paris cet été rend ce décalage particulièrement visible. L'événement, financé par des capitaux souverains étrangers via la société organisatrice ESL FACEIT Group, est accueilli par les pouvoirs publics français au même titre qu'une compétition sportive majeure, tandis que le marché des paris associés continue d'échapper entièrement à la régulation nationale.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2761077880859"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760009765625" w:right="-5.2685546875" w:firstLine="282.640075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Des conditions déjà identifiées pour une éventuelle libéralisation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760009765625" w:right="-5.268554687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Les praticiens du droit du sport considèrent qu'une ouverture du marché des paris esportifs ne pourrait intervenir sans garanties </w:t>
      </w:r>
      <w:r w:rsidDel="00000000" w:rsidR="00000000" w:rsidRPr="00000000">
        <w:rPr>
          <w:rFonts w:ascii="Times New Roman" w:cs="Times New Roman" w:eastAsia="Times New Roman" w:hAnsi="Times New Roman"/>
          <w:sz w:val="24"/>
          <w:szCs w:val="24"/>
          <w:rtl w:val="0"/>
        </w:rPr>
        <w:t xml:space="preserve">tangibles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Cela suppose, au minimum, un contrôle renforcé de toute la chaîne d'organisation des compétitions par les éditeurs et organisateurs, une sécurisation du statut juridique des joueurs participants, ainsi qu'une surveillance effective de l'intégrité des matchs face aux risques de manipulation. Plusieurs opérateurs de paris traditionnels anticipent déjà une possible évolution du cadre légal en nouant des partenariats avec des clubs, des organisateurs et des éditeurs esportifs, sans pouvoir pour l'instant proposer d'offre de paris à proprement parler.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760009765625" w:right="-5.2685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760009765625" w:right="-5.2685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10205078125"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10205078125"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360" w:lineRule="auto"/>
        <w:ind w:left="17.760009765625" w:right="-5.27099609375" w:firstLine="28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 cadre juridique français applicable aux paris esportifs repose sur des principes établis avant l'essor du secteur, qui excluent explicitement l'esport du régime dérogatoire ouvert en 2010 pour les paris sportifs et hippiques. Ce choix, qui se justifiait initialement par l'absence de structuration fédérale du secteur, se heurte aujourd'hui à une réalité économique difficile à ignorer : un marché mondial en forte croissance, capté hors de tout contrôle national, et une population de parieurs jeunes exposée sans protection spécifique. L'accueil de l'Esports World Cup à Paris durant l'été 2026 agit comme un révélateur de ce décalage entre la reconnaissance institutionnelle de l'esport et l'absence persistante d'un cadre de régulation pour ses paris associés. Reste à savoir si cet événement suffira à faire évoluer une position que le régulateur maintient, pour l'instant, sans calendrier ni consultation publique annoncés.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0283203125" w:line="360" w:lineRule="auto"/>
        <w:ind w:left="20.400085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Bibliographie / Webographie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360" w:lineRule="auto"/>
        <w:ind w:left="302.56011962890625" w:right="-5.03173828125" w:hanging="279.280090332031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CHOMIAC DE SAS, Pierre-Xavier,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Jeux vidéo et esport : la régulation des « paris</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sportifs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https://www.village-justice.com/articles/jeux-video-esport-regulation-des-paris-esportifs,54659.html</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40283203125" w:line="360" w:lineRule="auto"/>
        <w:ind w:left="298.7200927734375" w:right="-5.030517578125" w:hanging="278.3200073242187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DUGAST, Antoine, « L'Esports World Cup 2026 débarque à Paris », Les Enjeux, https://les-enjeux.com/2026/05/25/esports-world-cup-paris-regulation/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277099609375"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sectPr>
      <w:footerReference r:id="rId6" w:type="default"/>
      <w:pgSz w:h="16820" w:w="11900" w:orient="portrait"/>
      <w:pgMar w:bottom="680.3150177001953" w:top="1367.24365234375" w:left="1520.7627868652344" w:right="1536.8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