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3F6E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E3E1F" w14:textId="77777777" w:rsidR="002A3C72" w:rsidRPr="002A3C72" w:rsidRDefault="002A3C72" w:rsidP="002A3C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Детектирование аномалий и прогнозирование нагрузки в распределенных системах с использованием машинного обучения</w:t>
      </w:r>
    </w:p>
    <w:p w14:paraId="35C1F8F7" w14:textId="77777777" w:rsidR="002A3C72" w:rsidRPr="002A3C72" w:rsidRDefault="002A3C72" w:rsidP="002A3C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Игорь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Юнаш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Александра Лежанкина</w:t>
      </w:r>
    </w:p>
    <w:p w14:paraId="6D78DD11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5BE00" w14:textId="77777777" w:rsidR="002A3C72" w:rsidRPr="002A3C72" w:rsidRDefault="002A3C72" w:rsidP="002A3C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Аннотация:</w:t>
      </w:r>
    </w:p>
    <w:p w14:paraId="4D16E456" w14:textId="77777777" w:rsidR="002A3C72" w:rsidRPr="002A3C72" w:rsidRDefault="002A3C72" w:rsidP="002A3C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данной работы была разработана и внедрена в серверную инфраструктуру отдела мобильных приложений НИУ ВШЭ система детектирования аномалий и прогнозирования нагрузки. Авторами работы были проанализированы несколько имеющихся академических реализаций этой задачи, использующих методы машинного обучения, и написана своя, на базе аналитической базы данных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ClickHouse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бекенда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Kubernetes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428506" w14:textId="77777777" w:rsidR="002A3C72" w:rsidRPr="002A3C72" w:rsidRDefault="00305B1E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67FC8C">
          <v:rect id="_x0000_i1025" style="width:0;height:1.5pt" o:hralign="center" o:hrstd="t" o:hr="t" fillcolor="#a0a0a0" stroked="f"/>
        </w:pict>
      </w:r>
    </w:p>
    <w:p w14:paraId="4CF5D91F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продуктовой среде выполнения кода у разработчиков и владельцев продукта всегда возникает необходимость в отслеживании ошибок и прогнозировании нагрузки на серверы. В зависимости от результатов анализа может потребоваться увеличить количество серверов, или же наоборот, уменьшить их, чтобы сэкономить бюджет. Также в рамках анализа можно отследить некорректное исполнение кода, падение серверов или другие неожиданные ошибки, которые не были предусмотрены при разработке программы, то есть - аномалии. Аномалией считаем некое отклонение от обычного состояния в работе системы, чаще всего это связано с проблемой в некоторой области или редким событием, которое еще невозможно обработать. Таким образом, мы можем классифицировать аномалии на два случая: обнаружение выбросов, то есть некорректных данных, которые не соответствуют действительности, они могут возникать в результате ошибок в вычислениях, опечатках, могут являться шумовыми объектами, возникающими в результате неверной классификации; а также обнаружение новизны, то есть данных, которые кардинально отличаются своими свойствами от уже имеющихся объектов в выборке, но не противоречат логике системы. При выявлении выбросов алгоритм направлен на поиск слишком высоких/низкий или волатильных значений, относительно имеющихся в выборке. При выявлении новизны алгоритм оценивает, насколько новое значение похоже на то, что содержится в выборке. </w:t>
      </w:r>
    </w:p>
    <w:p w14:paraId="0E975EF9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31F5E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Необходимость в оперативном обнаружении аномалий заключается в нескольких вещах: в первую очередь аномалия может являться большой технической проблемой, которая влияет на состояние продукта, возможность доступа к нему или на функционирование определенных его частей. В то же время, сам источник данных, на основании информации из которого была найдена аномалия, может функционировать корректно, косвенно указывая на ошибки другой части инфраструктуры. В отличие от ручных способов детектирования аномалий (это может быть простое визуальное наблюдение за состоянием сервисов, мониторинг сообщений в пользовательскую поддержку и другое), или методов мониторинга черным ящиком (например, с помощью автоматических средств проверки работоспособности сервисов, наподобие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Uptime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Robot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автоматизированные средства детектирования аномалий позволяют получать максимально оперативную и подробную информацию о проблеме, что позволяет локализовать ее быстрее и вернуть систему к нормальному состоянию.</w:t>
      </w:r>
    </w:p>
    <w:p w14:paraId="3E7739BB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E99F0" w14:textId="7534EB7E" w:rsid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Идея создания подобной системы </w:t>
      </w: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нова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мы можем посмотреть на существующие аналоги. Некоторые компании разрабатывают свои закрытые внутренние реализации подобных систем с тесной интеграцией во внутренние технические и организационные процессы. Также на рынке есть публичные системы, которыми может воспользоваться каждый. Например, модуль машинного обучения в системе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Kibana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основывается на базе данных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ElasticSearch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CustomRules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В ней есть возможность как поиска аномалий на основе собранных метрик, так и прогнозирования нагрузки на срок до 8 недель. </w:t>
      </w: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Проблема этого и некоторых других продуктов заключается в финансовой необходимости постоянной оплаты </w:t>
      </w: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количество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анализируемых данных или за количество машин, на которых выполняется анализ. В то же время эти системы позволяют добиваться результата с наименьшими организационными затратами, которые заключаются в запуске основного координационного блока системы, модулей для специализированных задач, которые зачастую запускаются на отдельных машинах, чтобы иметь возможность масштабироваться, в конфигурации сбора логов, чтобы они попадали в соответствующие индексы баз данных со всех машин, и легковесной настройке непосредственного анализа методами машинного обучения.</w:t>
      </w:r>
    </w:p>
    <w:p w14:paraId="0A3B2B06" w14:textId="5921BCCE" w:rsidR="002A3C72" w:rsidRPr="00E50833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Vk</w:t>
      </w:r>
      <w:proofErr w:type="spellEnd"/>
      <w:r w:rsidRPr="00E508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Скользящее среднее.</w:t>
      </w:r>
    </w:p>
    <w:p w14:paraId="7E5502B9" w14:textId="1E5675E2" w:rsidR="002A3C72" w:rsidRPr="00E50833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F5308C" w14:textId="603EB868" w:rsidR="002A3C72" w:rsidRDefault="004F382C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Кластеризация</w:t>
      </w:r>
    </w:p>
    <w:p w14:paraId="61354F1D" w14:textId="5528E380" w:rsidR="004F382C" w:rsidRDefault="004F382C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AC88C8" w14:textId="663CB50C" w:rsidR="004F382C" w:rsidRPr="00E50833" w:rsidRDefault="004F382C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Eliptic</w:t>
      </w:r>
      <w:proofErr w:type="spellEnd"/>
      <w:r w:rsidRPr="00E508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Envelope</w:t>
      </w:r>
      <w:r w:rsidRPr="00E508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1FA77FC" w14:textId="04C7AED4" w:rsidR="004F382C" w:rsidRPr="004F382C" w:rsidRDefault="004F382C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Объект для обнаружения промахов в гауссовом распределенном наборе данных.</w:t>
      </w:r>
    </w:p>
    <w:p w14:paraId="06E39723" w14:textId="72B05128" w:rsidR="002A3C72" w:rsidRPr="002A3C72" w:rsidRDefault="002A3C72" w:rsidP="002A3C72">
      <w:pPr>
        <w:shd w:val="clear" w:color="auto" w:fill="FFFFFF"/>
        <w:spacing w:before="240" w:after="240" w:line="240" w:lineRule="auto"/>
        <w:jc w:val="both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Первый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метод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Gentium Basic" w:eastAsia="Times New Roman" w:hAnsi="Gentium Basic" w:cs="Gentium Basic"/>
          <w:color w:val="444444"/>
          <w:sz w:val="30"/>
          <w:szCs w:val="30"/>
          <w:lang w:eastAsia="ru-RU"/>
        </w:rPr>
        <w:t>—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это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обычный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 </w:t>
      </w:r>
      <w:hyperlink r:id="rId5" w:tgtFrame="_blank" w:history="1">
        <w:r w:rsidRPr="002A3C72">
          <w:rPr>
            <w:rFonts w:ascii="Gentium Basic" w:eastAsia="Times New Roman" w:hAnsi="Gentium Basic" w:cs="Times New Roman"/>
            <w:b/>
            <w:bCs/>
            <w:color w:val="1185D7"/>
            <w:sz w:val="30"/>
            <w:szCs w:val="30"/>
            <w:lang w:eastAsia="ru-RU"/>
          </w:rPr>
          <w:t>SVM</w:t>
        </w:r>
      </w:hyperlink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который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отделяет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выборку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начала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координат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.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Идея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немного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сомнительна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оказалась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довольно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работоспособной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(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см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.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рис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. 10).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Здесь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правда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так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много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разнообразия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выборе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параметров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как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при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решении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задач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классификации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поскольку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качестве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ядра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подойдёт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лишь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rbf</w:t>
      </w:r>
      <w:proofErr w:type="spellEnd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(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радиальные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базисные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функции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),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все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остальные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ядра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показывают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феноменально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отвратительный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результат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.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Интересно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что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многие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годы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задачи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детектирования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поломок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сложных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механизмов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решались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именно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помощью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OneClassSVM</w:t>
      </w:r>
      <w:proofErr w:type="spellEnd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почему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-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то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без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рассмотрения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альтернатив</w:t>
      </w:r>
      <w:r w:rsidR="00E50833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 xml:space="preserve">.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Полезно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помнить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что</w:t>
      </w:r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> </w:t>
      </w:r>
      <w:proofErr w:type="spellStart"/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>OneClassSVM</w:t>
      </w:r>
      <w:proofErr w:type="spellEnd"/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b/>
          <w:bCs/>
          <w:color w:val="444444"/>
          <w:sz w:val="30"/>
          <w:szCs w:val="30"/>
          <w:lang w:eastAsia="ru-RU"/>
        </w:rPr>
        <w:t>это</w:t>
      </w:r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b/>
          <w:bCs/>
          <w:color w:val="444444"/>
          <w:sz w:val="30"/>
          <w:szCs w:val="30"/>
          <w:lang w:eastAsia="ru-RU"/>
        </w:rPr>
        <w:t>скорее</w:t>
      </w:r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b/>
          <w:bCs/>
          <w:color w:val="444444"/>
          <w:sz w:val="30"/>
          <w:szCs w:val="30"/>
          <w:lang w:eastAsia="ru-RU"/>
        </w:rPr>
        <w:t>алгоритм</w:t>
      </w:r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b/>
          <w:bCs/>
          <w:color w:val="444444"/>
          <w:sz w:val="30"/>
          <w:szCs w:val="30"/>
          <w:lang w:eastAsia="ru-RU"/>
        </w:rPr>
        <w:t>поиска</w:t>
      </w:r>
      <w:r w:rsidRPr="002A3C72">
        <w:rPr>
          <w:rFonts w:ascii="Gentium Basic" w:eastAsia="Times New Roman" w:hAnsi="Gentium Basic" w:cs="Times New Roman"/>
          <w:b/>
          <w:bCs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b/>
          <w:bCs/>
          <w:color w:val="444444"/>
          <w:sz w:val="30"/>
          <w:szCs w:val="30"/>
          <w:lang w:eastAsia="ru-RU"/>
        </w:rPr>
        <w:t>новизны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выбросов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proofErr w:type="gramStart"/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.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.</w:t>
      </w:r>
      <w:proofErr w:type="gramEnd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Gentium Basic" w:eastAsia="Times New Roman" w:hAnsi="Gentium Basic" w:cs="Gentium Basic"/>
          <w:color w:val="444444"/>
          <w:sz w:val="30"/>
          <w:szCs w:val="30"/>
          <w:lang w:eastAsia="ru-RU"/>
        </w:rPr>
        <w:t>«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затачивается</w:t>
      </w:r>
      <w:r w:rsidRPr="002A3C72">
        <w:rPr>
          <w:rFonts w:ascii="Gentium Basic" w:eastAsia="Times New Roman" w:hAnsi="Gentium Basic" w:cs="Gentium Basic"/>
          <w:color w:val="444444"/>
          <w:sz w:val="30"/>
          <w:szCs w:val="30"/>
          <w:lang w:eastAsia="ru-RU"/>
        </w:rPr>
        <w:t>»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под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обучающую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выборку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.</w:t>
      </w:r>
    </w:p>
    <w:p w14:paraId="61861361" w14:textId="77777777" w:rsidR="004F382C" w:rsidRPr="004F382C" w:rsidRDefault="004F382C" w:rsidP="004F38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мы имеем дело с задачей </w:t>
      </w:r>
      <w:proofErr w:type="spellStart"/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novelty</w:t>
      </w:r>
      <w:proofErr w:type="spellEnd"/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detection</w:t>
      </w:r>
      <w:proofErr w:type="spellEnd"/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 для тренировки нам доступны только "хорошие" наблюдения без аномалий, то мы можем воспользоваться этой моделью и научиться для каждого нового наблюдения говорить, является ли оно аномальным или нет.</w:t>
      </w:r>
    </w:p>
    <w:p w14:paraId="6FA252EB" w14:textId="77777777" w:rsidR="004F382C" w:rsidRPr="004F382C" w:rsidRDefault="004F382C" w:rsidP="004F38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F38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идея: преобразовать признаковое пространство и провести разделяющую гиперплоскость так, чтобы наблюдения лежали как можно дальше от начала координат:</w:t>
      </w:r>
    </w:p>
    <w:p w14:paraId="0504043F" w14:textId="05C6A0D9" w:rsidR="002A3C72" w:rsidRPr="00E50833" w:rsidRDefault="004F382C" w:rsidP="004F38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для новизны</w:t>
      </w:r>
      <w:r w:rsidRPr="00E50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6D1166D" w14:textId="77777777" w:rsidR="004F382C" w:rsidRPr="00E50833" w:rsidRDefault="004F382C" w:rsidP="004F38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5D7951" w14:textId="77777777" w:rsidR="002A3C72" w:rsidRPr="002A3C72" w:rsidRDefault="00305B1E" w:rsidP="002A3C72">
      <w:pPr>
        <w:shd w:val="clear" w:color="auto" w:fill="FFFFFF"/>
        <w:spacing w:before="240" w:after="240" w:line="240" w:lineRule="auto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hyperlink r:id="rId6" w:tgtFrame="_blank" w:history="1">
        <w:r w:rsidR="002A3C72" w:rsidRPr="002A3C72">
          <w:rPr>
            <w:rFonts w:ascii="Calibri" w:eastAsia="Times New Roman" w:hAnsi="Calibri" w:cs="Calibri"/>
            <w:b/>
            <w:bCs/>
            <w:color w:val="1185D7"/>
            <w:sz w:val="30"/>
            <w:szCs w:val="30"/>
            <w:lang w:eastAsia="ru-RU"/>
          </w:rPr>
          <w:t>Изолирующий</w:t>
        </w:r>
        <w:r w:rsidR="002A3C72" w:rsidRPr="002A3C72">
          <w:rPr>
            <w:rFonts w:ascii="Gentium Basic" w:eastAsia="Times New Roman" w:hAnsi="Gentium Basic" w:cs="Times New Roman"/>
            <w:b/>
            <w:bCs/>
            <w:color w:val="1185D7"/>
            <w:sz w:val="30"/>
            <w:szCs w:val="30"/>
            <w:lang w:eastAsia="ru-RU"/>
          </w:rPr>
          <w:t xml:space="preserve"> </w:t>
        </w:r>
        <w:r w:rsidR="002A3C72" w:rsidRPr="002A3C72">
          <w:rPr>
            <w:rFonts w:ascii="Calibri" w:eastAsia="Times New Roman" w:hAnsi="Calibri" w:cs="Calibri"/>
            <w:b/>
            <w:bCs/>
            <w:color w:val="1185D7"/>
            <w:sz w:val="30"/>
            <w:szCs w:val="30"/>
            <w:lang w:eastAsia="ru-RU"/>
          </w:rPr>
          <w:t>лес</w:t>
        </w:r>
      </w:hyperlink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  (</w:t>
      </w:r>
      <w:proofErr w:type="spellStart"/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Isolation</w:t>
      </w:r>
      <w:proofErr w:type="spellEnd"/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Forest</w:t>
      </w:r>
      <w:proofErr w:type="spellEnd"/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) –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это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одна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из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вариаций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идеи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случайного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леса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.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Как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всегда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: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простая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="002A3C72"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надёжная</w:t>
      </w:r>
      <w:r w:rsidR="002A3C72"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.</w:t>
      </w:r>
    </w:p>
    <w:p w14:paraId="4703E3CE" w14:textId="77777777" w:rsidR="002A3C72" w:rsidRPr="002A3C72" w:rsidRDefault="002A3C72" w:rsidP="002A3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Состоит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из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деревьев</w:t>
      </w:r>
    </w:p>
    <w:p w14:paraId="7B472555" w14:textId="77777777" w:rsidR="002A3C72" w:rsidRPr="002A3C72" w:rsidRDefault="002A3C72" w:rsidP="002A3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Каждое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дерево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строится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proofErr w:type="gramStart"/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исчерпании</w:t>
      </w:r>
      <w:proofErr w:type="gramEnd"/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выборки</w:t>
      </w:r>
    </w:p>
    <w:p w14:paraId="7370235D" w14:textId="77777777" w:rsidR="002A3C72" w:rsidRPr="002A3C72" w:rsidRDefault="002A3C72" w:rsidP="002A3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Для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построения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ветвления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дереве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: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выбирается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случайный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признак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случайное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расщепление</w:t>
      </w:r>
    </w:p>
    <w:p w14:paraId="30099FCC" w14:textId="77777777" w:rsidR="002A3C72" w:rsidRPr="002A3C72" w:rsidRDefault="002A3C72" w:rsidP="002A3C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</w:pP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lastRenderedPageBreak/>
        <w:t>Для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каждого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объекта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мера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его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нормальности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Gentium Basic" w:eastAsia="Times New Roman" w:hAnsi="Gentium Basic" w:cs="Gentium Basic"/>
          <w:color w:val="444444"/>
          <w:sz w:val="30"/>
          <w:szCs w:val="30"/>
          <w:lang w:eastAsia="ru-RU"/>
        </w:rPr>
        <w:t>–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среднее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арифметическое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глубин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листьев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,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в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которые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он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попал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 xml:space="preserve"> (</w:t>
      </w:r>
      <w:r w:rsidRPr="002A3C72">
        <w:rPr>
          <w:rFonts w:ascii="Calibri" w:eastAsia="Times New Roman" w:hAnsi="Calibri" w:cs="Calibri"/>
          <w:color w:val="444444"/>
          <w:sz w:val="30"/>
          <w:szCs w:val="30"/>
          <w:lang w:eastAsia="ru-RU"/>
        </w:rPr>
        <w:t>изолировался</w:t>
      </w:r>
      <w:r w:rsidRPr="002A3C72">
        <w:rPr>
          <w:rFonts w:ascii="Gentium Basic" w:eastAsia="Times New Roman" w:hAnsi="Gentium Basic" w:cs="Times New Roman"/>
          <w:color w:val="444444"/>
          <w:sz w:val="30"/>
          <w:szCs w:val="30"/>
          <w:lang w:eastAsia="ru-RU"/>
        </w:rPr>
        <w:t>)</w:t>
      </w:r>
    </w:p>
    <w:p w14:paraId="1CE12D3F" w14:textId="30155C81" w:rsidR="002A3C72" w:rsidRDefault="002A3C72" w:rsidP="002A3C72">
      <w:pPr>
        <w:spacing w:after="0" w:line="240" w:lineRule="auto"/>
        <w:ind w:firstLine="720"/>
        <w:jc w:val="both"/>
        <w:rPr>
          <w:color w:val="444444"/>
          <w:sz w:val="30"/>
          <w:szCs w:val="30"/>
          <w:shd w:val="clear" w:color="auto" w:fill="FFFFFF"/>
        </w:rPr>
      </w:pP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Логика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алгоритма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простая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: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при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описанном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Gentium Basic" w:hAnsi="Gentium Basic" w:cs="Gentium Basic"/>
          <w:color w:val="444444"/>
          <w:sz w:val="30"/>
          <w:szCs w:val="30"/>
          <w:shd w:val="clear" w:color="auto" w:fill="FFFFFF"/>
        </w:rPr>
        <w:t>«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случайном</w:t>
      </w:r>
      <w:r>
        <w:rPr>
          <w:rFonts w:ascii="Gentium Basic" w:hAnsi="Gentium Basic" w:cs="Gentium Basic"/>
          <w:color w:val="444444"/>
          <w:sz w:val="30"/>
          <w:szCs w:val="30"/>
          <w:shd w:val="clear" w:color="auto" w:fill="FFFFFF"/>
        </w:rPr>
        <w:t>»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способе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построения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деревьев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выбросы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будут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попадать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в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листья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на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ранних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этапах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(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на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небольшой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глубине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дерева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), </w:t>
      </w:r>
      <w:proofErr w:type="gramStart"/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т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>.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>.</w:t>
      </w:r>
      <w:proofErr w:type="gramEnd"/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выбросы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проще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Gentium Basic" w:hAnsi="Gentium Basic" w:cs="Gentium Basic"/>
          <w:color w:val="444444"/>
          <w:sz w:val="30"/>
          <w:szCs w:val="30"/>
          <w:shd w:val="clear" w:color="auto" w:fill="FFFFFF"/>
        </w:rPr>
        <w:t>«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изолировать</w:t>
      </w:r>
      <w:r>
        <w:rPr>
          <w:rFonts w:ascii="Gentium Basic" w:hAnsi="Gentium Basic" w:cs="Gentium Basic"/>
          <w:color w:val="444444"/>
          <w:sz w:val="30"/>
          <w:szCs w:val="30"/>
          <w:shd w:val="clear" w:color="auto" w:fill="FFFFFF"/>
        </w:rPr>
        <w:t>»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(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напомним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,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что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дерево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строится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до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тех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пор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,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пока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каждый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объект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не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окажется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в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отдельном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листе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).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Алгоритм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хорошо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отлавливает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именно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выбросы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 (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см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 xml:space="preserve">. </w:t>
      </w:r>
      <w:r>
        <w:rPr>
          <w:rFonts w:ascii="Calibri" w:hAnsi="Calibri" w:cs="Calibri"/>
          <w:color w:val="444444"/>
          <w:sz w:val="30"/>
          <w:szCs w:val="30"/>
          <w:shd w:val="clear" w:color="auto" w:fill="FFFFFF"/>
        </w:rPr>
        <w:t>рис</w:t>
      </w:r>
      <w:r>
        <w:rPr>
          <w:rFonts w:ascii="Gentium Basic" w:hAnsi="Gentium Basic"/>
          <w:color w:val="444444"/>
          <w:sz w:val="30"/>
          <w:szCs w:val="30"/>
          <w:shd w:val="clear" w:color="auto" w:fill="FFFFFF"/>
        </w:rPr>
        <w:t>. 12).</w:t>
      </w:r>
    </w:p>
    <w:p w14:paraId="3E8A9921" w14:textId="3B7CE7AE" w:rsidR="004F382C" w:rsidRDefault="004F382C" w:rsidP="002A3C72">
      <w:pPr>
        <w:spacing w:after="0" w:line="240" w:lineRule="auto"/>
        <w:ind w:firstLine="720"/>
        <w:jc w:val="both"/>
        <w:rPr>
          <w:color w:val="444444"/>
          <w:sz w:val="30"/>
          <w:szCs w:val="30"/>
          <w:shd w:val="clear" w:color="auto" w:fill="FFFFFF"/>
        </w:rPr>
      </w:pPr>
    </w:p>
    <w:p w14:paraId="41D0E084" w14:textId="57F2B232" w:rsidR="006C2485" w:rsidRDefault="006C2485" w:rsidP="002A3C72">
      <w:pPr>
        <w:spacing w:after="0" w:line="240" w:lineRule="auto"/>
        <w:ind w:firstLine="720"/>
        <w:jc w:val="both"/>
        <w:rPr>
          <w:color w:val="444444"/>
          <w:sz w:val="30"/>
          <w:szCs w:val="30"/>
          <w:shd w:val="clear" w:color="auto" w:fill="FFFFFF"/>
        </w:rPr>
      </w:pPr>
      <w:r>
        <w:rPr>
          <w:color w:val="444444"/>
          <w:sz w:val="30"/>
          <w:szCs w:val="30"/>
          <w:shd w:val="clear" w:color="auto" w:fill="FFFFFF"/>
        </w:rPr>
        <w:t xml:space="preserve">Нейросети </w:t>
      </w:r>
      <w:proofErr w:type="spellStart"/>
      <w:r>
        <w:rPr>
          <w:color w:val="444444"/>
          <w:sz w:val="30"/>
          <w:szCs w:val="30"/>
          <w:shd w:val="clear" w:color="auto" w:fill="FFFFFF"/>
        </w:rPr>
        <w:t>автоэнкодеры</w:t>
      </w:r>
      <w:proofErr w:type="spellEnd"/>
      <w:r>
        <w:rPr>
          <w:color w:val="444444"/>
          <w:sz w:val="30"/>
          <w:szCs w:val="30"/>
          <w:shd w:val="clear" w:color="auto" w:fill="FFFFFF"/>
        </w:rPr>
        <w:t xml:space="preserve"> (из доклада Павла Филимонова в лаборатории </w:t>
      </w:r>
      <w:proofErr w:type="gramStart"/>
      <w:r>
        <w:rPr>
          <w:color w:val="444444"/>
          <w:sz w:val="30"/>
          <w:szCs w:val="30"/>
          <w:shd w:val="clear" w:color="auto" w:fill="FFFFFF"/>
        </w:rPr>
        <w:t>Касперского )</w:t>
      </w:r>
      <w:proofErr w:type="gramEnd"/>
    </w:p>
    <w:p w14:paraId="29643880" w14:textId="38FC5FA3" w:rsidR="004F382C" w:rsidRPr="002A3C72" w:rsidRDefault="004F382C" w:rsidP="002A3C72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29498AE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B214DE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Говоря о теоретической составляющей работы, нельзя не упомянуть временные ряды. Временной ряд представляет собой статистический материал о значении какого-либо параметра исследуемого процесса, собранный в разные моменты времени. В нашем случае мы планируем рассмотреть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содержащий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 системы: место обращения пользователя, его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-адрес, время выполнения действия, код ответа сервера и факт наличия ошибки. Таким образом, данные подходят под определение временного ряда: имеем вектор, где каждый элемент является показанием логов работы системы в момент времени t, рассматриваем только тот случай, когда такие показания возможно получить. Необходимо сопоставить каждому моменту t в соответствие какое-то значение, которое бы показывало, насколько в данный момент нетипичны значения временного ряда. При этом сами аномалии могут не быть похожи друг на друга, то есть их не удастся сгруппировать в один класс. Мы будем использовать при финальном тестировании достаточно объемный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желании вмещающий в себя информацию за месяцы работы. В таких случаях, когда временной ряд оказывается очень длинным, он для удобства разбивается на подряды меньшего размера, исходя из вычислительных мощностей.</w:t>
      </w:r>
    </w:p>
    <w:p w14:paraId="7FD75153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7E4B4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Перейдем к более техническому описанию нашего подхода к работе. В общем случае существует три подхода к обнаружению аномалий: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supervised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(“с учителем”),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semi-supervised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unsupervised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(“без учителя”) и неконтролируемые методы. В первом случае это чем-то напоминает бинарную классификацию. Мы имеем в качестве обучающей выборки уже размеченный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содержащий однозначные метки на точках, являющихся выбросами. Глядя на наш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можно уже сейчас сказать, что нам будет не очень удобно вручную размечать данные для обучения, ввиду их внушительного объема.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Semi-supervised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достаточно интересную характеристику: такой метод подразумевает то, что выборка, на которой мы обучаемся, гарантированно не содержит аномальных данных, предполагается, что они будут встречаться далее при тестировании. В третьем случае мы заранее не располагаем информацией о характеристиках аномалий. При детектировании их используются введенные метрики “расстояния” или “плотности”. Тогда подходят, например, алгоритмы k-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means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OneClassSVM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Isolation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Forests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Среди самых популярных алгоритмов в этой области вообще можно выделить: метод опорных векторов, нейронные сети, метод ближайших соседей и решающие деревья. Подробный сравнительный анализ будет представлен уже в основной работе, сейчас можно в общем сказать, что методы детектирования могут отличаться, в зависимости от качества выборки, от объема данных, </w:t>
      </w: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от желаемой скорости работы алгоритма, количества и характера потенциальных аномалий. Большинство разработанных систем отдают свое предпочтение нейронным сетям. Среди самых распространенных можно выделить: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Long-Short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(LSTM) - востребован за счет умения запоминать долгосрочные зависимости, применяется в анализе временных рядов; Иерархическая временная память (HTM) - основана на исследованиях в нейронауке, способная изучать и запоминать долгосрочные зависимости. Качество подхода определяется точностью полученного результата. Поэтому мы также ставим перед собой задачу разобраться, с какими аномалиями нам предстоит работать, определить для себя подход к их обнаружению и выбрать оптимальный алгоритм или комбинацию нескольких. Стоит отметить, что многие источники доказывают то, что самым эффективным подходом является комбинация нескольких алгоритмов. Вообще говоря, помимо методов машинного обучения в детектировании аномалий также применяются графические и статистические методы, но в своей курсовой работе мы решили ограничиться машинным обучением, так как уже сталкивались с ним и заинтересованы в его применении в промышленной разработке. Для облегчения аналитической части работы мы постараемся реализовать еще и визуализацию логов работы системы, чтобы сразу оценить характер аномалий.  </w:t>
      </w:r>
    </w:p>
    <w:p w14:paraId="00ED7123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9F17B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результатов работы планируется выбрать теоретический подход для детектирования аномалий и прогнозирования нагрузки и реализовать на его основе интегрируемую систему, которая бы позволяла на основании логов серверов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микросервисной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архитектуры на </w:t>
      </w:r>
      <w:proofErr w:type="spellStart"/>
      <w:r w:rsidRPr="002A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Kubernetes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выполнять свои задачи. Также планируется интегрировать эту систему в серверную инфраструктуру отдела мобильных приложений дирекции по порталу и мобильным приложениям Национального исследовательского университета «Высшая школа экономики», которая в данный момент занимается обработкой запросов от 5 мобильных приложений в суммарном количестве около 500 000 запросов в сутки. Помимо прочего ставим для себя цель разобраться в более продвинутом использовании машинного обучения, изучить существующие статьи и математическое обоснование эффективности предложенных алгоритмов. Хотелось бы, чтобы наша система имела дальнейшее развитие и применения и оказалась полезна не только внутри университета, но и за его пределами.</w:t>
      </w:r>
    </w:p>
    <w:p w14:paraId="6E51DB22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0A425" w14:textId="77777777" w:rsidR="002A3C72" w:rsidRPr="002A3C72" w:rsidRDefault="002A3C72" w:rsidP="002A3C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итоге мы планируем построить рабочий процесс таким образом:</w:t>
      </w:r>
    </w:p>
    <w:p w14:paraId="11B5FA2F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НОЯБРЬ - ЯНВАРЬ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постановка задачи, поиск источников литературы и сравнение существующих аналогов;</w:t>
      </w:r>
    </w:p>
    <w:p w14:paraId="0D4B8F48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ЯНВАРЬ - ФЕВРАЛЬ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анализ алгоритмов и выбор оптимального для решения поставленной задачи, теоретическое обоснование эффективности выбранного метода;</w:t>
      </w:r>
    </w:p>
    <w:p w14:paraId="26C46518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МАРТ: реализация механизма визуализации и детектирования аномалий, прогнозирования нагрузки в распределенных системах с помощью методов машинного обучения;</w:t>
      </w:r>
    </w:p>
    <w:p w14:paraId="57671C70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МАРТ - АПРЕЛЬ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интеграция реализованной системы в серверную инфраструктуру отдела мобильных приложений Национального исследовательского университета «Высшая школа экономики»;</w:t>
      </w:r>
    </w:p>
    <w:p w14:paraId="29BAE2E9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АПРЕЛЬ: тестирование реализованной системы, анализ полученных результатов, написание текста курсовой работы;</w:t>
      </w:r>
    </w:p>
    <w:p w14:paraId="019FBF8B" w14:textId="77777777" w:rsidR="002A3C72" w:rsidRPr="002A3C72" w:rsidRDefault="002A3C72" w:rsidP="002A3C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МАЙ: успешная защита.</w:t>
      </w:r>
    </w:p>
    <w:p w14:paraId="6883E221" w14:textId="77777777" w:rsidR="002A3C72" w:rsidRPr="002A3C72" w:rsidRDefault="002A3C72" w:rsidP="002A3C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6F364" w14:textId="77777777" w:rsidR="002A3C72" w:rsidRPr="002A3C72" w:rsidRDefault="002A3C72" w:rsidP="002A3C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Источники:</w:t>
      </w:r>
    </w:p>
    <w:p w14:paraId="22341BBF" w14:textId="77777777" w:rsidR="002A3C72" w:rsidRPr="002A3C72" w:rsidRDefault="002A3C72" w:rsidP="002A3C7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Линдигрин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А.Н. Сравнительный анализ методов машинного обучения в задачах обнаружения сетевых аномалий [Текст]</w:t>
      </w:r>
    </w:p>
    <w:p w14:paraId="44192EC0" w14:textId="77777777" w:rsidR="002A3C72" w:rsidRPr="002A3C72" w:rsidRDefault="002A3C72" w:rsidP="002A3C7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Примечание о поиске аномалий - Машинное обучение - 2021 (</w:t>
      </w:r>
      <w:hyperlink r:id="rId7" w:history="1">
        <w:r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https://ru.sciencewal.com/68149-a-note-about-finding-anomalies-f9cedee38f0b-54</w:t>
        </w:r>
      </w:hyperlink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[Интернет-ресурс]</w:t>
      </w:r>
    </w:p>
    <w:p w14:paraId="152356B7" w14:textId="77777777" w:rsidR="002A3C72" w:rsidRPr="002A3C72" w:rsidRDefault="002A3C72" w:rsidP="002A3C7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Романов </w:t>
      </w:r>
      <w:proofErr w:type="gram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Н.А.</w:t>
      </w:r>
      <w:proofErr w:type="gram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Детектирование аномалий во временных рядах при помощи глубоких нейронных сетей [Текст]</w:t>
      </w:r>
    </w:p>
    <w:p w14:paraId="07C27197" w14:textId="77777777" w:rsidR="002A3C72" w:rsidRPr="002A3C72" w:rsidRDefault="002A3C72" w:rsidP="002A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C6FCB" w14:textId="77777777" w:rsidR="002A3C72" w:rsidRPr="002A3C72" w:rsidRDefault="002A3C72" w:rsidP="002A3C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2A3C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BA99298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8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https://itnan.ru/post.php?c=1&amp;p=532152</w:t>
        </w:r>
      </w:hyperlink>
    </w:p>
    <w:p w14:paraId="23698E83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9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https://ics-cert.kaspersky.ru/reports/2018/01/16/mlad-machine-learning-for-anomaly-detection/</w:t>
        </w:r>
      </w:hyperlink>
    </w:p>
    <w:p w14:paraId="238D0165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0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https://www.elastic.co/what-is/elasticsearch-machine-learning</w:t>
        </w:r>
      </w:hyperlink>
    </w:p>
    <w:p w14:paraId="737B564E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1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https://sematext.com</w:t>
        </w:r>
      </w:hyperlink>
    </w:p>
    <w:p w14:paraId="5DAAEDA3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2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https://research.google.com/pubs/archive/46283.pdf</w:t>
        </w:r>
      </w:hyperlink>
    </w:p>
    <w:p w14:paraId="016B7770" w14:textId="77777777" w:rsidR="002A3C72" w:rsidRPr="002A3C72" w:rsidRDefault="00305B1E" w:rsidP="002A3C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3" w:history="1">
        <w:r w:rsidR="002A3C72" w:rsidRPr="002A3C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https://towardsdatascience.com/time-series-analysis-for-machine-learning-with-python-626bee0d0205</w:t>
        </w:r>
      </w:hyperlink>
    </w:p>
    <w:p w14:paraId="6530B4BF" w14:textId="77777777" w:rsidR="00775EF2" w:rsidRDefault="00305B1E"/>
    <w:sectPr w:rsidR="00775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498"/>
    <w:multiLevelType w:val="multilevel"/>
    <w:tmpl w:val="7F2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98F"/>
    <w:multiLevelType w:val="multilevel"/>
    <w:tmpl w:val="579A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A7479"/>
    <w:multiLevelType w:val="multilevel"/>
    <w:tmpl w:val="4B0E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020F8"/>
    <w:multiLevelType w:val="multilevel"/>
    <w:tmpl w:val="123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F174C"/>
    <w:multiLevelType w:val="multilevel"/>
    <w:tmpl w:val="CC0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72"/>
    <w:rsid w:val="000B7680"/>
    <w:rsid w:val="002A3C72"/>
    <w:rsid w:val="00305B1E"/>
    <w:rsid w:val="004F382C"/>
    <w:rsid w:val="006C2485"/>
    <w:rsid w:val="00715F62"/>
    <w:rsid w:val="00D24BDD"/>
    <w:rsid w:val="00E50833"/>
    <w:rsid w:val="00E7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4928"/>
  <w15:chartTrackingRefBased/>
  <w15:docId w15:val="{2464CD15-C437-48ED-81C9-9A604348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3C72"/>
    <w:rPr>
      <w:color w:val="0000FF"/>
      <w:u w:val="single"/>
    </w:rPr>
  </w:style>
  <w:style w:type="character" w:styleId="a5">
    <w:name w:val="Strong"/>
    <w:basedOn w:val="a0"/>
    <w:uiPriority w:val="22"/>
    <w:qFormat/>
    <w:rsid w:val="002A3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an.ru/post.php?c=1&amp;p=532152" TargetMode="External"/><Relationship Id="rId13" Type="http://schemas.openxmlformats.org/officeDocument/2006/relationships/hyperlink" Target="https://towardsdatascience.com/time-series-analysis-for-machine-learning-with-python-626bee0d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sciencewal.com/68149-a-note-about-finding-anomalies-f9cedee38f0b-54" TargetMode="External"/><Relationship Id="rId12" Type="http://schemas.openxmlformats.org/officeDocument/2006/relationships/hyperlink" Target="https://research.google.com/pubs/archive/4628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nju.edu.cn/zhouzh/zhouzh.files/publication/icdm08b.pdf" TargetMode="External"/><Relationship Id="rId11" Type="http://schemas.openxmlformats.org/officeDocument/2006/relationships/hyperlink" Target="https://sematext.com" TargetMode="External"/><Relationship Id="rId5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astic.co/what-is/elasticsearch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s-cert.kaspersky.ru/reports/2018/01/16/mlad-machine-learning-for-anomaly-dete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4705</TotalTime>
  <Pages>5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Лежанкина Александра Игоревна</dc:creator>
  <cp:keywords/>
  <dc:description/>
  <cp:lastModifiedBy>Лежанкина Александра Игоревна</cp:lastModifiedBy>
  <cp:revision>3</cp:revision>
  <dcterms:created xsi:type="dcterms:W3CDTF">2021-04-23T14:19:00Z</dcterms:created>
  <dcterms:modified xsi:type="dcterms:W3CDTF">2021-05-09T14:37:00Z</dcterms:modified>
</cp:coreProperties>
</file>