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helpdesk-entrega-da-sprint-1"/>
    <w:p>
      <w:pPr>
        <w:pStyle w:val="Title"/>
        <w:spacing w:before="0"/>
      </w:pPr>
      <w:r>
        <w:t xml:space="preserve">HelpDesk: entrega da Sprint 1</w:t>
      </w:r>
    </w:p>
    <w:p>
      <w:pPr>
        <w:pStyle w:val="FirstParagraph"/>
      </w:pPr>
      <w:r>
        <w:t xml:space="preserve">Disciplina: Laboratório de Engenharia de Software</w:t>
      </w:r>
      <w:r>
        <w:br/>
      </w:r>
      <w:r>
        <w:t xml:space="preserve">Integrante: Leandro Pinzon Filho | Desenvolvimento individual</w:t>
      </w:r>
      <w:r>
        <w:br/>
      </w:r>
      <w:r>
        <w:t xml:space="preserve">Papel principal: Tech Lead | Entrega: 29/10/2026</w:t>
      </w:r>
      <w:r>
        <w:br/>
      </w:r>
      <w:r>
        <w:t xml:space="preserve">Repositório:</w:t>
      </w:r>
      <w:r>
        <w:t xml:space="preserve"> </w:t>
      </w:r>
      <w:hyperlink r:id="rId20">
        <w:r>
          <w:rPr>
            <w:rStyle w:val="Hyperlink"/>
          </w:rPr>
          <w:t xml:space="preserve">https://github.com/Lfijho/chamadosLES</w:t>
        </w:r>
      </w:hyperlink>
    </w:p>
    <w:bookmarkStart w:id="21" w:name="identificação-e-objetivo"/>
    <w:p>
      <w:pPr>
        <w:pStyle w:val="Heading2"/>
      </w:pPr>
      <w:r>
        <w:t xml:space="preserve">1. Identificação e objetivo</w:t>
      </w:r>
    </w:p>
    <w:p>
      <w:pPr>
        <w:pStyle w:val="FirstParagraph"/>
      </w:pPr>
      <w:r>
        <w:t xml:space="preserve">O projeto HelpDesk, Sistema de Controle de Chamados de TI, busca centralizar solicitações de suporte. Quando os pedidos ficam dispersos, o registro dos problemas e o acompanhamento do atendimento se tornam mais difíceis. O sistema organiza a abertura e, nas próximas Sprints, a consulta e o atendimento dos chamados.</w:t>
      </w:r>
    </w:p>
    <w:p>
      <w:pPr>
        <w:pStyle w:val="BodyText"/>
      </w:pPr>
      <w:r>
        <w:t xml:space="preserve">O solicitante registra problemas e poderá acompanhar os próprios chamados. O técnico poderá consultar os chamados e conduzir o atendimento. Nesta Sprint, o solicitante abre chamados; o técnico acessa uma página inicial com o escopo futuro e o quadro de tarefas do desenvolvimento.</w:t>
      </w:r>
    </w:p>
    <w:bookmarkEnd w:id="21"/>
    <w:bookmarkStart w:id="22" w:name="equipe-e-responsabilidades"/>
    <w:p>
      <w:pPr>
        <w:pStyle w:val="Heading2"/>
      </w:pPr>
      <w:r>
        <w:t xml:space="preserve">2. Equipe e responsabilidades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CCD3D7"/>
          <w:left w:val="single" w:sz="4" w:color="CCD3D7"/>
          <w:bottom w:val="single" w:sz="4" w:color="CCD3D7"/>
          <w:right w:val="single" w:sz="4" w:color="CCD3D7"/>
          <w:insideH w:val="single" w:sz="4" w:color="CCD3D7"/>
          <w:insideV w:val="single" w:sz="4" w:color="CCD3D7"/>
        </w:tblBorders>
      </w:tblPr>
      <w:tblGrid>
        <w:gridCol w:w="2894"/>
        <w:gridCol w:w="2195"/>
        <w:gridCol w:w="4889"/>
      </w:tblGrid>
      <w:tr>
        <w:trPr>
          <w:tblHeader w:val="true"/>
          <w:cantSplit/>
          <w:tblHeader/>
        </w:trPr>
        <w:tc>
          <w:tcPr>
            <w:tcW w:type="dxa" w:w="2894"/>
            <w:vAlign w:val="center"/>
            <w:shd w:fill="EDF1F2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b/>
                <w:sz w:val="19"/>
              </w:rPr>
              <w:t xml:space="preserve">Integrante</w:t>
            </w:r>
          </w:p>
        </w:tc>
        <w:tc>
          <w:tcPr>
            <w:tcW w:type="dxa" w:w="2195"/>
            <w:vAlign w:val="center"/>
            <w:shd w:fill="EDF1F2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b/>
                <w:sz w:val="19"/>
              </w:rPr>
              <w:t xml:space="preserve">Responsabilidade principal</w:t>
            </w:r>
          </w:p>
        </w:tc>
        <w:tc>
          <w:tcPr>
            <w:tcW w:type="dxa" w:w="4889"/>
            <w:vAlign w:val="center"/>
            <w:shd w:fill="EDF1F2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b/>
                <w:sz w:val="19"/>
              </w:rPr>
              <w:t xml:space="preserve">Atividades acumuladas</w:t>
            </w:r>
          </w:p>
        </w:tc>
      </w:tr>
      <w:tr>
        <w:trPr>
          <w:cantSplit/>
        </w:trPr>
        <w:tc>
          <w:tcPr>
            <w:tcW w:type="dxa" w:w="2894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Leandro Pinzon Filho</w:t>
            </w:r>
          </w:p>
        </w:tc>
        <w:tc>
          <w:tcPr>
            <w:tcW w:type="dxa" w:w="2195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Tech Lead</w:t>
            </w:r>
          </w:p>
        </w:tc>
        <w:tc>
          <w:tcPr>
            <w:tcW w:type="dxa" w:w="4889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Requisitos, planejamento, arquitetura, desenvolvimento, testes, infraestrutura, documentação e apresentação</w:t>
            </w:r>
          </w:p>
        </w:tc>
      </w:tr>
    </w:tbl>
    <w:p>
      <w:pPr>
        <w:pStyle w:val="BodyText"/>
      </w:pPr>
      <w:r>
        <w:t xml:space="preserve">O desenvolvimento é individual. Tech Lead identifica a responsabilidade técnica do projeto; não é um papel oficial do SCRUM. A organização utiliza backlog versionado, planejamento por Sprint, acompanhamento no Kanban e revisão por testes e inspeção. O histórico Git registra os blocos de trabalho e suas verificações.</w:t>
      </w:r>
    </w:p>
    <w:p>
      <w:pPr>
        <w:pStyle w:val="BodyText"/>
      </w:pPr>
      <w:r>
        <w:t xml:space="preserve">A retrospectiva prevista no planejamento não tem ata ou registro formal confirmado nas fontes consultadas. Não se declara uma equipe SCRUM completa nem a realização de cerimônias sem evidência.</w:t>
      </w:r>
    </w:p>
    <w:bookmarkEnd w:id="22"/>
    <w:bookmarkStart w:id="23" w:name="escopo-do-projeto-e-da-sprint-1"/>
    <w:p>
      <w:pPr>
        <w:pStyle w:val="Heading2"/>
      </w:pPr>
      <w:r>
        <w:t xml:space="preserve">3. Escopo do projeto e da Sprint 1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4" w:color="CCD3D7"/>
          <w:left w:val="single" w:sz="4" w:color="CCD3D7"/>
          <w:bottom w:val="single" w:sz="4" w:color="CCD3D7"/>
          <w:right w:val="single" w:sz="4" w:color="CCD3D7"/>
          <w:insideH w:val="single" w:sz="4" w:color="CCD3D7"/>
          <w:insideV w:val="single" w:sz="4" w:color="CCD3D7"/>
        </w:tblBorders>
      </w:tblPr>
      <w:tblGrid>
        <w:gridCol w:w="1197"/>
        <w:gridCol w:w="7284"/>
        <w:gridCol w:w="1497"/>
      </w:tblGrid>
      <w:tr>
        <w:trPr>
          <w:tblHeader w:val="true"/>
          <w:cantSplit/>
          <w:tblHeader/>
        </w:trPr>
        <w:tc>
          <w:tcPr>
            <w:tcW w:type="dxa" w:w="1197"/>
            <w:vAlign w:val="center"/>
            <w:shd w:fill="EDF1F2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b/>
                <w:sz w:val="19"/>
              </w:rPr>
              <w:t xml:space="preserve">Código</w:t>
            </w:r>
          </w:p>
        </w:tc>
        <w:tc>
          <w:tcPr>
            <w:tcW w:type="dxa" w:w="7284"/>
            <w:vAlign w:val="center"/>
            <w:shd w:fill="EDF1F2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b/>
                <w:sz w:val="19"/>
              </w:rPr>
              <w:t xml:space="preserve">Funcionalidade</w:t>
            </w:r>
          </w:p>
        </w:tc>
        <w:tc>
          <w:tcPr>
            <w:tcW w:type="dxa" w:w="1497"/>
            <w:vAlign w:val="center"/>
            <w:shd w:fill="EDF1F2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b/>
                <w:sz w:val="19"/>
              </w:rPr>
              <w:t xml:space="preserve">Sprint</w:t>
            </w:r>
          </w:p>
        </w:tc>
      </w:tr>
      <w:tr>
        <w:trPr>
          <w:cantSplit/>
        </w:trPr>
        <w:tc>
          <w:tcPr>
            <w:tcW w:type="dxa" w:w="1197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RF01</w:t>
            </w:r>
          </w:p>
        </w:tc>
        <w:tc>
          <w:tcPr>
            <w:tcW w:type="dxa" w:w="7284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Autenticar usuários</w:t>
            </w:r>
          </w:p>
        </w:tc>
        <w:tc>
          <w:tcPr>
            <w:tcW w:type="dxa" w:w="1497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197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RF02</w:t>
            </w:r>
          </w:p>
        </w:tc>
        <w:tc>
          <w:tcPr>
            <w:tcW w:type="dxa" w:w="7284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Abrir chamado</w:t>
            </w:r>
          </w:p>
        </w:tc>
        <w:tc>
          <w:tcPr>
            <w:tcW w:type="dxa" w:w="1497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197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RF03</w:t>
            </w:r>
          </w:p>
        </w:tc>
        <w:tc>
          <w:tcPr>
            <w:tcW w:type="dxa" w:w="7284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Consultar chamados com filtros e permissões</w:t>
            </w:r>
          </w:p>
        </w:tc>
        <w:tc>
          <w:tcPr>
            <w:tcW w:type="dxa" w:w="1497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197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RF04</w:t>
            </w:r>
          </w:p>
        </w:tc>
        <w:tc>
          <w:tcPr>
            <w:tcW w:type="dxa" w:w="7284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Atualizar prioridade, status e solução</w:t>
            </w:r>
          </w:p>
        </w:tc>
        <w:tc>
          <w:tcPr>
            <w:tcW w:type="dxa" w:w="1497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197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RF05</w:t>
            </w:r>
          </w:p>
        </w:tc>
        <w:tc>
          <w:tcPr>
            <w:tcW w:type="dxa" w:w="7284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Registrar e consultar histórico</w:t>
            </w:r>
          </w:p>
        </w:tc>
        <w:tc>
          <w:tcPr>
            <w:tcW w:type="dxa" w:w="1497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197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RF06</w:t>
            </w:r>
          </w:p>
        </w:tc>
        <w:tc>
          <w:tcPr>
            <w:tcW w:type="dxa" w:w="7284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Consultar indicadores por status e prioridade</w:t>
            </w:r>
          </w:p>
        </w:tc>
        <w:tc>
          <w:tcPr>
            <w:tcW w:type="dxa" w:w="1497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3</w:t>
            </w:r>
          </w:p>
        </w:tc>
      </w:tr>
    </w:tbl>
    <w:p>
      <w:pPr>
        <w:pStyle w:val="BodyText"/>
      </w:pPr>
      <w:r>
        <w:t xml:space="preserve">A Sprint 1 entrega login e logout, perfis, proteção das rotas, abertura persistente de chamados e confirmação privada com protocolo. Também entrega o ambiente Docker, testes e documentação UML.</w:t>
      </w:r>
    </w:p>
    <w:p>
      <w:pPr>
        <w:pStyle w:val="BodyText"/>
      </w:pPr>
      <w:r>
        <w:t xml:space="preserve">O Kanban é uma ferramenta auxiliar de acompanhamento do desenvolvimento, exclusiva do técnico. Suas colunas representam tarefas acadêmicas, não estados de chamados. A consulta de chamados pelo técnico, os filtros e a gestão do atendimento permanecem para a Sprint 2. Histórico e indicadores ficam para a Sprint 3.</w:t>
      </w:r>
    </w:p>
    <w:bookmarkEnd w:id="23"/>
    <w:bookmarkStart w:id="27" w:name="requisitos-e-regras-de-negócio"/>
    <w:p>
      <w:pPr>
        <w:pStyle w:val="Heading2"/>
        <w:pageBreakBefore/>
      </w:pPr>
      <w:r>
        <w:t xml:space="preserve">4. Requisitos e regras de negócio</w:t>
      </w:r>
    </w:p>
    <w:bookmarkStart w:id="24" w:name="requisitos-funcionais-entregues"/>
    <w:p>
      <w:pPr>
        <w:pStyle w:val="Heading3"/>
      </w:pPr>
      <w:r>
        <w:t xml:space="preserve">4.1. Requisitos funcionais entregues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CCD3D7"/>
          <w:left w:val="single" w:sz="4" w:color="CCD3D7"/>
          <w:bottom w:val="single" w:sz="4" w:color="CCD3D7"/>
          <w:right w:val="single" w:sz="4" w:color="CCD3D7"/>
          <w:insideH w:val="single" w:sz="4" w:color="CCD3D7"/>
          <w:insideV w:val="single" w:sz="4" w:color="CCD3D7"/>
        </w:tblBorders>
      </w:tblPr>
      <w:tblGrid>
        <w:gridCol w:w="1796"/>
        <w:gridCol w:w="4690"/>
        <w:gridCol w:w="3492"/>
      </w:tblGrid>
      <w:tr>
        <w:trPr>
          <w:tblHeader w:val="true"/>
          <w:cantSplit/>
          <w:tblHeader/>
        </w:trPr>
        <w:tc>
          <w:tcPr>
            <w:tcW w:type="dxa" w:w="1796"/>
            <w:vAlign w:val="center"/>
            <w:shd w:fill="EDF1F2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tcW w:type="dxa" w:w="4690"/>
            <w:vAlign w:val="center"/>
            <w:shd w:fill="EDF1F2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b/>
                <w:sz w:val="19"/>
              </w:rPr>
              <w:t xml:space="preserve">Descrição implementada</w:t>
            </w:r>
          </w:p>
        </w:tc>
        <w:tc>
          <w:tcPr>
            <w:tcW w:type="dxa" w:w="3492"/>
            <w:vAlign w:val="center"/>
            <w:shd w:fill="EDF1F2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b/>
                <w:sz w:val="19"/>
              </w:rPr>
              <w:t xml:space="preserve">Verificação</w:t>
            </w:r>
          </w:p>
        </w:tc>
      </w:tr>
      <w:tr>
        <w:trPr>
          <w:cantSplit/>
        </w:trPr>
        <w:tc>
          <w:tcPr>
            <w:tcW w:type="dxa" w:w="1796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RF01</w:t>
            </w:r>
          </w:p>
        </w:tc>
        <w:tc>
          <w:tcPr>
            <w:tcW w:type="dxa" w:w="4690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Login com e-mail e senha para solicitante e técnico; logout por POST; sessão e permissões verificadas no servidor</w:t>
            </w:r>
          </w:p>
        </w:tc>
        <w:tc>
          <w:tcPr>
            <w:tcW w:type="dxa" w:w="3492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Testes de login válido/inválido, expiração, revogação, redirecionamento e rotas privadas</w:t>
            </w:r>
          </w:p>
        </w:tc>
      </w:tr>
      <w:tr>
        <w:trPr>
          <w:cantSplit/>
        </w:trPr>
        <w:tc>
          <w:tcPr>
            <w:tcW w:type="dxa" w:w="1796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RF02</w:t>
            </w:r>
          </w:p>
        </w:tc>
        <w:tc>
          <w:tcPr>
            <w:tcW w:type="dxa" w:w="4690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Solicitante autenticado abre chamado e recebe protocolo e resumo; confirmação acessível somente ao autor</w:t>
            </w:r>
          </w:p>
        </w:tc>
        <w:tc>
          <w:tcPr>
            <w:tcW w:type="dxa" w:w="3492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Testes de criação, validação, autoria, status, UTC, escape e acesso de outro usuário</w:t>
            </w:r>
          </w:p>
        </w:tc>
      </w:tr>
    </w:tbl>
    <w:bookmarkEnd w:id="24"/>
    <w:bookmarkStart w:id="25" w:name="regras-de-negócio-implementadas"/>
    <w:p>
      <w:pPr>
        <w:pStyle w:val="Heading3"/>
      </w:pPr>
      <w:r>
        <w:t xml:space="preserve">4.2. Regras de negócio implementadas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CCD3D7"/>
          <w:left w:val="single" w:sz="4" w:color="CCD3D7"/>
          <w:bottom w:val="single" w:sz="4" w:color="CCD3D7"/>
          <w:right w:val="single" w:sz="4" w:color="CCD3D7"/>
          <w:insideH w:val="single" w:sz="4" w:color="CCD3D7"/>
          <w:insideV w:val="single" w:sz="4" w:color="CCD3D7"/>
        </w:tblBorders>
      </w:tblPr>
      <w:tblGrid>
        <w:gridCol w:w="1098"/>
        <w:gridCol w:w="8880"/>
      </w:tblGrid>
      <w:tr>
        <w:trPr>
          <w:tblHeader w:val="true"/>
          <w:cantSplit/>
          <w:tblHeader/>
        </w:trPr>
        <w:tc>
          <w:tcPr>
            <w:tcW w:type="dxa" w:w="1098"/>
            <w:vAlign w:val="center"/>
            <w:shd w:fill="EDF1F2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tcW w:type="dxa" w:w="8880"/>
            <w:vAlign w:val="center"/>
            <w:shd w:fill="EDF1F2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b/>
                <w:sz w:val="19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1098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RN01</w:t>
            </w:r>
          </w:p>
        </w:tc>
        <w:tc>
          <w:tcPr>
            <w:tcW w:type="dxa" w:w="8880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E-mail obrigatório, válido, até 254 caracteres, com espaços externos removidos e letras normalizadas para minúsculas. Senha obrigatória, até 128 caracteres. Credenciais incorretas recebem mensagem genérica</w:t>
            </w:r>
          </w:p>
        </w:tc>
      </w:tr>
      <w:tr>
        <w:trPr>
          <w:cantSplit/>
        </w:trPr>
        <w:tc>
          <w:tcPr>
            <w:tcW w:type="dxa" w:w="1098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RN02</w:t>
            </w:r>
          </w:p>
        </w:tc>
        <w:tc>
          <w:tcPr>
            <w:tcW w:type="dxa" w:w="8880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Título de 5 a 120 caracteres e descrição de 10 a 5.000, após remover espaços externos. Categoria obrigatória: Hardware, Software, Rede, Acessos ou Outros</w:t>
            </w:r>
          </w:p>
        </w:tc>
      </w:tr>
      <w:tr>
        <w:trPr>
          <w:cantSplit/>
        </w:trPr>
        <w:tc>
          <w:tcPr>
            <w:tcW w:type="dxa" w:w="1098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RN03</w:t>
            </w:r>
          </w:p>
        </w:tc>
        <w:tc>
          <w:tcPr>
            <w:tcW w:type="dxa" w:w="8880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O servidor define o solicitante a partir da sessão, gera UUID v4 e protocolo HD-, atribui status Aberto e registra abertura UTC. Campos extras do cliente não alteram esses valores</w:t>
            </w:r>
          </w:p>
        </w:tc>
      </w:tr>
      <w:tr>
        <w:trPr>
          <w:cantSplit/>
        </w:trPr>
        <w:tc>
          <w:tcPr>
            <w:tcW w:type="dxa" w:w="1098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RN04</w:t>
            </w:r>
          </w:p>
        </w:tc>
        <w:tc>
          <w:tcPr>
            <w:tcW w:type="dxa" w:w="8880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Somente solicitante abre chamados. Técnico recebe 403. Na confirmação, chamado ausente ou de outro solicitante retorna 404; acesso anônimo exige login</w:t>
            </w:r>
          </w:p>
        </w:tc>
      </w:tr>
      <w:tr>
        <w:trPr>
          <w:cantSplit/>
        </w:trPr>
        <w:tc>
          <w:tcPr>
            <w:tcW w:type="dxa" w:w="1098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RN05</w:t>
            </w:r>
          </w:p>
        </w:tc>
        <w:tc>
          <w:tcPr>
            <w:tcW w:type="dxa" w:w="8880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Após salvar, o servidor responde 303 para um GET de confirmação. Atualizar essa página não repete o envio. Um novo envio explícito pode criar outro chamado</w:t>
            </w:r>
          </w:p>
        </w:tc>
      </w:tr>
      <w:tr>
        <w:trPr>
          <w:cantSplit/>
        </w:trPr>
        <w:tc>
          <w:tcPr>
            <w:tcW w:type="dxa" w:w="1098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RN06</w:t>
            </w:r>
          </w:p>
        </w:tc>
        <w:tc>
          <w:tcPr>
            <w:tcW w:type="dxa" w:w="8880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Apenas técnico consulta e move tarefas do Kanban. A sincronização preserva colunas existentes e tarefas extras; o seed não redefine senhas</w:t>
            </w:r>
          </w:p>
        </w:tc>
      </w:tr>
    </w:tbl>
    <w:bookmarkEnd w:id="25"/>
    <w:bookmarkStart w:id="26" w:name="requisitos-não-funcionais-verificados"/>
    <w:p>
      <w:pPr>
        <w:pStyle w:val="Heading3"/>
      </w:pPr>
      <w:r>
        <w:t xml:space="preserve">4.3. Requisitos não funcionais verificados</w:t>
      </w:r>
    </w:p>
    <w:p>
      <w:pPr>
        <w:pStyle w:val="FirstParagraph"/>
      </w:pPr>
      <w:r>
        <w:t xml:space="preserve">Os identificadores abaixo mantêm a referência usada em</w:t>
      </w:r>
      <w:r>
        <w:t xml:space="preserve"> </w:t>
      </w:r>
      <w:r>
        <w:rPr>
          <w:rStyle w:val="VerbatimChar"/>
        </w:rPr>
        <w:t xml:space="preserve">docs/sprint-1.md</w:t>
      </w:r>
      <w:r>
        <w:t xml:space="preserve">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CCD3D7"/>
          <w:left w:val="single" w:sz="4" w:color="CCD3D7"/>
          <w:bottom w:val="single" w:sz="4" w:color="CCD3D7"/>
          <w:right w:val="single" w:sz="4" w:color="CCD3D7"/>
          <w:insideH w:val="single" w:sz="4" w:color="CCD3D7"/>
          <w:insideV w:val="single" w:sz="4" w:color="CCD3D7"/>
        </w:tblBorders>
      </w:tblPr>
      <w:tblGrid>
        <w:gridCol w:w="1796"/>
        <w:gridCol w:w="4690"/>
        <w:gridCol w:w="3492"/>
      </w:tblGrid>
      <w:tr>
        <w:trPr>
          <w:tblHeader w:val="true"/>
          <w:cantSplit/>
          <w:tblHeader/>
        </w:trPr>
        <w:tc>
          <w:tcPr>
            <w:tcW w:type="dxa" w:w="1796"/>
            <w:vAlign w:val="center"/>
            <w:shd w:fill="EDF1F2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tcW w:type="dxa" w:w="4690"/>
            <w:vAlign w:val="center"/>
            <w:shd w:fill="EDF1F2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b/>
                <w:sz w:val="19"/>
              </w:rPr>
              <w:t xml:space="preserve">Condição atendida</w:t>
            </w:r>
          </w:p>
        </w:tc>
        <w:tc>
          <w:tcPr>
            <w:tcW w:type="dxa" w:w="3492"/>
            <w:vAlign w:val="center"/>
            <w:shd w:fill="EDF1F2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b/>
                <w:sz w:val="19"/>
              </w:rPr>
              <w:t xml:space="preserve">Verificação atual</w:t>
            </w:r>
          </w:p>
        </w:tc>
      </w:tr>
      <w:tr>
        <w:trPr>
          <w:cantSplit/>
        </w:trPr>
        <w:tc>
          <w:tcPr>
            <w:tcW w:type="dxa" w:w="1796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RNF01/RNF02</w:t>
            </w:r>
          </w:p>
        </w:tc>
        <w:tc>
          <w:tcPr>
            <w:tcW w:type="dxa" w:w="4690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Compose prepara a aplicação; Gunicorn sem debug executa como UID/GID 10001</w:t>
            </w:r>
          </w:p>
        </w:tc>
        <w:tc>
          <w:tcPr>
            <w:tcW w:type="dxa" w:w="3492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Build, inicialização isolada,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 saúde HTTP</w:t>
            </w:r>
          </w:p>
        </w:tc>
      </w:tr>
      <w:tr>
        <w:trPr>
          <w:cantSplit/>
        </w:trPr>
        <w:tc>
          <w:tcPr>
            <w:tcW w:type="dxa" w:w="1796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RNF03/RNF05</w:t>
            </w:r>
          </w:p>
        </w:tc>
        <w:tc>
          <w:tcPr>
            <w:tcW w:type="dxa" w:w="4690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Senhas com scrypt; chave aleatória persistida; cookie HttpOnly/SameSite=Lax; sessão limitada a 8 horas no servidor</w:t>
            </w:r>
          </w:p>
        </w:tc>
        <w:tc>
          <w:tcPr>
            <w:tcW w:type="dxa" w:w="3492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Código, testes de hash, chave, cookie e expiração</w:t>
            </w:r>
          </w:p>
        </w:tc>
      </w:tr>
      <w:tr>
        <w:trPr>
          <w:cantSplit/>
        </w:trPr>
        <w:tc>
          <w:tcPr>
            <w:tcW w:type="dxa" w:w="1796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RNF04/RNF06</w:t>
            </w:r>
          </w:p>
        </w:tc>
        <w:tc>
          <w:tcPr>
            <w:tcW w:type="dxa" w:w="4690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CSRF nos POSTs, escape e validação; limite de 5 falhas por conta ou 30 por IP em janela de 10 minutos</w:t>
            </w:r>
          </w:p>
        </w:tc>
        <w:tc>
          <w:tcPr>
            <w:tcW w:type="dxa" w:w="3492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Testes de CSRF, conteúdo HTML, limites e bloqueio 429</w:t>
            </w:r>
          </w:p>
        </w:tc>
      </w:tr>
      <w:tr>
        <w:trPr>
          <w:cantSplit/>
        </w:trPr>
        <w:tc>
          <w:tcPr>
            <w:tcW w:type="dxa" w:w="1796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RNF07/RNF08</w:t>
            </w:r>
          </w:p>
        </w:tc>
        <w:tc>
          <w:tcPr>
            <w:tcW w:type="dxa" w:w="4690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SQLite persistente, migrações versionadas e seed idempotente</w:t>
            </w:r>
          </w:p>
        </w:tc>
        <w:tc>
          <w:tcPr>
            <w:tcW w:type="dxa" w:w="3492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Testes de migração/seed e recriação sem remover volume</w:t>
            </w:r>
          </w:p>
        </w:tc>
      </w:tr>
      <w:tr>
        <w:trPr>
          <w:cantSplit/>
        </w:trPr>
        <w:tc>
          <w:tcPr>
            <w:tcW w:type="dxa" w:w="1796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RNF09/RNF10</w:t>
            </w:r>
          </w:p>
        </w:tc>
        <w:tc>
          <w:tcPr>
            <w:tcW w:type="dxa" w:w="4690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Interface pt-BR com labels/foco, responsiva e sem dependência de CDN</w:t>
            </w:r>
          </w:p>
        </w:tc>
        <w:tc>
          <w:tcPr>
            <w:tcW w:type="dxa" w:w="3492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Chromium, axe e larguras 320, 390, 768 e 1440 px</w:t>
            </w:r>
          </w:p>
        </w:tc>
      </w:tr>
      <w:tr>
        <w:trPr>
          <w:cantSplit/>
        </w:trPr>
        <w:tc>
          <w:tcPr>
            <w:tcW w:type="dxa" w:w="1796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RNF11/RNF12</w:t>
            </w:r>
          </w:p>
        </w:tc>
        <w:tc>
          <w:tcPr>
            <w:tcW w:type="dxa" w:w="4690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Testes usam banco isolado; healthcheck consulta o esquema e tabelas</w:t>
            </w:r>
          </w:p>
        </w:tc>
        <w:tc>
          <w:tcPr>
            <w:tcW w:type="dxa" w:w="3492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Suíte local e resposta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/healthz</w:t>
            </w:r>
            <w:r>
              <w:rPr>
                <w:sz w:val="19"/>
              </w:rPr>
              <w:t xml:space="preserve">; CI remota pendente</w:t>
            </w:r>
          </w:p>
        </w:tc>
      </w:tr>
    </w:tbl>
    <w:p>
      <w:pPr>
        <w:pStyle w:val="BodyText"/>
      </w:pPr>
      <w:r>
        <w:t xml:space="preserve">No HTTP local, o cookie usa Secure desativado. Em HTTPS, a configuração prevê</w:t>
      </w:r>
      <w:r>
        <w:t xml:space="preserve"> </w:t>
      </w:r>
      <w:r>
        <w:rPr>
          <w:rStyle w:val="VerbatimChar"/>
        </w:rPr>
        <w:t xml:space="preserve">COOKIE_SECURE=true</w:t>
      </w:r>
      <w:r>
        <w:t xml:space="preserve">; TLS não foi implantado ou validado nesta entrega. Não há resultado de carga ou garantia de acessibilidade completa.</w:t>
      </w:r>
    </w:p>
    <w:bookmarkEnd w:id="26"/>
    <w:bookmarkEnd w:id="27"/>
    <w:bookmarkStart w:id="31" w:name="especificação-dos-casos-de-uso"/>
    <w:p>
      <w:pPr>
        <w:pStyle w:val="Heading2"/>
        <w:pageBreakBefore/>
      </w:pPr>
      <w:r>
        <w:t xml:space="preserve">5. Especificação dos casos de uso</w:t>
      </w:r>
    </w:p>
    <w:bookmarkStart w:id="28" w:name="uc01-realizar-login"/>
    <w:p>
      <w:pPr>
        <w:pStyle w:val="Heading3"/>
      </w:pPr>
      <w:r>
        <w:t xml:space="preserve">UC01: realizar login</w:t>
      </w:r>
    </w:p>
    <w:p>
      <w:pPr>
        <w:pStyle w:val="FirstParagraph"/>
      </w:pPr>
      <w:r>
        <w:t xml:space="preserve">Ator: solicitante ou técnico. Objetivo: acessar as funções do perfil. Precondições: conta provisionada, aplicação disponível e formulário com CSRF válido.</w:t>
      </w:r>
    </w:p>
    <w:p>
      <w:pPr>
        <w:numPr>
          <w:ilvl w:val="0"/>
          <w:numId w:val="1001"/>
        </w:numPr>
        <w:pStyle w:val="Compact"/>
      </w:pPr>
      <w:r>
        <w:t xml:space="preserve">O ator acessa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e informa e-mail e senha.</w:t>
      </w:r>
    </w:p>
    <w:p>
      <w:pPr>
        <w:numPr>
          <w:ilvl w:val="0"/>
          <w:numId w:val="1001"/>
        </w:numPr>
        <w:pStyle w:val="Compact"/>
      </w:pPr>
      <w:r>
        <w:t xml:space="preserve">O servidor valida CSRF, formato, tamanhos e limite de tentativas.</w:t>
      </w:r>
    </w:p>
    <w:p>
      <w:pPr>
        <w:numPr>
          <w:ilvl w:val="0"/>
          <w:numId w:val="1001"/>
        </w:numPr>
        <w:pStyle w:val="Compact"/>
      </w:pPr>
      <w:r>
        <w:t xml:space="preserve">A aplicação consulta a conta e verifica o hash scrypt.</w:t>
      </w:r>
    </w:p>
    <w:p>
      <w:pPr>
        <w:numPr>
          <w:ilvl w:val="0"/>
          <w:numId w:val="1001"/>
        </w:numPr>
        <w:pStyle w:val="Compact"/>
      </w:pPr>
      <w:r>
        <w:t xml:space="preserve">Com credenciais válidas, limpa a sessão anterior e persiste o hash de um novo token com expiração UTC.</w:t>
      </w:r>
    </w:p>
    <w:p>
      <w:pPr>
        <w:numPr>
          <w:ilvl w:val="0"/>
          <w:numId w:val="1001"/>
        </w:numPr>
        <w:pStyle w:val="Compact"/>
      </w:pPr>
      <w:r>
        <w:t xml:space="preserve">Responde 303 para um caminho local permitido em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 ou para</w:t>
      </w:r>
      <w:r>
        <w:t xml:space="preserve"> </w:t>
      </w:r>
      <w:r>
        <w:rPr>
          <w:rStyle w:val="VerbatimChar"/>
        </w:rPr>
        <w:t xml:space="preserve">/</w:t>
      </w:r>
      <w:r>
        <w:t xml:space="preserve">, e apresenta a página do perfil.</w:t>
      </w:r>
    </w:p>
    <w:p>
      <w:pPr>
        <w:pStyle w:val="FirstParagraph"/>
      </w:pPr>
      <w:r>
        <w:t xml:space="preserve">Alternativas e erros: credenciais incorretas exibem mensagem genérica e incrementam contadores; campos inválidos retornam 422; CSRF inválido retorna 400; limite atingido retorna 429. Um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externo ou desconhecido é ignorado. Usuário já autenticado retorna ao início.</w:t>
      </w:r>
    </w:p>
    <w:p>
      <w:pPr>
        <w:pStyle w:val="BodyText"/>
      </w:pPr>
      <w:r>
        <w:t xml:space="preserve">Pós-condições: sucesso cria uma sessão autenticada revogável; falha não autentica.</w:t>
      </w:r>
    </w:p>
    <w:bookmarkEnd w:id="28"/>
    <w:bookmarkStart w:id="29" w:name="uc02-realizar-logout"/>
    <w:p>
      <w:pPr>
        <w:pStyle w:val="Heading3"/>
      </w:pPr>
      <w:r>
        <w:t xml:space="preserve">UC02: realizar logout</w:t>
      </w:r>
    </w:p>
    <w:p>
      <w:pPr>
        <w:pStyle w:val="FirstParagraph"/>
      </w:pPr>
      <w:r>
        <w:t xml:space="preserve">Ator: usuário autenticado de qualquer perfil. Objetivo: encerrar a sessão atual. Precondições: sessão e CSRF válidos.</w:t>
      </w:r>
    </w:p>
    <w:p>
      <w:pPr>
        <w:numPr>
          <w:ilvl w:val="0"/>
          <w:numId w:val="1002"/>
        </w:numPr>
        <w:pStyle w:val="Compact"/>
      </w:pPr>
      <w:r>
        <w:t xml:space="preserve">O ator pressiona Sair; o navegador envia POST</w:t>
      </w:r>
      <w:r>
        <w:t xml:space="preserve"> </w:t>
      </w:r>
      <w:r>
        <w:rPr>
          <w:rStyle w:val="VerbatimChar"/>
        </w:rPr>
        <w:t xml:space="preserve">/logout</w:t>
      </w:r>
      <w:r>
        <w:t xml:space="preserve"> </w:t>
      </w:r>
      <w:r>
        <w:t xml:space="preserve">com CSRF e cookie.</w:t>
      </w:r>
    </w:p>
    <w:p>
      <w:pPr>
        <w:numPr>
          <w:ilvl w:val="0"/>
          <w:numId w:val="1002"/>
        </w:numPr>
        <w:pStyle w:val="Compact"/>
      </w:pPr>
      <w:r>
        <w:t xml:space="preserve">O servidor valida o token e resolve a sessão do usuário.</w:t>
      </w:r>
    </w:p>
    <w:p>
      <w:pPr>
        <w:numPr>
          <w:ilvl w:val="0"/>
          <w:numId w:val="1002"/>
        </w:numPr>
        <w:pStyle w:val="Compact"/>
      </w:pPr>
      <w:r>
        <w:t xml:space="preserve">Exclui do banco o registro de sessão correspondente ao hash do token.</w:t>
      </w:r>
    </w:p>
    <w:p>
      <w:pPr>
        <w:numPr>
          <w:ilvl w:val="0"/>
          <w:numId w:val="1002"/>
        </w:numPr>
        <w:pStyle w:val="Compact"/>
      </w:pPr>
      <w:r>
        <w:t xml:space="preserve">Limpa o token de autenticação do cookie e redireciona com 303 para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 página de login exibe a confirmação da saída.</w:t>
      </w:r>
    </w:p>
    <w:p>
      <w:pPr>
        <w:pStyle w:val="FirstParagraph"/>
      </w:pPr>
      <w:r>
        <w:t xml:space="preserve">Alternativas e erros: GET</w:t>
      </w:r>
      <w:r>
        <w:t xml:space="preserve"> </w:t>
      </w:r>
      <w:r>
        <w:rPr>
          <w:rStyle w:val="VerbatimChar"/>
        </w:rPr>
        <w:t xml:space="preserve">/logout</w:t>
      </w:r>
      <w:r>
        <w:t xml:space="preserve"> </w:t>
      </w:r>
      <w:r>
        <w:t xml:space="preserve">retorna 405; CSRF inválido retorna 400 sem executar logout. Com CSRF válido e sessão expirada, o acesso retorna ao login. Falha ao confirmar a exclusão no banco retorna erro 500; a saída deve ser tentada novamente.</w:t>
      </w:r>
    </w:p>
    <w:p>
      <w:pPr>
        <w:pStyle w:val="BodyText"/>
      </w:pPr>
      <w:r>
        <w:t xml:space="preserve">Pós-condições: a sessão atual fica revogada, inclusive para uma cópia do cookie anterior. Outras sessões do mesmo usuário não são encerradas.</w:t>
      </w:r>
    </w:p>
    <w:bookmarkEnd w:id="29"/>
    <w:bookmarkStart w:id="30" w:name="uc03-abrir-chamado"/>
    <w:p>
      <w:pPr>
        <w:pStyle w:val="Heading3"/>
      </w:pPr>
      <w:r>
        <w:t xml:space="preserve">UC03: abrir chamado</w:t>
      </w:r>
    </w:p>
    <w:p>
      <w:pPr>
        <w:pStyle w:val="FirstParagraph"/>
      </w:pPr>
      <w:r>
        <w:t xml:space="preserve">Ator: solicitante. Objetivo: registrar um problema e receber protocolo. Precondições: solicitante autenticado, banco disponível e formulário com CSRF válido.</w:t>
      </w:r>
    </w:p>
    <w:p>
      <w:pPr>
        <w:numPr>
          <w:ilvl w:val="0"/>
          <w:numId w:val="1003"/>
        </w:numPr>
        <w:pStyle w:val="Compact"/>
      </w:pPr>
      <w:r>
        <w:t xml:space="preserve">O ator acessa</w:t>
      </w:r>
      <w:r>
        <w:t xml:space="preserve"> </w:t>
      </w:r>
      <w:r>
        <w:rPr>
          <w:rStyle w:val="VerbatimChar"/>
        </w:rPr>
        <w:t xml:space="preserve">/chamados/novo</w:t>
      </w:r>
      <w:r>
        <w:t xml:space="preserve"> </w:t>
      </w:r>
      <w:r>
        <w:t xml:space="preserve">e preenche título, categoria e descrição.</w:t>
      </w:r>
    </w:p>
    <w:p>
      <w:pPr>
        <w:numPr>
          <w:ilvl w:val="0"/>
          <w:numId w:val="1003"/>
        </w:numPr>
        <w:pStyle w:val="Compact"/>
      </w:pPr>
      <w:r>
        <w:t xml:space="preserve">O servidor valida CSRF, sessão, perfil e os campos descritos em RN02.</w:t>
      </w:r>
    </w:p>
    <w:p>
      <w:pPr>
        <w:numPr>
          <w:ilvl w:val="0"/>
          <w:numId w:val="1003"/>
        </w:numPr>
        <w:pStyle w:val="Compact"/>
      </w:pPr>
      <w:r>
        <w:t xml:space="preserve">Cria e persiste o chamado com autor da sessão, UUID, status Aberto e abertura UTC.</w:t>
      </w:r>
    </w:p>
    <w:p>
      <w:pPr>
        <w:numPr>
          <w:ilvl w:val="0"/>
          <w:numId w:val="1003"/>
        </w:numPr>
        <w:pStyle w:val="Compact"/>
      </w:pPr>
      <w:r>
        <w:t xml:space="preserve">Responde 303 para</w:t>
      </w:r>
      <w:r>
        <w:t xml:space="preserve"> </w:t>
      </w:r>
      <w:r>
        <w:rPr>
          <w:rStyle w:val="VerbatimChar"/>
        </w:rPr>
        <w:t xml:space="preserve">/chamados/{uuid}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No GET, valida novamente o acesso e a propriedade e exibe protocolo e resumo com escape.</w:t>
      </w:r>
    </w:p>
    <w:p>
      <w:pPr>
        <w:pStyle w:val="FirstParagraph"/>
      </w:pPr>
      <w:r>
        <w:t xml:space="preserve">Alternativas e erros: campos inválidos retornam 422, com dados para correção; CSRF inválido retorna 400; técnico recebe 403. Acesso anônimo por GET exige login. Corpo acima de 32 KiB recebe 413. A confirmação de chamado alheio ou inexistente recebe 404; falha de persistência recebe 500 e rollback.</w:t>
      </w:r>
    </w:p>
    <w:p>
      <w:pPr>
        <w:pStyle w:val="BodyText"/>
      </w:pPr>
      <w:r>
        <w:t xml:space="preserve">Pós-condições: sucesso cria um chamado do ator. Erro de validação não cria registro; atualizar a confirmação repete apenas o GET.</w:t>
      </w:r>
    </w:p>
    <w:bookmarkEnd w:id="30"/>
    <w:bookmarkEnd w:id="31"/>
    <w:bookmarkStart w:id="35" w:name="implementação-da-sprint-1"/>
    <w:p>
      <w:pPr>
        <w:pStyle w:val="Heading2"/>
        <w:pageBreakBefore/>
      </w:pPr>
      <w:r>
        <w:t xml:space="preserve">6. Implementação da Sprint 1</w:t>
      </w:r>
    </w:p>
    <w:p>
      <w:pPr>
        <w:pStyle w:val="FirstParagraph"/>
      </w:pPr>
      <w:r>
        <w:t xml:space="preserve">A aplicação usa Flask com application factory. Rotas coordenam os fluxos, formulários validam entradas e o módulo de segurança concentra autorização, sessões e limite de tentativas. Modelos e migrações mantêm a estrutura do SQLite.</w:t>
      </w:r>
    </w:p>
    <w:p>
      <w:pPr>
        <w:pStyle w:val="BodyText"/>
      </w:pPr>
      <w:r>
        <w:t xml:space="preserve">A interface utiliza templates Jinja2 com escape automático e CSS local. Labels, mensagens junto aos campos, foco visível e layouts responsivos orientam o preenchimento.</w:t>
      </w:r>
    </w:p>
    <w:p>
      <w:pPr>
        <w:pStyle w:val="BodyText"/>
      </w:pPr>
      <w:r>
        <w:t xml:space="preserve">Os modelos abrangem usuários, chamados, sessões, contadores de login e tarefas. A migração inicial é</w:t>
      </w:r>
      <w:r>
        <w:t xml:space="preserve"> </w:t>
      </w:r>
      <w:r>
        <w:rPr>
          <w:rStyle w:val="VerbatimChar"/>
        </w:rPr>
        <w:t xml:space="preserve">3c65b6acc942</w:t>
      </w:r>
      <w:r>
        <w:t xml:space="preserve">;</w:t>
      </w:r>
      <w:r>
        <w:t xml:space="preserve"> </w:t>
      </w:r>
      <w:r>
        <w:rPr>
          <w:rStyle w:val="VerbatimChar"/>
        </w:rPr>
        <w:t xml:space="preserve">7b2f18c4a901</w:t>
      </w:r>
      <w:r>
        <w:t xml:space="preserve"> </w:t>
      </w:r>
      <w:r>
        <w:t xml:space="preserve">acrescenta a descrição das tarefas do Kanban. Datas no SQLite sem offset representam UTC. O modelo de chamado continua restrito ao status Aberto, sem atendimento ou histórico implementados.</w:t>
      </w:r>
    </w:p>
    <w:p>
      <w:pPr>
        <w:pStyle w:val="BodyText"/>
      </w:pPr>
      <w:r>
        <w:t xml:space="preserve">O provisionamento cria uma conta de cada perfil somente quando ausente, com senhas aleatórias. O banco armazena hashes; um arquivo protegido guarda as senhas iniciais para recuperação local pelo CLI. A chave da sessão também fica no volume, salvo quando fornecida por configuração. Os valores não são publicados neste documento.</w:t>
      </w:r>
    </w:p>
    <w:p>
      <w:pPr>
        <w:pStyle w:val="BodyText"/>
      </w:pPr>
      <w:r>
        <w:t xml:space="preserve">O Kanban contém ID, Sprint, prioridade, descrição e aceite, com movimento por seletor e botão. O catálogo tem 33 tarefas: 8 da Sprint 1, 12 da Sprint 2 e 13 da Sprint 3, incluindo os resumos preservados. Sincronizações atualizam metadados sem apagar tarefas ou sobrescrever colunas. Cadastrar as tarefas futuras não implementa seus requisitos.</w:t>
      </w:r>
    </w:p>
    <w:p>
      <w:pPr>
        <w:pStyle w:val="BodyText"/>
      </w:pPr>
      <w:r>
        <w:t xml:space="preserve">O Compose monta volume nomeado em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, aplica migrações e seed antes do Gunicorn e publica a porta somente em localhost. O processo usa usuário sem privilégios, recebe sinais por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e init e tem política</w:t>
      </w:r>
      <w:r>
        <w:t xml:space="preserve"> </w:t>
      </w:r>
      <w:r>
        <w:rPr>
          <w:rStyle w:val="VerbatimChar"/>
        </w:rPr>
        <w:t xml:space="preserve">unless-stopped</w:t>
      </w:r>
      <w:r>
        <w:t xml:space="preserve">. O healthcheck consulta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, que verifica revisão e tabelas do banco. Logs operacionais usam stdout/stderr sem corpo dos formulários ou cookies.</w:t>
      </w:r>
    </w:p>
    <w:p>
      <w:pPr>
        <w:pStyle w:val="CaptionedFigure"/>
        <w:keepNext/>
        <w:spacing w:after="0"/>
        <w:jc w:val="center"/>
      </w:pPr>
      <w:r>
        <w:drawing>
          <wp:inline>
            <wp:extent cx="5333997" cy="1953295"/>
            <wp:effectExtent b="0" l="0" r="0" t="0"/>
            <wp:docPr descr="Figura 1. Resumo de um chamado sintético criado no ambiente isolado de verificação." title="" id="33" name="Picture"/>
            <a:graphic>
              <a:graphicData uri="http://schemas.openxmlformats.org/drawingml/2006/picture">
                <pic:pic>
                  <pic:nvPicPr>
                    <pic:cNvPr descr="figures/confirmacao-sprint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997" cy="1953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Figura 1. Resumo de um chamado sintético criado no ambiente isolado de verificação.</w:t>
      </w:r>
    </w:p>
    <w:p>
      <w:pPr>
        <w:pStyle w:val="BodyText"/>
      </w:pPr>
      <w:r>
        <w:t xml:space="preserve">A confirmação demonstra a persistência de RF02. A página do técnico ainda não lista chamados; essa consulta pertence a RF03.</w:t>
      </w:r>
    </w:p>
    <w:bookmarkEnd w:id="35"/>
    <w:bookmarkStart w:id="52" w:name="diagramas-uml"/>
    <w:p>
      <w:pPr>
        <w:pStyle w:val="Heading2"/>
        <w:pageBreakBefore/>
      </w:pPr>
      <w:r>
        <w:t xml:space="preserve">7. Diagramas UML</w:t>
      </w:r>
    </w:p>
    <w:bookmarkStart w:id="39" w:name="casos-de-uso"/>
    <w:p>
      <w:pPr>
        <w:pStyle w:val="Heading3"/>
      </w:pPr>
      <w:r>
        <w:t xml:space="preserve">7.1. Casos de uso</w:t>
      </w:r>
    </w:p>
    <w:p>
      <w:pPr>
        <w:pStyle w:val="CaptionedFigure"/>
        <w:keepNext/>
        <w:spacing w:after="0"/>
        <w:jc w:val="center"/>
      </w:pPr>
      <w:r>
        <w:drawing>
          <wp:inline>
            <wp:extent cx="5333999" cy="3513053"/>
            <wp:effectExtent b="0" l="0" r="0" t="0"/>
            <wp:docPr descr="Figura 2. Casos de uso da Sprint 1 e o quadro acadêmico auxiliar." title="" id="37" name="Picture"/>
            <a:graphic>
              <a:graphicData uri="http://schemas.openxmlformats.org/drawingml/2006/picture">
                <pic:pic>
                  <pic:nvPicPr>
                    <pic:cNvPr descr="diagrams/entrega-use-case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999" cy="3513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Figura 2. Casos de uso da Sprint 1 e o quadro acadêmico auxiliar.</w:t>
      </w:r>
    </w:p>
    <w:p>
      <w:pPr>
        <w:pStyle w:val="BodyText"/>
      </w:pPr>
      <w:r>
        <w:t xml:space="preserve">Solicitante e técnico especializam o ator Usuário e compartilham login e logout. Abrir chamado pertence ao solicitante. O quadro e o movimento de tarefas ficam em um limite separado, exclusivo do técnico, para distinguir acompanhamento do desenvolvimento e suporte de TI.</w:t>
      </w:r>
    </w:p>
    <w:p>
      <w:pPr>
        <w:pStyle w:val="BodyText"/>
      </w:pPr>
      <w:r>
        <w:t xml:space="preserve">As figuras desta entrega são versões de leitura em A4 dos diagramas detalhados existentes. As sequências condensam rotas, formulários e funções de segurança no participante Flask e identificam SQLAlchemy junto ao SQLite. As mensagens mantêm a ordem e os comportamentos verificados no código.</w:t>
      </w:r>
    </w:p>
    <w:p>
      <w:pPr>
        <w:pStyle w:val="BodyText"/>
      </w:pPr>
      <w:r>
        <w:t xml:space="preserve">Os desenhos detalhados e suas fontes continuam em</w:t>
      </w:r>
      <w:r>
        <w:t xml:space="preserve"> </w:t>
      </w:r>
      <w:r>
        <w:rPr>
          <w:rStyle w:val="VerbatimChar"/>
        </w:rPr>
        <w:t xml:space="preserve">docs/diagrams/use-cases.*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login.*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logout.*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open-ticket.*</w:t>
      </w:r>
      <w:r>
        <w:t xml:space="preserve">. As versões incorporadas usam o prefixo</w:t>
      </w:r>
      <w:r>
        <w:t xml:space="preserve"> </w:t>
      </w:r>
      <w:r>
        <w:rPr>
          <w:rStyle w:val="VerbatimChar"/>
        </w:rPr>
        <w:t xml:space="preserve">entrega-</w:t>
      </w:r>
      <w:r>
        <w:t xml:space="preserve">, com fontes PlantUML, SVG e PNG no mesmo diretório. O procedimento de renderização é o mesmo.</w:t>
      </w:r>
    </w:p>
    <w:p>
      <w:pPr>
        <w:pStyle w:val="BodyText"/>
      </w:pPr>
      <w:r>
        <w:t xml:space="preserve">PlantUML foi adotado no lugar do diagrams.net inicialmente previsto para tornar os desenhos reproduzíveis e versionáveis. Não foi encontrada exigência de arquivo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no repositório.</w:t>
      </w:r>
    </w:p>
    <w:bookmarkEnd w:id="39"/>
    <w:bookmarkStart w:id="43" w:name="sequência-do-login"/>
    <w:p>
      <w:pPr>
        <w:pStyle w:val="Heading3"/>
        <w:pageBreakBefore/>
      </w:pPr>
      <w:r>
        <w:t xml:space="preserve">7.2. Sequência do login</w:t>
      </w:r>
    </w:p>
    <w:p>
      <w:pPr>
        <w:pStyle w:val="CaptionedFigure"/>
        <w:keepNext/>
        <w:spacing w:after="0"/>
        <w:jc w:val="center"/>
      </w:pPr>
      <w:r>
        <w:drawing>
          <wp:inline>
            <wp:extent cx="5334000" cy="6405527"/>
            <wp:effectExtent b="0" l="0" r="0" t="0"/>
            <wp:docPr descr="Figura 3. Validação de credenciais, criação da sessão e redirecionamento seguro." title="" id="41" name="Picture"/>
            <a:graphic>
              <a:graphicData uri="http://schemas.openxmlformats.org/drawingml/2006/picture">
                <pic:pic>
                  <pic:nvPicPr>
                    <pic:cNvPr descr="diagrams/entrega-logi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5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Figura 3. Validação de credenciais, criação da sessão e redirecionamento seguro.</w:t>
      </w:r>
    </w:p>
    <w:p>
      <w:pPr>
        <w:pStyle w:val="BodyText"/>
      </w:pPr>
      <w:r>
        <w:t xml:space="preserve">A sequência resume</w:t>
      </w:r>
      <w:r>
        <w:t xml:space="preserve"> </w:t>
      </w:r>
      <w:r>
        <w:rPr>
          <w:rStyle w:val="VerbatimChar"/>
        </w:rPr>
        <w:t xml:space="preserve">login()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LoginForm</w:t>
      </w:r>
      <w:r>
        <w:t xml:space="preserve">, limitadores,</w:t>
      </w:r>
      <w:r>
        <w:t xml:space="preserve"> </w:t>
      </w:r>
      <w:r>
        <w:rPr>
          <w:rStyle w:val="VerbatimChar"/>
        </w:rPr>
        <w:t xml:space="preserve">authenticate()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start_session()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load_user()</w:t>
      </w:r>
      <w:r>
        <w:t xml:space="preserve">. Credenciais inválidas atualizam os contadores; credenciais válidas geram sessão persistida e acesso à página do perfil. As rejeições por CSRF, campos e limite aparecem na nota.</w:t>
      </w:r>
    </w:p>
    <w:bookmarkEnd w:id="43"/>
    <w:bookmarkStart w:id="47" w:name="sequência-do-logout"/>
    <w:p>
      <w:pPr>
        <w:pStyle w:val="Heading3"/>
        <w:pageBreakBefore/>
      </w:pPr>
      <w:r>
        <w:t xml:space="preserve">7.3. Sequência do logout</w:t>
      </w:r>
    </w:p>
    <w:p>
      <w:pPr>
        <w:pStyle w:val="CaptionedFigure"/>
        <w:keepNext/>
        <w:spacing w:after="0"/>
        <w:jc w:val="center"/>
      </w:pPr>
      <w:r>
        <w:drawing>
          <wp:inline>
            <wp:extent cx="5334000" cy="6352466"/>
            <wp:effectExtent b="0" l="0" r="0" t="0"/>
            <wp:docPr descr="Figura 4. Revogação da sessão atual e retorno ao formulário de login." title="" id="45" name="Picture"/>
            <a:graphic>
              <a:graphicData uri="http://schemas.openxmlformats.org/drawingml/2006/picture">
                <pic:pic>
                  <pic:nvPicPr>
                    <pic:cNvPr descr="diagrams/entrega-logou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52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Figura 4. Revogação da sessão atual e retorno ao formulário de login.</w:t>
      </w:r>
    </w:p>
    <w:p>
      <w:pPr>
        <w:pStyle w:val="BodyText"/>
      </w:pPr>
      <w:r>
        <w:t xml:space="preserve">O POST valida CSRF e sessão antes de excluir</w:t>
      </w:r>
      <w:r>
        <w:t xml:space="preserve"> </w:t>
      </w:r>
      <w:r>
        <w:rPr>
          <w:rStyle w:val="VerbatimChar"/>
        </w:rPr>
        <w:t xml:space="preserve">LoginSession</w:t>
      </w:r>
      <w:r>
        <w:t xml:space="preserve">. O token de autenticação é removido do cookie após a confirmação no banco. O GET seguinte mostra o login e a mensagem de saída. A sessão antiga não volta a funcionar por reutilização do cookie.</w:t>
      </w:r>
    </w:p>
    <w:bookmarkEnd w:id="47"/>
    <w:bookmarkStart w:id="51" w:name="sequência-da-abertura-de-chamado"/>
    <w:p>
      <w:pPr>
        <w:pStyle w:val="Heading3"/>
        <w:pageBreakBefore/>
      </w:pPr>
      <w:r>
        <w:t xml:space="preserve">7.4. Sequência da abertura de chamado</w:t>
      </w:r>
    </w:p>
    <w:p>
      <w:pPr>
        <w:pStyle w:val="CaptionedFigure"/>
        <w:keepNext/>
        <w:spacing w:after="0"/>
        <w:jc w:val="center"/>
      </w:pPr>
      <w:r>
        <w:drawing>
          <wp:inline>
            <wp:extent cx="5334000" cy="6328981"/>
            <wp:effectExtent b="0" l="0" r="0" t="0"/>
            <wp:docPr descr="Figura 5. Abertura persistente e confirmação acessível somente ao proprietário." title="" id="49" name="Picture"/>
            <a:graphic>
              <a:graphicData uri="http://schemas.openxmlformats.org/drawingml/2006/picture">
                <pic:pic>
                  <pic:nvPicPr>
                    <pic:cNvPr descr="diagrams/entrega-open-ticket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28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Figura 5. Abertura persistente e confirmação acessível somente ao proprietário.</w:t>
      </w:r>
    </w:p>
    <w:p>
      <w:pPr>
        <w:pStyle w:val="BodyText"/>
      </w:pPr>
      <w:r>
        <w:t xml:space="preserve">A sequência cobre</w:t>
      </w:r>
      <w:r>
        <w:t xml:space="preserve"> </w:t>
      </w:r>
      <w:r>
        <w:rPr>
          <w:rStyle w:val="VerbatimChar"/>
        </w:rPr>
        <w:t xml:space="preserve">new_ticket()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TicketForm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ticket_confirmation()</w:t>
      </w:r>
      <w:r>
        <w:t xml:space="preserve">. O servidor define autor e valores iniciais e só confirma após o COMMIT. O redirecionamento aplica POST/Redirect/GET; a consulta da confirmação verifica novamente perfil e propriedade.</w:t>
      </w:r>
    </w:p>
    <w:bookmarkEnd w:id="51"/>
    <w:bookmarkEnd w:id="52"/>
    <w:bookmarkStart w:id="55" w:name="testes-e-resultados"/>
    <w:p>
      <w:pPr>
        <w:pStyle w:val="Heading2"/>
        <w:pageBreakBefore/>
      </w:pPr>
      <w:r>
        <w:t xml:space="preserve">8. Testes e resultados</w:t>
      </w:r>
    </w:p>
    <w:p>
      <w:pPr>
        <w:pStyle w:val="FirstParagraph"/>
      </w:pPr>
      <w:r>
        <w:t xml:space="preserve">A verificação para esta entrega foi refeita em 29/10/2026 sobre o código de referência</w:t>
      </w:r>
      <w:r>
        <w:t xml:space="preserve"> </w:t>
      </w:r>
      <w:r>
        <w:rPr>
          <w:rStyle w:val="VerbatimChar"/>
        </w:rPr>
        <w:t xml:space="preserve">85e04c8</w:t>
      </w:r>
      <w:r>
        <w:t xml:space="preserve">. A aplicação não estava em execução no início da inspeção; foi iniciada em um projeto Compose isolado, preservando os volumes existentes. Os ensaios usam dados sintéticos e um volume próprio.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CCD3D7"/>
          <w:left w:val="single" w:sz="4" w:color="CCD3D7"/>
          <w:bottom w:val="single" w:sz="4" w:color="CCD3D7"/>
          <w:right w:val="single" w:sz="4" w:color="CCD3D7"/>
          <w:insideH w:val="single" w:sz="4" w:color="CCD3D7"/>
          <w:insideV w:val="single" w:sz="4" w:color="CCD3D7"/>
        </w:tblBorders>
      </w:tblPr>
      <w:tblGrid>
        <w:gridCol w:w="2694"/>
        <w:gridCol w:w="7284"/>
      </w:tblGrid>
      <w:tr>
        <w:trPr>
          <w:tblHeader w:val="true"/>
          <w:cantSplit/>
          <w:tblHeader/>
        </w:trPr>
        <w:tc>
          <w:tcPr>
            <w:tcW w:type="dxa" w:w="2694"/>
            <w:vAlign w:val="center"/>
            <w:shd w:fill="EDF1F2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b/>
                <w:sz w:val="19"/>
              </w:rPr>
              <w:t xml:space="preserve">Verificação</w:t>
            </w:r>
          </w:p>
        </w:tc>
        <w:tc>
          <w:tcPr>
            <w:tcW w:type="dxa" w:w="7284"/>
            <w:vAlign w:val="center"/>
            <w:shd w:fill="EDF1F2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b/>
                <w:sz w:val="19"/>
              </w:rPr>
              <w:t xml:space="preserve">Resultado e evidência atual</w:t>
            </w:r>
          </w:p>
        </w:tc>
      </w:tr>
      <w:tr>
        <w:trPr>
          <w:cantSplit/>
        </w:trPr>
        <w:tc>
          <w:tcPr>
            <w:tcW w:type="dxa" w:w="2694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Testes automatizados locais</w:t>
            </w:r>
          </w:p>
        </w:tc>
        <w:tc>
          <w:tcPr>
            <w:tcW w:type="dxa" w:w="7284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47 testes passaram, sem warnings, em banco e estado temporários. Os 43 citados no registro inicial foram ampliados por 4 testes do catálogo e descrição do Kanban</w:t>
            </w:r>
          </w:p>
        </w:tc>
      </w:tr>
      <w:tr>
        <w:trPr>
          <w:cantSplit/>
        </w:trPr>
        <w:tc>
          <w:tcPr>
            <w:tcW w:type="dxa" w:w="2694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Compose e banco</w:t>
            </w:r>
          </w:p>
        </w:tc>
        <w:tc>
          <w:tcPr>
            <w:tcW w:type="dxa" w:w="7284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Configuração válida, imagem construída e serviço healthy no projeto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helpdesk-delivery-check</w:t>
            </w:r>
            <w:r>
              <w:rPr>
                <w:sz w:val="19"/>
              </w:rPr>
              <w:t xml:space="preserve">. Migrações e seed executados automaticamente; conferência de esquema sem alterações pendentes</w:t>
            </w:r>
          </w:p>
        </w:tc>
      </w:tr>
      <w:tr>
        <w:trPr>
          <w:cantSplit/>
        </w:trPr>
        <w:tc>
          <w:tcPr>
            <w:tcW w:type="dxa" w:w="2694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Saúde e execução</w:t>
            </w:r>
          </w:p>
        </w:tc>
        <w:tc>
          <w:tcPr>
            <w:tcW w:type="dxa" w:w="7284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rStyle w:val="VerbatimChar"/>
                <w:sz w:val="19"/>
              </w:rPr>
              <w:t xml:space="preserve">/healthz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respondeu 200. O container usa UID/GID 10001 e Gunicorn, com a porta de ensaio 8081 limitada a localhost; o padrão do projeto continua 8080</w:t>
            </w:r>
          </w:p>
        </w:tc>
      </w:tr>
      <w:tr>
        <w:trPr>
          <w:cantSplit/>
        </w:trPr>
        <w:tc>
          <w:tcPr>
            <w:tcW w:type="dxa" w:w="2694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Persistência</w:t>
            </w:r>
          </w:p>
        </w:tc>
        <w:tc>
          <w:tcPr>
            <w:tcW w:type="dxa" w:w="7284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Após recriação sem remoção de volume, o ensaio confirmou chamado, sessão, credenciais e coluna do Kanban; a coluna modificada no teste foi restaurada</w:t>
            </w:r>
          </w:p>
        </w:tc>
      </w:tr>
      <w:tr>
        <w:trPr>
          <w:cantSplit/>
        </w:trPr>
        <w:tc>
          <w:tcPr>
            <w:tcW w:type="dxa" w:w="2694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Navegador</w:t>
            </w:r>
          </w:p>
        </w:tc>
        <w:tc>
          <w:tcPr>
            <w:tcW w:type="dxa" w:w="7284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Playwright 1.64.1/Chromium percorreu login dos dois perfis, abertura, confirmação, atualização GET, logout e movimento do Kanban</w:t>
            </w:r>
          </w:p>
        </w:tc>
      </w:tr>
      <w:tr>
        <w:trPr>
          <w:cantSplit/>
        </w:trPr>
        <w:tc>
          <w:tcPr>
            <w:tcW w:type="dxa" w:w="2694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Responsividade e axe</w:t>
            </w:r>
          </w:p>
        </w:tc>
        <w:tc>
          <w:tcPr>
            <w:tcW w:type="dxa" w:w="7284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Nenhum overflow nas larguras 320/390/768/1440 px. Axe 4.11.1 não encontrou violações nos escopos A/AA executados em seis páginas</w:t>
            </w:r>
          </w:p>
        </w:tc>
      </w:tr>
      <w:tr>
        <w:trPr>
          <w:cantSplit/>
        </w:trPr>
        <w:tc>
          <w:tcPr>
            <w:tcW w:type="dxa" w:w="2694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CI no GitHub</w:t>
            </w:r>
          </w:p>
        </w:tc>
        <w:tc>
          <w:tcPr>
            <w:tcW w:type="dxa" w:w="7284"/>
            <w:vAlign w:val="center"/>
          </w:tcPr>
          <w:p>
            <w:pPr>
              <w:pStyle w:val="Compact"/>
              <w:spacing w:before="60" w:after="60" w:line="252" w:lineRule="auto"/>
              <w:jc w:val="left"/>
            </w:pPr>
            <w:r>
              <w:rPr>
                <w:sz w:val="19"/>
              </w:rPr>
              <w:t xml:space="preserve">Execuções consultadas terminaram com falha de infraestrutura, sem executar etapas; a anotação informa bloqueio da conta por faturamento</w:t>
            </w:r>
          </w:p>
        </w:tc>
      </w:tr>
    </w:tbl>
    <w:p>
      <w:pPr>
        <w:pStyle w:val="BodyText"/>
      </w:pPr>
      <w:r>
        <w:t xml:space="preserve">A suíte cobre credenciais, expiração, logout revogável, rotas privadas, autor/status/UTC, limites dos campos, categoria inválida, CSRF, escape, acesso a chamado alheio, restrições do técnico, Kanban e seed idempotente. Também verifica limites por conta/IP, redirecionamento seguro, indisponibilidade do banco e preservação de dados na migração.</w:t>
      </w:r>
    </w:p>
    <w:p>
      <w:pPr>
        <w:pStyle w:val="BodyText"/>
      </w:pPr>
      <w:r>
        <w:t xml:space="preserve">As seis páginas auditadas foram login, início do solicitante, abertura, confirmação, início do técnico e Kanban. O script conferiu o foco inicial de teclado e gerou capturas em desktop e celular emulados. Ausência de violações no axe não comprova acessibilidade completa. Não houve teste com leitor de tela, aparelho físico, Firefox ou Safari.</w:t>
      </w:r>
    </w:p>
    <w:p>
      <w:pPr>
        <w:pStyle w:val="BodyText"/>
      </w:pPr>
      <w:r>
        <w:t xml:space="preserve">A execução informada anteriormente,</w:t>
      </w:r>
      <w:r>
        <w:t xml:space="preserve"> </w:t>
      </w:r>
      <w:hyperlink r:id="rId53">
        <w:r>
          <w:rPr>
            <w:rStyle w:val="Hyperlink"/>
          </w:rPr>
          <w:t xml:space="preserve">39866630979</w:t>
        </w:r>
      </w:hyperlink>
      <w:r>
        <w:t xml:space="preserve">, continua sem etapas. A consulta da execução do incremento</w:t>
      </w:r>
      <w:r>
        <w:t xml:space="preserve"> </w:t>
      </w:r>
      <w:r>
        <w:rPr>
          <w:rStyle w:val="VerbatimChar"/>
        </w:rPr>
        <w:t xml:space="preserve">85e04c8</w:t>
      </w:r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39868270652</w:t>
        </w:r>
      </w:hyperlink>
      <w:r>
        <w:t xml:space="preserve">, confirmou o mesmo bloqueio. Isso não é uma falha da suíte local; a aprovação da CI permanece pendente.</w:t>
      </w:r>
    </w:p>
    <w:bookmarkEnd w:id="55"/>
    <w:bookmarkStart w:id="56" w:name="execução-e-demonstração"/>
    <w:p>
      <w:pPr>
        <w:pStyle w:val="Heading2"/>
        <w:pageBreakBefore/>
      </w:pPr>
      <w:r>
        <w:t xml:space="preserve">9. Execução e demonstração</w:t>
      </w:r>
    </w:p>
    <w:p>
      <w:pPr>
        <w:pStyle w:val="FirstParagraph"/>
      </w:pPr>
      <w:r>
        <w:t xml:space="preserve">Com Docker e Compose disponíveis, execute na raiz do repositório:</w:t>
      </w:r>
    </w:p>
    <w:p>
      <w:pPr>
        <w:pStyle w:val="SourceCode"/>
      </w:pPr>
      <w:r>
        <w:rPr>
          <w:rStyle w:val="VerbatimChar"/>
        </w:rPr>
        <w:t xml:space="preserve">docker compose up -d</w:t>
      </w:r>
      <w:r>
        <w:br/>
      </w:r>
      <w:r>
        <w:rPr>
          <w:rStyle w:val="VerbatimChar"/>
        </w:rPr>
        <w:t xml:space="preserve">docker compose exec app flask demo-credentials</w:t>
      </w:r>
    </w:p>
    <w:p>
      <w:pPr>
        <w:pStyle w:val="FirstParagraph"/>
      </w:pPr>
      <w:r>
        <w:t xml:space="preserve">O endereço padrão é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. O segundo comando mostra localmente as credenciais iniciais dos dois perfis. Não publique sua saída. Para código atualizado em uma imagem já construída, use</w:t>
      </w:r>
      <w:r>
        <w:t xml:space="preserve"> </w:t>
      </w:r>
      <w:r>
        <w:rPr>
          <w:rStyle w:val="VerbatimChar"/>
        </w:rPr>
        <w:t xml:space="preserve">docker compose up -d --build</w:t>
      </w:r>
      <w:r>
        <w:t xml:space="preserve">.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permite conferir a saúde.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conserva o volume; não remova volumes com dados a preservar.</w:t>
      </w:r>
    </w:p>
    <w:p>
      <w:pPr>
        <w:pStyle w:val="BodyText"/>
      </w:pPr>
      <w:r>
        <w:t xml:space="preserve">Testes isolados e renderização dos diagramas:</w:t>
      </w:r>
    </w:p>
    <w:p>
      <w:pPr>
        <w:pStyle w:val="SourceCode"/>
      </w:pPr>
      <w:r>
        <w:rPr>
          <w:rStyle w:val="VerbatimChar"/>
        </w:rPr>
        <w:t xml:space="preserve">docker build --target test -t helpdesk-tests .</w:t>
      </w:r>
      <w:r>
        <w:br/>
      </w:r>
      <w:r>
        <w:rPr>
          <w:rStyle w:val="VerbatimChar"/>
        </w:rPr>
        <w:t xml:space="preserve">docker run --rm helpdesk-tests</w:t>
      </w:r>
      <w:r>
        <w:br/>
      </w:r>
      <w:r>
        <w:rPr>
          <w:rStyle w:val="VerbatimChar"/>
        </w:rPr>
        <w:t xml:space="preserve">./scripts/render-diagrams.sh</w:t>
      </w:r>
    </w:p>
    <w:p>
      <w:pPr>
        <w:pStyle w:val="FirstParagraph"/>
      </w:pPr>
      <w:r>
        <w:t xml:space="preserve">Roteiro de demonstração:</w:t>
      </w:r>
    </w:p>
    <w:p>
      <w:pPr>
        <w:numPr>
          <w:ilvl w:val="0"/>
          <w:numId w:val="1004"/>
        </w:numPr>
        <w:pStyle w:val="Compact"/>
      </w:pPr>
      <w:r>
        <w:t xml:space="preserve">Iniciar a aplicação, conferir a saúde e recuperar as credenciais no terminal local.</w:t>
      </w:r>
    </w:p>
    <w:p>
      <w:pPr>
        <w:numPr>
          <w:ilvl w:val="0"/>
          <w:numId w:val="1004"/>
        </w:numPr>
        <w:pStyle w:val="Compact"/>
      </w:pPr>
      <w:r>
        <w:t xml:space="preserve">Autenticar como solicitante e mostrar a validação do formulário de abertura.</w:t>
      </w:r>
    </w:p>
    <w:p>
      <w:pPr>
        <w:numPr>
          <w:ilvl w:val="0"/>
          <w:numId w:val="1004"/>
        </w:numPr>
        <w:pStyle w:val="Compact"/>
      </w:pPr>
      <w:r>
        <w:t xml:space="preserve">Enviar um chamado válido e conferir protocolo, resumo, status Aberto e abertura UTC. Atualizar a confirmação para demonstrar o GET sem reenvio.</w:t>
      </w:r>
    </w:p>
    <w:p>
      <w:pPr>
        <w:numPr>
          <w:ilvl w:val="0"/>
          <w:numId w:val="1004"/>
        </w:numPr>
        <w:pStyle w:val="Compact"/>
      </w:pPr>
      <w:r>
        <w:t xml:space="preserve">Sair e mostrar que o endereço privado exige autenticação.</w:t>
      </w:r>
    </w:p>
    <w:p>
      <w:pPr>
        <w:numPr>
          <w:ilvl w:val="0"/>
          <w:numId w:val="1004"/>
        </w:numPr>
        <w:pStyle w:val="Compact"/>
      </w:pPr>
      <w:r>
        <w:t xml:space="preserve">Entrar como técnico, acessar Quadro do projeto e mover uma tarefa pelo seletor. Explicar que as tarefas do Kanban são do desenvolvimento e que a consulta dos chamados virá na Sprint 2.</w:t>
      </w:r>
    </w:p>
    <w:bookmarkEnd w:id="56"/>
    <w:bookmarkStart w:id="57" w:name="pendências-e-próximas-entregas"/>
    <w:p>
      <w:pPr>
        <w:pStyle w:val="Heading2"/>
      </w:pPr>
      <w:r>
        <w:t xml:space="preserve">10. Pendências e próximas entregas</w:t>
      </w:r>
    </w:p>
    <w:p>
      <w:pPr>
        <w:pStyle w:val="FirstParagraph"/>
      </w:pPr>
      <w:r>
        <w:t xml:space="preserve">RF01, RF02 e o Kanban auxiliar estão implementados e passaram nas verificações locais descritas. A validação remota da CI continua pendente por faturamento da conta. A tarefa S1-06 permanece em andamento por esse bloqueio; não se declara a Sprint integralmente validada.</w:t>
      </w:r>
    </w:p>
    <w:p>
      <w:pPr>
        <w:pStyle w:val="BodyText"/>
      </w:pPr>
      <w:r>
        <w:t xml:space="preserve">A entrega é uma demonstração local em HTTP. Publicação real exige TLS, revisão das contas de demonstração, gestão de segredos e procedimento de backup/restauração validado. Não foram executados testes de carga ou de recuperação de backup. As fontes consultadas não comprovam apresentação ao professor, gravação de vídeo ou postagem no LEX.</w:t>
      </w:r>
    </w:p>
    <w:p>
      <w:pPr>
        <w:pStyle w:val="BodyText"/>
      </w:pPr>
      <w:r>
        <w:t xml:space="preserve">A Sprint 2, prevista para 12/11/2026, inclui RF03/RF04: consulta e filtros com visibilidade por perfil, prioridade, transições de status e solução. Os eventos de status deverão ser gravados na mesma transação do chamado para preparar o histórico. A Sprint 3, prevista para 03/12/2026, inclui RF05/RF06, regressão, documentação final e entrega no LEX. No catálogo, as tarefas futuras estão em Backlog.</w:t>
      </w:r>
    </w:p>
    <w:p>
      <w:pPr>
        <w:pStyle w:val="BodyText"/>
      </w:pPr>
      <w:r>
        <w:t xml:space="preserve">Fontes consultadas: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docs/sprint-1.md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docs/verificacoes.md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docs/kanban.md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docs/backlog.yml</w:t>
      </w:r>
      <w:r>
        <w:t xml:space="preserve">; código em</w:t>
      </w:r>
      <w:r>
        <w:t xml:space="preserve"> </w:t>
      </w:r>
      <w:r>
        <w:rPr>
          <w:rStyle w:val="VerbatimChar"/>
        </w:rPr>
        <w:t xml:space="preserve">helpdesk/</w:t>
      </w:r>
      <w:r>
        <w:t xml:space="preserve">; migrações; testes; Compose/Dockerfile; workflow da CI; fontes/imagens UML. O histórico consultado contém os incrementos</w:t>
      </w:r>
      <w:r>
        <w:t xml:space="preserve"> </w:t>
      </w:r>
      <w:r>
        <w:rPr>
          <w:rStyle w:val="VerbatimChar"/>
        </w:rPr>
        <w:t xml:space="preserve">86ac70b</w:t>
      </w:r>
      <w:r>
        <w:t xml:space="preserve">,</w:t>
      </w:r>
      <w:r>
        <w:t xml:space="preserve"> </w:t>
      </w:r>
      <w:r>
        <w:rPr>
          <w:rStyle w:val="VerbatimChar"/>
        </w:rPr>
        <w:t xml:space="preserve">20ad9d1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85e04c8</w:t>
      </w:r>
      <w:r>
        <w:t xml:space="preserve">. Os resultados desta entrega também estão registrados em</w:t>
      </w:r>
      <w:r>
        <w:t xml:space="preserve"> </w:t>
      </w:r>
      <w:r>
        <w:rPr>
          <w:rStyle w:val="VerbatimChar"/>
        </w:rPr>
        <w:t xml:space="preserve">docs/verificacoes.md</w:t>
      </w:r>
      <w:r>
        <w:t xml:space="preserve">.</w:t>
      </w:r>
    </w:p>
    <w:bookmarkEnd w:id="57"/>
    <w:bookmarkEnd w:id="58"/>
    <w:sectPr>
      <w:footerReference w:type="default" r:id="rId9"/>
      <w:pgSz w:w="11906" w:h="16838"/>
      <w:pgMar w:top="935" w:bottom="935" w:left="964" w:right="964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  <w:instrText xml:space="preserve"> PAGE </w:instrText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  <w:instrText xml:space="preserve"> NUMPAGES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20" w:line="269" w:lineRule="auto"/>
    </w:pPr>
    <w:rPr>
      <w:rFonts w:ascii="Liberation Sans" w:hAnsi="Liberation Sans"/>
      <w:color w:val="202830"/>
      <w:sz w:val="21"/>
      <w:lang w:val="pt-BR"/>
    </w:rPr>
  </w:style>
  <w:style w:styleId="BodyText" w:type="paragraph">
    <w:name w:val="Body Text"/>
    <w:basedOn w:val="Normal"/>
    <w:link w:val="BodyTextChar"/>
    <w:pPr>
      <w:spacing w:after="120" w:before="180" w:line="269" w:lineRule="auto"/>
    </w:pPr>
    <w:qFormat/>
  </w:style>
  <w:style w:customStyle="1" w:styleId="FirstParagraph" w:type="paragraph">
    <w:name w:val="First Paragraph"/>
    <w:basedOn w:val="BodyText"/>
    <w:next w:val="BodyText"/>
    <w:qFormat/>
    <w:pPr>
      <w:spacing w:line="269" w:lineRule="auto" w:after="120"/>
    </w:pPr>
  </w:style>
  <w:style w:customStyle="1" w:styleId="Compact" w:type="paragraph">
    <w:name w:val="Compact"/>
    <w:basedOn w:val="BodyText"/>
    <w:qFormat/>
    <w:pPr>
      <w:spacing w:after="60" w:before="36" w:line="269" w:lineRule="auto"/>
    </w:pPr>
  </w:style>
  <w:style w:styleId="Title" w:type="paragraph">
    <w:name w:val="Title"/>
    <w:basedOn w:val="Normal"/>
    <w:next w:val="BodyText"/>
    <w:qFormat/>
    <w:pPr>
      <w:keepNext/>
      <w:keepLines/>
      <w:spacing w:after="120" w:before="140"/>
      <w:jc w:val="center"/>
    </w:pPr>
    <w:rPr>
      <w:rFonts w:asciiTheme="majorHAnsi" w:cstheme="majorBidi" w:eastAsiaTheme="majorEastAsia" w:hAnsiTheme="majorHAnsi" w:ascii="Liberation Sans" w:hAnsi="Liberation Sans"/>
      <w:b/>
      <w:bCs/>
      <w:color w:val="173A43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140"/>
      <w:outlineLvl w:val="0"/>
    </w:pPr>
    <w:rPr>
      <w:rFonts w:asciiTheme="majorHAnsi" w:cstheme="majorBidi" w:eastAsiaTheme="majorEastAsia" w:hAnsiTheme="majorHAnsi" w:ascii="Liberation Sans" w:hAnsi="Liberation Sans"/>
      <w:b/>
      <w:bCs/>
      <w:color w:val="173A4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140"/>
      <w:outlineLvl w:val="1"/>
    </w:pPr>
    <w:rPr>
      <w:rFonts w:asciiTheme="majorHAnsi" w:cstheme="majorBidi" w:eastAsiaTheme="majorEastAsia" w:hAnsiTheme="majorHAnsi" w:ascii="Liberation Sans" w:hAnsi="Liberation Sans"/>
      <w:b/>
      <w:bCs/>
      <w:color w:val="173A43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140"/>
      <w:outlineLvl w:val="2"/>
    </w:pPr>
    <w:rPr>
      <w:rFonts w:asciiTheme="majorHAnsi" w:cstheme="majorBidi" w:eastAsiaTheme="majorEastAsia" w:hAnsiTheme="majorHAnsi" w:ascii="Liberation Sans" w:hAnsi="Liberation Sans"/>
      <w:b/>
      <w:bCs/>
      <w:color w:val="173A43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before="80" w:after="120"/>
    </w:pPr>
    <w:rPr>
      <w:i w:val="0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Liberation Mono" w:hAnsi="Liberation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0" Type="http://schemas.openxmlformats.org/officeDocument/2006/relationships/image" Target="media/rId40.png"/><Relationship Id="rId44" Type="http://schemas.openxmlformats.org/officeDocument/2006/relationships/image" Target="media/rId44.png"/><Relationship Id="rId48" Type="http://schemas.openxmlformats.org/officeDocument/2006/relationships/image" Target="media/rId48.png"/><Relationship Id="rId36" Type="http://schemas.openxmlformats.org/officeDocument/2006/relationships/image" Target="media/rId36.png"/><Relationship Id="rId32" Type="http://schemas.openxmlformats.org/officeDocument/2006/relationships/image" Target="media/rId32.png"/><Relationship Id="rId20" Type="http://schemas.openxmlformats.org/officeDocument/2006/relationships/hyperlink" Target="https://github.com/Lfijho/chamadosLES" TargetMode="External"/><Relationship Id="rId53" Type="http://schemas.openxmlformats.org/officeDocument/2006/relationships/hyperlink" Target="https://github.com/Lfijho/chamadosLES/actions/runs/39866630979" TargetMode="External"/><Relationship Id="rId54" Type="http://schemas.openxmlformats.org/officeDocument/2006/relationships/hyperlink" Target="https://github.com/Lfijho/chamadosLES/actions/runs/39868270652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Lfijho/chamadosLES" TargetMode="External"/><Relationship Id="rId53" Type="http://schemas.openxmlformats.org/officeDocument/2006/relationships/hyperlink" Target="https://github.com/Lfijho/chamadosLES/actions/runs/39866630979" TargetMode="External"/><Relationship Id="rId54" Type="http://schemas.openxmlformats.org/officeDocument/2006/relationships/hyperlink" Target="https://github.com/Lfijho/chamadosLES/actions/runs/398682706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HelpDesk: entrega da Sprint 1</dc:title>
  <dc:creator>Leandro Pinzon Filho</dc:creator>
  <cp:keywords/>
  <dcterms:created xsi:type="dcterms:W3CDTF">2026-10-29T22:16:34Z</dcterms:created>
  <dcterms:modified xsi:type="dcterms:W3CDTF">2026-10-29T22:16:34Z</dcterms:modified>
  <cp:lastModifiedBy>Leandro Pinzon Filho</cp:lastModifiedBy>
  <dc:subject>Laboratório de Engenharia de Software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