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07C47" w14:textId="6D1A8759" w:rsidR="00BA4ED9" w:rsidRPr="00366B51" w:rsidRDefault="00366B51" w:rsidP="00BA4ED9">
      <w:pPr>
        <w:autoSpaceDE/>
        <w:autoSpaceDN/>
        <w:adjustRightInd/>
        <w:rPr>
          <w:rFonts w:ascii="Arial" w:hAnsi="Arial" w:cs="Arial"/>
          <w:sz w:val="22"/>
          <w:szCs w:val="22"/>
        </w:rPr>
      </w:pPr>
      <w:r w:rsidRPr="00366B51">
        <w:rPr>
          <w:rFonts w:ascii="Arial" w:hAnsi="Arial" w:cs="Arial"/>
          <w:sz w:val="22"/>
          <w:szCs w:val="22"/>
        </w:rPr>
        <w:t xml:space="preserve">Target Journal: </w:t>
      </w:r>
      <w:commentRangeStart w:id="0"/>
      <w:commentRangeStart w:id="1"/>
      <w:commentRangeStart w:id="2"/>
      <w:r w:rsidR="00BA4ED9" w:rsidRPr="00366B51">
        <w:rPr>
          <w:rFonts w:ascii="Arial" w:hAnsi="Arial" w:cs="Arial"/>
          <w:sz w:val="22"/>
          <w:szCs w:val="22"/>
          <w:u w:val="single"/>
        </w:rPr>
        <w:t>JESEE</w:t>
      </w:r>
      <w:commentRangeEnd w:id="0"/>
      <w:r w:rsidR="0033147F" w:rsidRPr="00366B51">
        <w:rPr>
          <w:rStyle w:val="CommentReference"/>
          <w:rFonts w:ascii="Arial" w:hAnsi="Arial" w:cs="Arial"/>
          <w:sz w:val="22"/>
          <w:szCs w:val="22"/>
        </w:rPr>
        <w:commentReference w:id="0"/>
      </w:r>
      <w:commentRangeEnd w:id="1"/>
      <w:r w:rsidR="00F64D3B" w:rsidRPr="00366B51">
        <w:rPr>
          <w:rStyle w:val="CommentReference"/>
          <w:rFonts w:ascii="Arial" w:hAnsi="Arial" w:cs="Arial"/>
          <w:sz w:val="22"/>
          <w:szCs w:val="22"/>
        </w:rPr>
        <w:commentReference w:id="1"/>
      </w:r>
      <w:commentRangeEnd w:id="2"/>
      <w:r w:rsidR="00F64D3B" w:rsidRPr="00366B51">
        <w:rPr>
          <w:rStyle w:val="CommentReference"/>
          <w:rFonts w:ascii="Arial" w:hAnsi="Arial" w:cs="Arial"/>
          <w:sz w:val="22"/>
          <w:szCs w:val="22"/>
        </w:rPr>
        <w:commentReference w:id="2"/>
      </w:r>
    </w:p>
    <w:p w14:paraId="106C74CE" w14:textId="77777777" w:rsidR="00BA4ED9" w:rsidRPr="00366B51" w:rsidRDefault="00BA4ED9" w:rsidP="00BA4ED9">
      <w:pPr>
        <w:pStyle w:val="ListParagraph"/>
        <w:numPr>
          <w:ilvl w:val="0"/>
          <w:numId w:val="3"/>
        </w:numPr>
        <w:autoSpaceDE/>
        <w:autoSpaceDN/>
        <w:adjustRightInd/>
        <w:rPr>
          <w:rFonts w:ascii="Arial" w:hAnsi="Arial" w:cs="Arial"/>
          <w:sz w:val="22"/>
          <w:szCs w:val="22"/>
        </w:rPr>
      </w:pPr>
      <w:r w:rsidRPr="00366B51">
        <w:rPr>
          <w:rFonts w:ascii="Arial" w:hAnsi="Arial" w:cs="Arial"/>
          <w:sz w:val="22"/>
          <w:szCs w:val="22"/>
        </w:rPr>
        <w:t>IF = 4.7</w:t>
      </w:r>
    </w:p>
    <w:p w14:paraId="2BC9C17A" w14:textId="77777777" w:rsidR="00BA4ED9" w:rsidRPr="00366B51" w:rsidRDefault="00BA4ED9" w:rsidP="00BA4ED9">
      <w:pPr>
        <w:pStyle w:val="ListParagraph"/>
        <w:numPr>
          <w:ilvl w:val="0"/>
          <w:numId w:val="3"/>
        </w:numPr>
        <w:autoSpaceDE/>
        <w:autoSpaceDN/>
        <w:adjustRightInd/>
        <w:rPr>
          <w:rFonts w:ascii="Arial" w:hAnsi="Arial" w:cs="Arial"/>
          <w:sz w:val="22"/>
          <w:szCs w:val="22"/>
        </w:rPr>
      </w:pPr>
      <w:r w:rsidRPr="00366B51">
        <w:rPr>
          <w:rFonts w:ascii="Arial" w:hAnsi="Arial" w:cs="Arial"/>
          <w:sz w:val="22"/>
          <w:szCs w:val="22"/>
        </w:rPr>
        <w:t>Word limit = 7,000</w:t>
      </w:r>
    </w:p>
    <w:p w14:paraId="76103976" w14:textId="77777777" w:rsidR="00BA4ED9" w:rsidRPr="00366B51" w:rsidRDefault="00BA4ED9" w:rsidP="00BA4ED9">
      <w:pPr>
        <w:pStyle w:val="ListParagraph"/>
        <w:numPr>
          <w:ilvl w:val="0"/>
          <w:numId w:val="3"/>
        </w:numPr>
        <w:autoSpaceDE/>
        <w:autoSpaceDN/>
        <w:adjustRightInd/>
        <w:rPr>
          <w:rFonts w:ascii="Arial" w:hAnsi="Arial" w:cs="Arial"/>
          <w:sz w:val="22"/>
          <w:szCs w:val="22"/>
        </w:rPr>
      </w:pPr>
      <w:r w:rsidRPr="00366B51">
        <w:rPr>
          <w:rFonts w:ascii="Arial" w:hAnsi="Arial" w:cs="Arial"/>
          <w:sz w:val="22"/>
          <w:szCs w:val="22"/>
        </w:rPr>
        <w:t>Ref limit = 75</w:t>
      </w:r>
    </w:p>
    <w:p w14:paraId="67796365" w14:textId="238D30A6" w:rsidR="00BA4ED9" w:rsidRPr="00366B51" w:rsidRDefault="00BA4ED9" w:rsidP="00BA4ED9">
      <w:pPr>
        <w:pStyle w:val="ListParagraph"/>
        <w:numPr>
          <w:ilvl w:val="0"/>
          <w:numId w:val="3"/>
        </w:numPr>
        <w:autoSpaceDE/>
        <w:autoSpaceDN/>
        <w:adjustRightInd/>
        <w:rPr>
          <w:rFonts w:ascii="Arial" w:hAnsi="Arial" w:cs="Arial"/>
          <w:sz w:val="22"/>
          <w:szCs w:val="22"/>
          <w:highlight w:val="yellow"/>
        </w:rPr>
      </w:pPr>
      <w:r w:rsidRPr="00366B51">
        <w:rPr>
          <w:rFonts w:ascii="Arial" w:hAnsi="Arial" w:cs="Arial"/>
          <w:sz w:val="22"/>
          <w:szCs w:val="22"/>
          <w:highlight w:val="yellow"/>
        </w:rPr>
        <w:t>Table</w:t>
      </w:r>
      <w:r w:rsidR="00AB6969" w:rsidRPr="00366B51">
        <w:rPr>
          <w:rFonts w:ascii="Arial" w:hAnsi="Arial" w:cs="Arial"/>
          <w:sz w:val="22"/>
          <w:szCs w:val="22"/>
          <w:highlight w:val="yellow"/>
        </w:rPr>
        <w:t xml:space="preserve"> + </w:t>
      </w:r>
      <w:r w:rsidRPr="00366B51">
        <w:rPr>
          <w:rFonts w:ascii="Arial" w:hAnsi="Arial" w:cs="Arial"/>
          <w:sz w:val="22"/>
          <w:szCs w:val="22"/>
          <w:highlight w:val="yellow"/>
        </w:rPr>
        <w:t xml:space="preserve">figure limit </w:t>
      </w:r>
      <w:r w:rsidR="00AB6969" w:rsidRPr="00366B51">
        <w:rPr>
          <w:rFonts w:ascii="Arial" w:hAnsi="Arial" w:cs="Arial"/>
          <w:sz w:val="22"/>
          <w:szCs w:val="22"/>
          <w:highlight w:val="yellow"/>
        </w:rPr>
        <w:t xml:space="preserve">in main text </w:t>
      </w:r>
      <w:r w:rsidRPr="00366B51">
        <w:rPr>
          <w:rFonts w:ascii="Arial" w:hAnsi="Arial" w:cs="Arial"/>
          <w:sz w:val="22"/>
          <w:szCs w:val="22"/>
          <w:highlight w:val="yellow"/>
        </w:rPr>
        <w:t>= 6 total</w:t>
      </w:r>
    </w:p>
    <w:p w14:paraId="36E6F960" w14:textId="77777777" w:rsidR="00BA4ED9" w:rsidRPr="00366B51" w:rsidRDefault="00BA4ED9" w:rsidP="00BA4ED9">
      <w:pPr>
        <w:pStyle w:val="ListParagraph"/>
        <w:numPr>
          <w:ilvl w:val="0"/>
          <w:numId w:val="3"/>
        </w:numPr>
        <w:autoSpaceDE/>
        <w:autoSpaceDN/>
        <w:adjustRightInd/>
        <w:rPr>
          <w:rFonts w:ascii="Arial" w:hAnsi="Arial" w:cs="Arial"/>
          <w:sz w:val="22"/>
          <w:szCs w:val="22"/>
        </w:rPr>
      </w:pPr>
      <w:r w:rsidRPr="00366B51">
        <w:rPr>
          <w:rFonts w:ascii="Arial" w:hAnsi="Arial" w:cs="Arial"/>
          <w:sz w:val="22"/>
          <w:szCs w:val="22"/>
        </w:rPr>
        <w:t xml:space="preserve">Relevant aims/scope: Environmental justice and highly impacted communities, Understand the sources, pathways, and patterns of exposure to legacy and emerging environmental </w:t>
      </w:r>
      <w:proofErr w:type="gramStart"/>
      <w:r w:rsidRPr="00366B51">
        <w:rPr>
          <w:rFonts w:ascii="Arial" w:hAnsi="Arial" w:cs="Arial"/>
          <w:sz w:val="22"/>
          <w:szCs w:val="22"/>
        </w:rPr>
        <w:t>stressors</w:t>
      </w:r>
      <w:proofErr w:type="gramEnd"/>
    </w:p>
    <w:p w14:paraId="7AE5176C" w14:textId="77777777" w:rsidR="00BA4ED9" w:rsidRPr="00B55185" w:rsidRDefault="00BA4ED9">
      <w:pPr>
        <w:autoSpaceDE/>
        <w:autoSpaceDN/>
        <w:adjustRightInd/>
        <w:rPr>
          <w:rFonts w:ascii="Arial" w:hAnsi="Arial" w:cs="Arial"/>
          <w:sz w:val="20"/>
          <w:szCs w:val="20"/>
          <w:u w:val="single"/>
        </w:rPr>
      </w:pPr>
    </w:p>
    <w:p w14:paraId="4E1F682A" w14:textId="2E92E79E" w:rsidR="005948C5" w:rsidRPr="00F64D3B" w:rsidRDefault="005948C5" w:rsidP="005948C5">
      <w:pPr>
        <w:autoSpaceDE/>
        <w:autoSpaceDN/>
        <w:adjustRightInd/>
        <w:rPr>
          <w:rFonts w:ascii="Arial" w:hAnsi="Arial" w:cs="Arial"/>
          <w:sz w:val="22"/>
          <w:szCs w:val="22"/>
        </w:rPr>
      </w:pPr>
      <w:r w:rsidRPr="00F64D3B">
        <w:rPr>
          <w:rFonts w:ascii="Arial" w:hAnsi="Arial" w:cs="Arial"/>
          <w:b/>
          <w:bCs/>
          <w:sz w:val="22"/>
          <w:szCs w:val="22"/>
        </w:rPr>
        <w:t>Title:</w:t>
      </w:r>
      <w:r w:rsidR="00CD4903" w:rsidRPr="00F64D3B">
        <w:rPr>
          <w:rFonts w:ascii="Arial" w:hAnsi="Arial" w:cs="Arial"/>
          <w:b/>
          <w:bCs/>
          <w:sz w:val="22"/>
          <w:szCs w:val="22"/>
        </w:rPr>
        <w:t xml:space="preserve"> </w:t>
      </w:r>
    </w:p>
    <w:p w14:paraId="14CB068F" w14:textId="12F5F3A6" w:rsidR="00D20EE0" w:rsidRPr="00F64D3B" w:rsidRDefault="00381CE3" w:rsidP="005948C5">
      <w:pPr>
        <w:autoSpaceDE/>
        <w:autoSpaceDN/>
        <w:adjustRightInd/>
        <w:rPr>
          <w:rFonts w:ascii="Arial" w:hAnsi="Arial" w:cs="Arial"/>
          <w:sz w:val="22"/>
          <w:szCs w:val="22"/>
        </w:rPr>
      </w:pPr>
      <w:r w:rsidRPr="00F64D3B">
        <w:rPr>
          <w:rFonts w:ascii="Arial" w:hAnsi="Arial" w:cs="Arial"/>
          <w:sz w:val="22"/>
          <w:szCs w:val="22"/>
        </w:rPr>
        <w:t xml:space="preserve">Volatile organic compound (VOC) concentrations and source apportionment in South </w:t>
      </w:r>
      <w:r w:rsidR="006F7296" w:rsidRPr="00F64D3B">
        <w:rPr>
          <w:rFonts w:ascii="Arial" w:hAnsi="Arial" w:cs="Arial"/>
          <w:sz w:val="22"/>
          <w:szCs w:val="22"/>
        </w:rPr>
        <w:t>Philadelphia</w:t>
      </w:r>
      <w:r w:rsidRPr="00F64D3B">
        <w:rPr>
          <w:rFonts w:ascii="Arial" w:hAnsi="Arial" w:cs="Arial"/>
          <w:sz w:val="22"/>
          <w:szCs w:val="22"/>
        </w:rPr>
        <w:t xml:space="preserve"> </w:t>
      </w:r>
      <w:proofErr w:type="spellStart"/>
      <w:r w:rsidRPr="00F64D3B">
        <w:rPr>
          <w:rFonts w:ascii="Arial" w:hAnsi="Arial" w:cs="Arial"/>
          <w:sz w:val="22"/>
          <w:szCs w:val="22"/>
        </w:rPr>
        <w:t>fenceline</w:t>
      </w:r>
      <w:proofErr w:type="spellEnd"/>
      <w:r w:rsidRPr="00F64D3B">
        <w:rPr>
          <w:rFonts w:ascii="Arial" w:hAnsi="Arial" w:cs="Arial"/>
          <w:sz w:val="22"/>
          <w:szCs w:val="22"/>
        </w:rPr>
        <w:t xml:space="preserve"> communities: results from </w:t>
      </w:r>
      <w:proofErr w:type="spellStart"/>
      <w:r w:rsidRPr="00F64D3B">
        <w:rPr>
          <w:rFonts w:ascii="Arial" w:hAnsi="Arial" w:cs="Arial"/>
          <w:sz w:val="22"/>
          <w:szCs w:val="22"/>
        </w:rPr>
        <w:t>THRIVEair</w:t>
      </w:r>
      <w:proofErr w:type="spellEnd"/>
      <w:r w:rsidRPr="00F64D3B">
        <w:rPr>
          <w:rFonts w:ascii="Arial" w:hAnsi="Arial" w:cs="Arial"/>
          <w:sz w:val="22"/>
          <w:szCs w:val="22"/>
        </w:rPr>
        <w:t>, a community-responsive air monitoring network</w:t>
      </w:r>
    </w:p>
    <w:p w14:paraId="25EBF5F1" w14:textId="77777777" w:rsidR="005948C5" w:rsidRPr="00F64D3B" w:rsidRDefault="005948C5" w:rsidP="005948C5">
      <w:pPr>
        <w:autoSpaceDE/>
        <w:autoSpaceDN/>
        <w:adjustRightInd/>
        <w:rPr>
          <w:rFonts w:ascii="Arial" w:hAnsi="Arial" w:cs="Arial"/>
          <w:sz w:val="22"/>
          <w:szCs w:val="22"/>
        </w:rPr>
      </w:pPr>
    </w:p>
    <w:p w14:paraId="6846DA7E" w14:textId="77777777" w:rsidR="005948C5" w:rsidRPr="00F64D3B" w:rsidRDefault="005948C5" w:rsidP="005948C5">
      <w:pPr>
        <w:autoSpaceDE/>
        <w:autoSpaceDN/>
        <w:adjustRightInd/>
        <w:rPr>
          <w:rFonts w:ascii="Arial" w:hAnsi="Arial" w:cs="Arial"/>
          <w:sz w:val="22"/>
          <w:szCs w:val="22"/>
        </w:rPr>
      </w:pPr>
      <w:r w:rsidRPr="00F64D3B">
        <w:rPr>
          <w:rFonts w:ascii="Arial" w:hAnsi="Arial" w:cs="Arial"/>
          <w:b/>
          <w:bCs/>
          <w:sz w:val="22"/>
          <w:szCs w:val="22"/>
        </w:rPr>
        <w:t>Authors:</w:t>
      </w:r>
    </w:p>
    <w:p w14:paraId="0138F99B" w14:textId="027979C2" w:rsidR="005948C5" w:rsidRPr="00F64D3B" w:rsidRDefault="005948C5" w:rsidP="005948C5">
      <w:pPr>
        <w:autoSpaceDE/>
        <w:autoSpaceDN/>
        <w:adjustRightInd/>
        <w:rPr>
          <w:rFonts w:ascii="Arial" w:hAnsi="Arial" w:cs="Arial"/>
          <w:sz w:val="22"/>
          <w:szCs w:val="22"/>
        </w:rPr>
      </w:pPr>
      <w:r w:rsidRPr="00F64D3B">
        <w:rPr>
          <w:rFonts w:ascii="Arial" w:hAnsi="Arial" w:cs="Arial"/>
          <w:sz w:val="22"/>
          <w:szCs w:val="22"/>
        </w:rPr>
        <w:t>Lisa Frueh,</w:t>
      </w:r>
      <w:r w:rsidR="00381CE3" w:rsidRPr="00F64D3B">
        <w:rPr>
          <w:rFonts w:ascii="Arial" w:hAnsi="Arial" w:cs="Arial"/>
          <w:sz w:val="22"/>
          <w:szCs w:val="22"/>
          <w:vertAlign w:val="superscript"/>
        </w:rPr>
        <w:t>1</w:t>
      </w:r>
      <w:r w:rsidRPr="00F64D3B">
        <w:rPr>
          <w:rFonts w:ascii="Arial" w:hAnsi="Arial" w:cs="Arial"/>
          <w:sz w:val="22"/>
          <w:szCs w:val="22"/>
        </w:rPr>
        <w:t xml:space="preserve"> </w:t>
      </w:r>
      <w:proofErr w:type="spellStart"/>
      <w:r w:rsidRPr="00F64D3B">
        <w:rPr>
          <w:rFonts w:ascii="Arial" w:hAnsi="Arial" w:cs="Arial"/>
          <w:sz w:val="22"/>
          <w:szCs w:val="22"/>
        </w:rPr>
        <w:t>Karlin</w:t>
      </w:r>
      <w:proofErr w:type="spellEnd"/>
      <w:r w:rsidRPr="00F64D3B">
        <w:rPr>
          <w:rFonts w:ascii="Arial" w:hAnsi="Arial" w:cs="Arial"/>
          <w:sz w:val="22"/>
          <w:szCs w:val="22"/>
        </w:rPr>
        <w:t xml:space="preserve"> Moore,</w:t>
      </w:r>
      <w:r w:rsidR="00604B12" w:rsidRPr="00F64D3B">
        <w:rPr>
          <w:rFonts w:ascii="Arial" w:hAnsi="Arial" w:cs="Arial"/>
          <w:sz w:val="22"/>
          <w:szCs w:val="22"/>
          <w:vertAlign w:val="superscript"/>
        </w:rPr>
        <w:t>2</w:t>
      </w:r>
      <w:r w:rsidRPr="00F64D3B">
        <w:rPr>
          <w:rFonts w:ascii="Arial" w:hAnsi="Arial" w:cs="Arial"/>
          <w:sz w:val="22"/>
          <w:szCs w:val="22"/>
        </w:rPr>
        <w:t xml:space="preserve"> </w:t>
      </w:r>
      <w:r w:rsidR="0033147F" w:rsidRPr="00F64D3B">
        <w:rPr>
          <w:rFonts w:ascii="Arial" w:hAnsi="Arial" w:cs="Arial"/>
          <w:sz w:val="22"/>
          <w:szCs w:val="22"/>
        </w:rPr>
        <w:t>Grace Tiegs,</w:t>
      </w:r>
      <w:r w:rsidR="00604B12" w:rsidRPr="00F64D3B">
        <w:rPr>
          <w:rFonts w:ascii="Arial" w:hAnsi="Arial" w:cs="Arial"/>
          <w:sz w:val="22"/>
          <w:szCs w:val="22"/>
          <w:vertAlign w:val="superscript"/>
        </w:rPr>
        <w:t>3</w:t>
      </w:r>
      <w:r w:rsidR="00604B12" w:rsidRPr="00F64D3B">
        <w:rPr>
          <w:rFonts w:ascii="Arial" w:hAnsi="Arial" w:cs="Arial"/>
          <w:sz w:val="22"/>
          <w:szCs w:val="22"/>
        </w:rPr>
        <w:t xml:space="preserve"> KC Wahl,</w:t>
      </w:r>
      <w:r w:rsidR="00604B12" w:rsidRPr="00F64D3B">
        <w:rPr>
          <w:rFonts w:ascii="Arial" w:hAnsi="Arial" w:cs="Arial"/>
          <w:sz w:val="22"/>
          <w:szCs w:val="22"/>
          <w:vertAlign w:val="superscript"/>
        </w:rPr>
        <w:t>3</w:t>
      </w:r>
      <w:r w:rsidR="0033147F" w:rsidRPr="00F64D3B">
        <w:rPr>
          <w:rFonts w:ascii="Arial" w:hAnsi="Arial" w:cs="Arial"/>
          <w:sz w:val="22"/>
          <w:szCs w:val="22"/>
        </w:rPr>
        <w:t xml:space="preserve"> </w:t>
      </w:r>
      <w:r w:rsidRPr="00F64D3B">
        <w:rPr>
          <w:rFonts w:ascii="Arial" w:hAnsi="Arial" w:cs="Arial"/>
          <w:sz w:val="22"/>
          <w:szCs w:val="22"/>
        </w:rPr>
        <w:t>Leah Johnston,</w:t>
      </w:r>
      <w:r w:rsidR="00604B12" w:rsidRPr="00F64D3B">
        <w:rPr>
          <w:rFonts w:ascii="Arial" w:hAnsi="Arial" w:cs="Arial"/>
          <w:sz w:val="22"/>
          <w:szCs w:val="22"/>
          <w:vertAlign w:val="superscript"/>
        </w:rPr>
        <w:t>3</w:t>
      </w:r>
      <w:r w:rsidRPr="00F64D3B">
        <w:rPr>
          <w:rFonts w:ascii="Arial" w:hAnsi="Arial" w:cs="Arial"/>
          <w:sz w:val="22"/>
          <w:szCs w:val="22"/>
        </w:rPr>
        <w:t xml:space="preserve"> Jane Clougherty</w:t>
      </w:r>
      <w:r w:rsidR="00381DB6">
        <w:rPr>
          <w:rFonts w:ascii="Arial" w:hAnsi="Arial" w:cs="Arial"/>
          <w:sz w:val="22"/>
          <w:szCs w:val="22"/>
        </w:rPr>
        <w:t>,</w:t>
      </w:r>
      <w:r w:rsidR="00604B12" w:rsidRPr="00F64D3B">
        <w:rPr>
          <w:rFonts w:ascii="Arial" w:hAnsi="Arial" w:cs="Arial"/>
          <w:sz w:val="22"/>
          <w:szCs w:val="22"/>
          <w:vertAlign w:val="superscript"/>
        </w:rPr>
        <w:t>1</w:t>
      </w:r>
      <w:r w:rsidR="00381DB6">
        <w:rPr>
          <w:rFonts w:ascii="Arial" w:hAnsi="Arial" w:cs="Arial"/>
          <w:sz w:val="22"/>
          <w:szCs w:val="22"/>
          <w:vertAlign w:val="superscript"/>
        </w:rPr>
        <w:t xml:space="preserve"> </w:t>
      </w:r>
      <w:r w:rsidR="00381DB6" w:rsidRPr="00F64D3B">
        <w:rPr>
          <w:rFonts w:ascii="Arial" w:hAnsi="Arial" w:cs="Arial"/>
          <w:sz w:val="22"/>
          <w:szCs w:val="22"/>
        </w:rPr>
        <w:t>Nancy Johnston,</w:t>
      </w:r>
      <w:r w:rsidR="00381DB6" w:rsidRPr="00F64D3B">
        <w:rPr>
          <w:rFonts w:ascii="Arial" w:hAnsi="Arial" w:cs="Arial"/>
          <w:sz w:val="22"/>
          <w:szCs w:val="22"/>
          <w:vertAlign w:val="superscript"/>
        </w:rPr>
        <w:t>3</w:t>
      </w:r>
      <w:r w:rsidR="00381DB6">
        <w:rPr>
          <w:rFonts w:ascii="Arial" w:hAnsi="Arial" w:cs="Arial"/>
          <w:sz w:val="22"/>
          <w:szCs w:val="22"/>
          <w:vertAlign w:val="superscript"/>
        </w:rPr>
        <w:t xml:space="preserve"> </w:t>
      </w:r>
      <w:r w:rsidR="00381DB6" w:rsidRPr="00F64D3B">
        <w:rPr>
          <w:rFonts w:ascii="Arial" w:hAnsi="Arial" w:cs="Arial"/>
          <w:sz w:val="22"/>
          <w:szCs w:val="22"/>
        </w:rPr>
        <w:t>Sheila Tripathy,</w:t>
      </w:r>
      <w:r w:rsidR="00381DB6" w:rsidRPr="00F64D3B">
        <w:rPr>
          <w:rFonts w:ascii="Arial" w:hAnsi="Arial" w:cs="Arial"/>
          <w:sz w:val="22"/>
          <w:szCs w:val="22"/>
          <w:vertAlign w:val="superscript"/>
        </w:rPr>
        <w:t>1</w:t>
      </w:r>
    </w:p>
    <w:p w14:paraId="54D0C4FD" w14:textId="77777777" w:rsidR="00604B12" w:rsidRPr="00F64D3B" w:rsidRDefault="00604B12" w:rsidP="005948C5">
      <w:pPr>
        <w:autoSpaceDE/>
        <w:autoSpaceDN/>
        <w:adjustRightInd/>
        <w:rPr>
          <w:rFonts w:ascii="Arial" w:hAnsi="Arial" w:cs="Arial"/>
          <w:sz w:val="22"/>
          <w:szCs w:val="22"/>
        </w:rPr>
      </w:pPr>
    </w:p>
    <w:p w14:paraId="7B4F853A" w14:textId="24C73EF3" w:rsidR="00604B12" w:rsidRPr="00F64D3B" w:rsidRDefault="00604B12" w:rsidP="005948C5">
      <w:pPr>
        <w:autoSpaceDE/>
        <w:autoSpaceDN/>
        <w:adjustRightInd/>
        <w:rPr>
          <w:rFonts w:ascii="Arial" w:hAnsi="Arial" w:cs="Arial"/>
          <w:sz w:val="22"/>
          <w:szCs w:val="22"/>
        </w:rPr>
      </w:pPr>
      <w:r w:rsidRPr="00F64D3B">
        <w:rPr>
          <w:rFonts w:ascii="Arial" w:hAnsi="Arial" w:cs="Arial"/>
          <w:sz w:val="22"/>
          <w:szCs w:val="22"/>
          <w:vertAlign w:val="superscript"/>
        </w:rPr>
        <w:t>1</w:t>
      </w:r>
      <w:r w:rsidRPr="00F64D3B">
        <w:rPr>
          <w:rFonts w:ascii="Arial" w:hAnsi="Arial" w:cs="Arial"/>
          <w:sz w:val="22"/>
          <w:szCs w:val="22"/>
        </w:rPr>
        <w:t xml:space="preserve">Drexel University </w:t>
      </w:r>
      <w:proofErr w:type="spellStart"/>
      <w:r w:rsidRPr="00F64D3B">
        <w:rPr>
          <w:rFonts w:ascii="Arial" w:hAnsi="Arial" w:cs="Arial"/>
          <w:sz w:val="22"/>
          <w:szCs w:val="22"/>
        </w:rPr>
        <w:t>Dornsife</w:t>
      </w:r>
      <w:proofErr w:type="spellEnd"/>
      <w:r w:rsidRPr="00F64D3B">
        <w:rPr>
          <w:rFonts w:ascii="Arial" w:hAnsi="Arial" w:cs="Arial"/>
          <w:sz w:val="22"/>
          <w:szCs w:val="22"/>
        </w:rPr>
        <w:t xml:space="preserve"> School of Public Health, Department of Environmental and Occupational Health</w:t>
      </w:r>
      <w:r w:rsidR="00330DB3" w:rsidRPr="00F64D3B">
        <w:rPr>
          <w:rFonts w:ascii="Arial" w:hAnsi="Arial" w:cs="Arial"/>
          <w:sz w:val="22"/>
          <w:szCs w:val="22"/>
        </w:rPr>
        <w:t xml:space="preserve">; Philadelphia, PA </w:t>
      </w:r>
    </w:p>
    <w:p w14:paraId="45C5625F" w14:textId="4F755455" w:rsidR="00604B12" w:rsidRPr="00F64D3B" w:rsidRDefault="00604B12" w:rsidP="00604B12">
      <w:pPr>
        <w:autoSpaceDE/>
        <w:autoSpaceDN/>
        <w:adjustRightInd/>
        <w:rPr>
          <w:rFonts w:ascii="Arial" w:hAnsi="Arial" w:cs="Arial"/>
          <w:sz w:val="22"/>
          <w:szCs w:val="22"/>
        </w:rPr>
      </w:pPr>
      <w:r w:rsidRPr="00F64D3B">
        <w:rPr>
          <w:rFonts w:ascii="Arial" w:hAnsi="Arial" w:cs="Arial"/>
          <w:sz w:val="22"/>
          <w:szCs w:val="22"/>
          <w:vertAlign w:val="superscript"/>
        </w:rPr>
        <w:t>2</w:t>
      </w:r>
      <w:r w:rsidRPr="00F64D3B">
        <w:rPr>
          <w:rFonts w:ascii="Arial" w:hAnsi="Arial" w:cs="Arial"/>
          <w:sz w:val="22"/>
          <w:szCs w:val="22"/>
        </w:rPr>
        <w:t xml:space="preserve">Drexel University </w:t>
      </w:r>
      <w:proofErr w:type="spellStart"/>
      <w:r w:rsidRPr="00F64D3B">
        <w:rPr>
          <w:rFonts w:ascii="Arial" w:hAnsi="Arial" w:cs="Arial"/>
          <w:sz w:val="22"/>
          <w:szCs w:val="22"/>
        </w:rPr>
        <w:t>Dornsife</w:t>
      </w:r>
      <w:proofErr w:type="spellEnd"/>
      <w:r w:rsidRPr="00F64D3B">
        <w:rPr>
          <w:rFonts w:ascii="Arial" w:hAnsi="Arial" w:cs="Arial"/>
          <w:sz w:val="22"/>
          <w:szCs w:val="22"/>
        </w:rPr>
        <w:t xml:space="preserve"> School of Public Health, Department of Epidemiology and </w:t>
      </w:r>
      <w:proofErr w:type="spellStart"/>
      <w:r w:rsidRPr="00F64D3B">
        <w:rPr>
          <w:rFonts w:ascii="Arial" w:hAnsi="Arial" w:cs="Arial"/>
          <w:sz w:val="22"/>
          <w:szCs w:val="22"/>
        </w:rPr>
        <w:t>Bisotatistics</w:t>
      </w:r>
      <w:proofErr w:type="spellEnd"/>
      <w:r w:rsidR="00330DB3" w:rsidRPr="00F64D3B">
        <w:rPr>
          <w:rFonts w:ascii="Arial" w:hAnsi="Arial" w:cs="Arial"/>
          <w:sz w:val="22"/>
          <w:szCs w:val="22"/>
        </w:rPr>
        <w:t>; Philadelphia, PA</w:t>
      </w:r>
    </w:p>
    <w:p w14:paraId="09752E84" w14:textId="52D0A0DA" w:rsidR="00330DB3" w:rsidRPr="00F64D3B" w:rsidRDefault="00330DB3" w:rsidP="00330DB3">
      <w:pPr>
        <w:jc w:val="both"/>
        <w:rPr>
          <w:rFonts w:ascii="Arial" w:hAnsi="Arial" w:cs="Arial"/>
          <w:color w:val="222222"/>
          <w:sz w:val="22"/>
          <w:szCs w:val="22"/>
          <w:highlight w:val="white"/>
        </w:rPr>
      </w:pPr>
      <w:r w:rsidRPr="00F64D3B">
        <w:rPr>
          <w:rFonts w:ascii="Arial" w:hAnsi="Arial" w:cs="Arial"/>
          <w:color w:val="222222"/>
          <w:sz w:val="22"/>
          <w:szCs w:val="22"/>
          <w:highlight w:val="white"/>
          <w:vertAlign w:val="superscript"/>
        </w:rPr>
        <w:t>3</w:t>
      </w:r>
      <w:r w:rsidRPr="00F64D3B">
        <w:rPr>
          <w:rFonts w:ascii="Arial" w:hAnsi="Arial" w:cs="Arial"/>
          <w:color w:val="222222"/>
          <w:sz w:val="22"/>
          <w:szCs w:val="22"/>
          <w:highlight w:val="white"/>
        </w:rPr>
        <w:t>Lewis Clark State College Department of Chemistry; Lewiston, ID</w:t>
      </w:r>
    </w:p>
    <w:p w14:paraId="2B063C21" w14:textId="77777777" w:rsidR="00330DB3" w:rsidRPr="00F64D3B" w:rsidRDefault="00330DB3" w:rsidP="00330DB3">
      <w:pPr>
        <w:jc w:val="both"/>
        <w:rPr>
          <w:rFonts w:ascii="Arial" w:hAnsi="Arial" w:cs="Arial"/>
          <w:color w:val="222222"/>
          <w:sz w:val="22"/>
          <w:szCs w:val="22"/>
          <w:highlight w:val="white"/>
        </w:rPr>
      </w:pPr>
    </w:p>
    <w:p w14:paraId="7887141C" w14:textId="25C2EF31" w:rsidR="00330DB3" w:rsidRPr="00F64D3B" w:rsidRDefault="00330DB3" w:rsidP="00330DB3">
      <w:pPr>
        <w:jc w:val="both"/>
        <w:rPr>
          <w:rFonts w:ascii="Arial" w:hAnsi="Arial" w:cs="Arial"/>
          <w:color w:val="222222"/>
          <w:sz w:val="22"/>
          <w:szCs w:val="22"/>
          <w:highlight w:val="white"/>
        </w:rPr>
      </w:pPr>
      <w:r w:rsidRPr="00F64D3B">
        <w:rPr>
          <w:rFonts w:ascii="Arial" w:hAnsi="Arial" w:cs="Arial"/>
          <w:b/>
          <w:bCs/>
          <w:color w:val="222222"/>
          <w:sz w:val="22"/>
          <w:szCs w:val="22"/>
          <w:highlight w:val="white"/>
        </w:rPr>
        <w:t>Corresponding Author:</w:t>
      </w:r>
    </w:p>
    <w:p w14:paraId="5105A77A" w14:textId="3BA4758D" w:rsidR="00330DB3" w:rsidRPr="00F64D3B" w:rsidRDefault="00330DB3" w:rsidP="00330DB3">
      <w:pPr>
        <w:jc w:val="both"/>
        <w:rPr>
          <w:rFonts w:ascii="Arial" w:hAnsi="Arial" w:cs="Arial"/>
          <w:color w:val="222222"/>
          <w:sz w:val="22"/>
          <w:szCs w:val="22"/>
          <w:highlight w:val="white"/>
        </w:rPr>
      </w:pPr>
      <w:r w:rsidRPr="00F64D3B">
        <w:rPr>
          <w:rFonts w:ascii="Arial" w:hAnsi="Arial" w:cs="Arial"/>
          <w:color w:val="222222"/>
          <w:sz w:val="22"/>
          <w:szCs w:val="22"/>
          <w:highlight w:val="white"/>
        </w:rPr>
        <w:t>Lisa Frueh</w:t>
      </w:r>
    </w:p>
    <w:p w14:paraId="29B18ABE" w14:textId="77777777" w:rsidR="00422B05" w:rsidRPr="00F64D3B" w:rsidRDefault="00422B05" w:rsidP="00422B05">
      <w:pPr>
        <w:pStyle w:val="NoSpacing"/>
        <w:jc w:val="both"/>
        <w:rPr>
          <w:rFonts w:ascii="Arial" w:hAnsi="Arial" w:cs="Arial"/>
        </w:rPr>
      </w:pPr>
      <w:r w:rsidRPr="00F64D3B">
        <w:rPr>
          <w:rFonts w:ascii="Arial" w:hAnsi="Arial" w:cs="Arial"/>
        </w:rPr>
        <w:t>Department of Environmental and Occupational Health</w:t>
      </w:r>
    </w:p>
    <w:p w14:paraId="1B2466EE" w14:textId="77777777" w:rsidR="00422B05" w:rsidRPr="00F64D3B" w:rsidRDefault="00422B05" w:rsidP="00422B05">
      <w:pPr>
        <w:pStyle w:val="NoSpacing"/>
        <w:jc w:val="both"/>
        <w:rPr>
          <w:rFonts w:ascii="Arial" w:hAnsi="Arial" w:cs="Arial"/>
        </w:rPr>
      </w:pPr>
      <w:r w:rsidRPr="00F64D3B">
        <w:rPr>
          <w:rFonts w:ascii="Arial" w:hAnsi="Arial" w:cs="Arial"/>
        </w:rPr>
        <w:t xml:space="preserve">Drexel University </w:t>
      </w:r>
      <w:proofErr w:type="spellStart"/>
      <w:r w:rsidRPr="00F64D3B">
        <w:rPr>
          <w:rFonts w:ascii="Arial" w:hAnsi="Arial" w:cs="Arial"/>
        </w:rPr>
        <w:t>Dornsife</w:t>
      </w:r>
      <w:proofErr w:type="spellEnd"/>
      <w:r w:rsidRPr="00F64D3B">
        <w:rPr>
          <w:rFonts w:ascii="Arial" w:hAnsi="Arial" w:cs="Arial"/>
        </w:rPr>
        <w:t xml:space="preserve"> School of Public Health</w:t>
      </w:r>
    </w:p>
    <w:p w14:paraId="5E8D6C03" w14:textId="77777777" w:rsidR="00422B05" w:rsidRPr="00F64D3B" w:rsidRDefault="00422B05" w:rsidP="00422B05">
      <w:pPr>
        <w:pStyle w:val="NoSpacing"/>
        <w:jc w:val="both"/>
        <w:rPr>
          <w:rFonts w:ascii="Arial" w:hAnsi="Arial" w:cs="Arial"/>
        </w:rPr>
      </w:pPr>
      <w:r w:rsidRPr="00F64D3B">
        <w:rPr>
          <w:rFonts w:ascii="Arial" w:hAnsi="Arial" w:cs="Arial"/>
        </w:rPr>
        <w:t>3215 Market Street</w:t>
      </w:r>
    </w:p>
    <w:p w14:paraId="727587BA" w14:textId="77777777" w:rsidR="00422B05" w:rsidRPr="00F64D3B" w:rsidRDefault="00422B05" w:rsidP="00422B05">
      <w:pPr>
        <w:pStyle w:val="NoSpacing"/>
        <w:jc w:val="both"/>
        <w:rPr>
          <w:rFonts w:ascii="Arial" w:hAnsi="Arial" w:cs="Arial"/>
        </w:rPr>
      </w:pPr>
      <w:r w:rsidRPr="00F64D3B">
        <w:rPr>
          <w:rFonts w:ascii="Arial" w:hAnsi="Arial" w:cs="Arial"/>
        </w:rPr>
        <w:t>Philadelphia, PA, 19104</w:t>
      </w:r>
    </w:p>
    <w:p w14:paraId="21E4E634" w14:textId="46812846" w:rsidR="00422B05" w:rsidRPr="00F64D3B" w:rsidRDefault="00422B05" w:rsidP="00422B05">
      <w:pPr>
        <w:pStyle w:val="NoSpacing"/>
        <w:jc w:val="both"/>
        <w:rPr>
          <w:rFonts w:ascii="Arial" w:hAnsi="Arial" w:cs="Arial"/>
        </w:rPr>
      </w:pPr>
      <w:r w:rsidRPr="00F64D3B">
        <w:rPr>
          <w:rStyle w:val="Hyperlink"/>
          <w:rFonts w:ascii="Arial" w:hAnsi="Arial" w:cs="Arial"/>
          <w:color w:val="auto"/>
          <w:u w:val="none"/>
        </w:rPr>
        <w:t>Lf649@drexel.edu</w:t>
      </w:r>
      <w:r w:rsidRPr="00F64D3B">
        <w:rPr>
          <w:rStyle w:val="Hyperlink"/>
          <w:rFonts w:ascii="Arial" w:hAnsi="Arial" w:cs="Arial"/>
          <w:color w:val="auto"/>
        </w:rPr>
        <w:t xml:space="preserve"> </w:t>
      </w:r>
    </w:p>
    <w:p w14:paraId="762FF9F6" w14:textId="576BFBE2" w:rsidR="00422B05" w:rsidRPr="00F64D3B" w:rsidRDefault="00422B05" w:rsidP="00422B05">
      <w:pPr>
        <w:pStyle w:val="NoSpacing"/>
        <w:jc w:val="both"/>
        <w:rPr>
          <w:rFonts w:ascii="Arial" w:hAnsi="Arial" w:cs="Arial"/>
        </w:rPr>
      </w:pPr>
      <w:r w:rsidRPr="00F64D3B">
        <w:rPr>
          <w:rFonts w:ascii="Arial" w:hAnsi="Arial" w:cs="Arial"/>
        </w:rPr>
        <w:t>503-734-6123</w:t>
      </w:r>
    </w:p>
    <w:p w14:paraId="094FF8D4" w14:textId="7CBE4031" w:rsidR="00330DB3" w:rsidRPr="00F64D3B" w:rsidRDefault="00330DB3" w:rsidP="00330DB3">
      <w:pPr>
        <w:jc w:val="both"/>
        <w:rPr>
          <w:rFonts w:ascii="Arial" w:hAnsi="Arial" w:cs="Arial"/>
          <w:color w:val="222222"/>
          <w:sz w:val="22"/>
          <w:szCs w:val="22"/>
          <w:highlight w:val="white"/>
        </w:rPr>
      </w:pPr>
    </w:p>
    <w:p w14:paraId="65F89557" w14:textId="1923D463" w:rsidR="00BD4C0F" w:rsidRPr="00F64D3B" w:rsidRDefault="00BD4C0F" w:rsidP="00BD4C0F">
      <w:pPr>
        <w:pStyle w:val="NoSpacing"/>
        <w:jc w:val="both"/>
        <w:rPr>
          <w:rFonts w:ascii="Arial" w:hAnsi="Arial" w:cs="Arial"/>
          <w:b/>
        </w:rPr>
      </w:pPr>
      <w:r w:rsidRPr="00F64D3B">
        <w:rPr>
          <w:rFonts w:ascii="Arial" w:hAnsi="Arial" w:cs="Arial"/>
          <w:b/>
        </w:rPr>
        <w:t>Competing Financial Interests:</w:t>
      </w:r>
    </w:p>
    <w:p w14:paraId="0FA135D8" w14:textId="77777777" w:rsidR="00BD4C0F" w:rsidRPr="00F64D3B" w:rsidRDefault="00BD4C0F" w:rsidP="00BD4C0F">
      <w:pPr>
        <w:pStyle w:val="NoSpacing"/>
        <w:jc w:val="both"/>
        <w:rPr>
          <w:rStyle w:val="Emphasis"/>
          <w:rFonts w:ascii="Arial" w:hAnsi="Arial" w:cs="Arial"/>
          <w:i w:val="0"/>
          <w:color w:val="000000"/>
          <w:shd w:val="clear" w:color="auto" w:fill="FFFFFF"/>
        </w:rPr>
      </w:pPr>
      <w:r w:rsidRPr="00F64D3B">
        <w:rPr>
          <w:rStyle w:val="Emphasis"/>
          <w:rFonts w:ascii="Arial" w:hAnsi="Arial" w:cs="Arial"/>
          <w:color w:val="000000"/>
          <w:shd w:val="clear" w:color="auto" w:fill="FFFFFF"/>
        </w:rPr>
        <w:t>The authors declare they have no actual or potential competing financial interests.</w:t>
      </w:r>
    </w:p>
    <w:p w14:paraId="369B54E5" w14:textId="77777777" w:rsidR="00BD4C0F" w:rsidRPr="00F64D3B" w:rsidRDefault="00BD4C0F" w:rsidP="00BD4C0F">
      <w:pPr>
        <w:pStyle w:val="NoSpacing"/>
        <w:jc w:val="both"/>
        <w:rPr>
          <w:rStyle w:val="Emphasis"/>
          <w:rFonts w:ascii="Arial" w:hAnsi="Arial" w:cs="Arial"/>
          <w:i w:val="0"/>
          <w:color w:val="000000"/>
          <w:shd w:val="clear" w:color="auto" w:fill="FFFFFF"/>
        </w:rPr>
      </w:pPr>
    </w:p>
    <w:p w14:paraId="00149C3A" w14:textId="431E76DB" w:rsidR="00BD4C0F" w:rsidRPr="00F64D3B" w:rsidRDefault="00BD4C0F" w:rsidP="00BD4C0F">
      <w:pPr>
        <w:pStyle w:val="NoSpacing"/>
        <w:jc w:val="both"/>
        <w:rPr>
          <w:rFonts w:ascii="Arial" w:hAnsi="Arial" w:cs="Arial"/>
          <w:b/>
          <w:bCs/>
          <w:iCs/>
        </w:rPr>
      </w:pPr>
      <w:r w:rsidRPr="00F64D3B">
        <w:rPr>
          <w:rFonts w:ascii="Arial" w:hAnsi="Arial" w:cs="Arial"/>
          <w:b/>
          <w:bCs/>
          <w:iCs/>
        </w:rPr>
        <w:t>Funding:</w:t>
      </w:r>
    </w:p>
    <w:p w14:paraId="4B390F9A" w14:textId="79BA3E48" w:rsidR="00BD4C0F" w:rsidRPr="00F64D3B" w:rsidRDefault="00BD4C0F" w:rsidP="00BD4C0F">
      <w:pPr>
        <w:pStyle w:val="NoSpacing"/>
        <w:jc w:val="both"/>
        <w:rPr>
          <w:rFonts w:ascii="Arial" w:hAnsi="Arial" w:cs="Arial"/>
        </w:rPr>
      </w:pPr>
      <w:r w:rsidRPr="00F64D3B">
        <w:rPr>
          <w:rFonts w:ascii="Arial" w:hAnsi="Arial" w:cs="Arial"/>
        </w:rPr>
        <w:t xml:space="preserve">This work was supported by the National Institutes of Environmental Health Sciences (NIEHS grant # </w:t>
      </w:r>
      <w:r w:rsidRPr="00F64D3B">
        <w:rPr>
          <w:rFonts w:ascii="Aptos" w:eastAsia="Aptos" w:hAnsi="Aptos" w:cs="Aptos"/>
          <w:color w:val="000000" w:themeColor="text1"/>
        </w:rPr>
        <w:t>5R21ES034494</w:t>
      </w:r>
      <w:r w:rsidRPr="00F64D3B">
        <w:rPr>
          <w:rFonts w:ascii="Arial" w:hAnsi="Arial" w:cs="Arial"/>
        </w:rPr>
        <w:t>), the Drexel University Environmental Collaboratory, Drexel University Urban Health Collaborative pilot grant, a Build Up Peace Engineering Fellowship, and Institutional Development Award (</w:t>
      </w:r>
      <w:proofErr w:type="spellStart"/>
      <w:r w:rsidRPr="00F64D3B">
        <w:rPr>
          <w:rFonts w:ascii="Arial" w:hAnsi="Arial" w:cs="Arial"/>
        </w:rPr>
        <w:t>IDeA</w:t>
      </w:r>
      <w:proofErr w:type="spellEnd"/>
      <w:r w:rsidRPr="00F64D3B">
        <w:rPr>
          <w:rFonts w:ascii="Arial" w:hAnsi="Arial" w:cs="Arial"/>
        </w:rPr>
        <w:t>) from the National Institute of General Medical Sciences of the National Institutes of Health under Grant #P20GM103408</w:t>
      </w:r>
      <w:r w:rsidR="00366709">
        <w:rPr>
          <w:rFonts w:ascii="Arial" w:hAnsi="Arial" w:cs="Arial"/>
        </w:rPr>
        <w:t>.</w:t>
      </w:r>
    </w:p>
    <w:p w14:paraId="6718517F" w14:textId="77777777" w:rsidR="00BD4C0F" w:rsidRPr="00F43999" w:rsidRDefault="00BD4C0F" w:rsidP="00BD4C0F">
      <w:pPr>
        <w:jc w:val="both"/>
        <w:rPr>
          <w:rFonts w:ascii="Arial" w:hAnsi="Arial" w:cs="Arial"/>
        </w:rPr>
      </w:pPr>
      <w:r w:rsidRPr="00F43999">
        <w:rPr>
          <w:rFonts w:ascii="Arial" w:hAnsi="Arial" w:cs="Arial"/>
          <w:color w:val="FFFFFF"/>
          <w:highlight w:val="black"/>
          <w:vertAlign w:val="superscript"/>
        </w:rPr>
        <w:t xml:space="preserve">     </w:t>
      </w:r>
    </w:p>
    <w:p w14:paraId="0CAF4E9D" w14:textId="77777777" w:rsidR="00422B05" w:rsidRPr="00F43999" w:rsidRDefault="00422B05" w:rsidP="00330DB3">
      <w:pPr>
        <w:jc w:val="both"/>
        <w:rPr>
          <w:rFonts w:ascii="Arial" w:hAnsi="Arial" w:cs="Arial"/>
          <w:color w:val="222222"/>
          <w:highlight w:val="white"/>
        </w:rPr>
      </w:pPr>
    </w:p>
    <w:p w14:paraId="3E5AB935" w14:textId="77777777" w:rsidR="00330DB3" w:rsidRPr="00F43999" w:rsidRDefault="00330DB3" w:rsidP="00330DB3">
      <w:pPr>
        <w:jc w:val="both"/>
        <w:rPr>
          <w:rFonts w:ascii="Arial" w:hAnsi="Arial" w:cs="Arial"/>
          <w:color w:val="222222"/>
          <w:highlight w:val="white"/>
        </w:rPr>
      </w:pPr>
    </w:p>
    <w:p w14:paraId="62F91A5C" w14:textId="77777777" w:rsidR="00330DB3" w:rsidRPr="00F43999" w:rsidRDefault="00330DB3" w:rsidP="00604B12">
      <w:pPr>
        <w:autoSpaceDE/>
        <w:autoSpaceDN/>
        <w:adjustRightInd/>
        <w:rPr>
          <w:rFonts w:ascii="Arial" w:hAnsi="Arial" w:cs="Arial"/>
        </w:rPr>
      </w:pPr>
    </w:p>
    <w:p w14:paraId="55EB7A73" w14:textId="77777777" w:rsidR="00604B12" w:rsidRPr="00F43999" w:rsidRDefault="00604B12" w:rsidP="005948C5">
      <w:pPr>
        <w:autoSpaceDE/>
        <w:autoSpaceDN/>
        <w:adjustRightInd/>
        <w:rPr>
          <w:rFonts w:ascii="Arial" w:hAnsi="Arial" w:cs="Arial"/>
        </w:rPr>
      </w:pPr>
    </w:p>
    <w:p w14:paraId="13C38058" w14:textId="77777777" w:rsidR="005948C5" w:rsidRPr="00F43999" w:rsidRDefault="005948C5" w:rsidP="005948C5">
      <w:pPr>
        <w:autoSpaceDE/>
        <w:autoSpaceDN/>
        <w:adjustRightInd/>
        <w:rPr>
          <w:rFonts w:ascii="Arial" w:hAnsi="Arial" w:cs="Arial"/>
        </w:rPr>
      </w:pPr>
    </w:p>
    <w:p w14:paraId="3DFD37F1" w14:textId="77777777" w:rsidR="00D92F8F" w:rsidRPr="00F43999" w:rsidRDefault="00D92F8F">
      <w:pPr>
        <w:autoSpaceDE/>
        <w:autoSpaceDN/>
        <w:adjustRightInd/>
        <w:rPr>
          <w:rFonts w:ascii="Arial" w:hAnsi="Arial" w:cs="Arial"/>
        </w:rPr>
      </w:pPr>
    </w:p>
    <w:p w14:paraId="5F59463A" w14:textId="03506346" w:rsidR="00D92F8F" w:rsidRPr="00F43999" w:rsidRDefault="00D92F8F">
      <w:pPr>
        <w:autoSpaceDE/>
        <w:autoSpaceDN/>
        <w:adjustRightInd/>
        <w:rPr>
          <w:rFonts w:ascii="Arial" w:hAnsi="Arial" w:cs="Arial"/>
          <w:b/>
          <w:bCs/>
        </w:rPr>
      </w:pPr>
      <w:r w:rsidRPr="00F43999">
        <w:rPr>
          <w:rFonts w:ascii="Arial" w:hAnsi="Arial" w:cs="Arial"/>
          <w:b/>
          <w:bCs/>
        </w:rPr>
        <w:br w:type="page"/>
      </w:r>
    </w:p>
    <w:p w14:paraId="085FE9FC" w14:textId="2F3DD274" w:rsidR="00DF4AE2" w:rsidRPr="00F64D3B" w:rsidRDefault="00D92F8F">
      <w:pPr>
        <w:autoSpaceDE/>
        <w:autoSpaceDN/>
        <w:adjustRightInd/>
        <w:rPr>
          <w:rFonts w:ascii="Arial" w:hAnsi="Arial" w:cs="Arial"/>
          <w:b/>
          <w:bCs/>
          <w:sz w:val="22"/>
          <w:szCs w:val="22"/>
        </w:rPr>
      </w:pPr>
      <w:r w:rsidRPr="00F64D3B">
        <w:rPr>
          <w:rFonts w:ascii="Arial" w:hAnsi="Arial" w:cs="Arial"/>
          <w:b/>
          <w:bCs/>
          <w:sz w:val="22"/>
          <w:szCs w:val="22"/>
        </w:rPr>
        <w:lastRenderedPageBreak/>
        <w:t>ABSTRACT</w:t>
      </w:r>
      <w:r w:rsidR="003367F4" w:rsidRPr="00F64D3B">
        <w:rPr>
          <w:rFonts w:ascii="Arial" w:hAnsi="Arial" w:cs="Arial"/>
          <w:b/>
          <w:bCs/>
          <w:sz w:val="22"/>
          <w:szCs w:val="22"/>
        </w:rPr>
        <w:t xml:space="preserve"> </w:t>
      </w:r>
    </w:p>
    <w:p w14:paraId="588BB961" w14:textId="77777777" w:rsidR="00350EED" w:rsidRPr="00F64D3B" w:rsidRDefault="00350EED">
      <w:pPr>
        <w:autoSpaceDE/>
        <w:autoSpaceDN/>
        <w:adjustRightInd/>
        <w:rPr>
          <w:rFonts w:ascii="Arial" w:hAnsi="Arial" w:cs="Arial"/>
          <w:b/>
          <w:bCs/>
          <w:sz w:val="22"/>
          <w:szCs w:val="22"/>
        </w:rPr>
      </w:pPr>
    </w:p>
    <w:p w14:paraId="5974EF5B" w14:textId="653CA2F4" w:rsidR="000C59C8" w:rsidRDefault="00DF4AE2" w:rsidP="005B5DF0">
      <w:pPr>
        <w:autoSpaceDE/>
        <w:autoSpaceDN/>
        <w:adjustRightInd/>
        <w:jc w:val="both"/>
        <w:rPr>
          <w:rFonts w:ascii="Arial" w:hAnsi="Arial" w:cs="Arial"/>
          <w:sz w:val="22"/>
          <w:szCs w:val="22"/>
        </w:rPr>
      </w:pPr>
      <w:r w:rsidRPr="00F64D3B">
        <w:rPr>
          <w:rFonts w:ascii="Arial" w:hAnsi="Arial" w:cs="Arial"/>
          <w:b/>
          <w:bCs/>
          <w:sz w:val="22"/>
          <w:szCs w:val="22"/>
        </w:rPr>
        <w:t>Background:</w:t>
      </w:r>
      <w:r w:rsidRPr="00F64D3B">
        <w:rPr>
          <w:rFonts w:ascii="Arial" w:hAnsi="Arial" w:cs="Arial"/>
          <w:sz w:val="22"/>
          <w:szCs w:val="22"/>
        </w:rPr>
        <w:t xml:space="preserve"> Urban exposure to volatile organic compounds (VOCs)</w:t>
      </w:r>
      <w:r w:rsidR="00350EED" w:rsidRPr="00F64D3B">
        <w:rPr>
          <w:rFonts w:ascii="Arial" w:hAnsi="Arial" w:cs="Arial"/>
          <w:sz w:val="22"/>
          <w:szCs w:val="22"/>
        </w:rPr>
        <w:t xml:space="preserve"> </w:t>
      </w:r>
      <w:r w:rsidR="00193937">
        <w:rPr>
          <w:rFonts w:ascii="Arial" w:hAnsi="Arial" w:cs="Arial"/>
          <w:sz w:val="22"/>
          <w:szCs w:val="22"/>
        </w:rPr>
        <w:t xml:space="preserve">is associated with a wide range of adverse health outcomes. </w:t>
      </w:r>
      <w:r w:rsidR="0010249E">
        <w:rPr>
          <w:rFonts w:ascii="Arial" w:hAnsi="Arial" w:cs="Arial"/>
          <w:sz w:val="22"/>
          <w:szCs w:val="22"/>
        </w:rPr>
        <w:t>We previously partnered with Philly Thrive, a Philadelphia-based environmental justice organization, to co-design a one-year VOC monitoring campaign in South and Southwest Philadelphia</w:t>
      </w:r>
      <w:r w:rsidR="000C59C8">
        <w:rPr>
          <w:rFonts w:ascii="Arial" w:hAnsi="Arial" w:cs="Arial"/>
          <w:sz w:val="22"/>
          <w:szCs w:val="22"/>
        </w:rPr>
        <w:t xml:space="preserve"> to identify air quality impacts of traffic and local emissions from nearby redevelopment of a former oil refinery site. </w:t>
      </w:r>
      <w:r w:rsidR="00BC7011">
        <w:rPr>
          <w:rFonts w:ascii="Arial" w:hAnsi="Arial" w:cs="Arial"/>
          <w:sz w:val="22"/>
          <w:szCs w:val="22"/>
        </w:rPr>
        <w:t xml:space="preserve">Our community-focused research dissemination focused on benzene, a primary pollutant of concern, though we were able to characterize </w:t>
      </w:r>
      <w:r w:rsidR="00BB230E">
        <w:rPr>
          <w:rFonts w:ascii="Arial" w:hAnsi="Arial" w:cs="Arial"/>
          <w:sz w:val="22"/>
          <w:szCs w:val="22"/>
        </w:rPr>
        <w:t>many additional</w:t>
      </w:r>
      <w:r w:rsidR="00BC7011">
        <w:rPr>
          <w:rFonts w:ascii="Arial" w:hAnsi="Arial" w:cs="Arial"/>
          <w:sz w:val="22"/>
          <w:szCs w:val="22"/>
        </w:rPr>
        <w:t xml:space="preserve"> VOCs. </w:t>
      </w:r>
      <w:r w:rsidR="006C573B">
        <w:rPr>
          <w:rFonts w:ascii="Arial" w:hAnsi="Arial" w:cs="Arial"/>
          <w:sz w:val="22"/>
          <w:szCs w:val="22"/>
        </w:rPr>
        <w:t>Here, we present source identification and apportionment</w:t>
      </w:r>
      <w:r w:rsidR="00484317">
        <w:rPr>
          <w:rFonts w:ascii="Arial" w:hAnsi="Arial" w:cs="Arial"/>
          <w:sz w:val="22"/>
          <w:szCs w:val="22"/>
        </w:rPr>
        <w:t xml:space="preserve"> using diagnostic ratios, principal component analysis (PCA), and positive matrix factorization (PMF).</w:t>
      </w:r>
    </w:p>
    <w:p w14:paraId="104020C7" w14:textId="77777777" w:rsidR="00700CAC" w:rsidRPr="00F64D3B" w:rsidRDefault="00700CAC" w:rsidP="005B5DF0">
      <w:pPr>
        <w:autoSpaceDE/>
        <w:autoSpaceDN/>
        <w:adjustRightInd/>
        <w:jc w:val="both"/>
        <w:rPr>
          <w:rFonts w:ascii="Arial" w:hAnsi="Arial" w:cs="Arial"/>
          <w:sz w:val="22"/>
          <w:szCs w:val="22"/>
        </w:rPr>
      </w:pPr>
    </w:p>
    <w:p w14:paraId="43A7247D" w14:textId="2E89DB89" w:rsidR="00700CAC" w:rsidRPr="00F64D3B" w:rsidRDefault="00700CAC" w:rsidP="005B5DF0">
      <w:pPr>
        <w:autoSpaceDE/>
        <w:autoSpaceDN/>
        <w:adjustRightInd/>
        <w:jc w:val="both"/>
        <w:rPr>
          <w:rFonts w:ascii="Arial" w:hAnsi="Arial" w:cs="Arial"/>
          <w:sz w:val="22"/>
          <w:szCs w:val="22"/>
        </w:rPr>
      </w:pPr>
      <w:r w:rsidRPr="00F64D3B">
        <w:rPr>
          <w:rFonts w:ascii="Arial" w:hAnsi="Arial" w:cs="Arial"/>
          <w:b/>
          <w:bCs/>
          <w:sz w:val="22"/>
          <w:szCs w:val="22"/>
        </w:rPr>
        <w:t>Methods:</w:t>
      </w:r>
      <w:r w:rsidRPr="00F64D3B">
        <w:rPr>
          <w:rFonts w:ascii="Arial" w:hAnsi="Arial" w:cs="Arial"/>
          <w:sz w:val="22"/>
          <w:szCs w:val="22"/>
        </w:rPr>
        <w:t xml:space="preserve"> </w:t>
      </w:r>
      <w:r w:rsidR="00375C3E" w:rsidRPr="00F64D3B">
        <w:rPr>
          <w:rFonts w:ascii="Arial" w:hAnsi="Arial" w:cs="Arial"/>
          <w:sz w:val="22"/>
          <w:szCs w:val="22"/>
        </w:rPr>
        <w:t>Using passive thermal desorption tubes</w:t>
      </w:r>
      <w:r w:rsidR="00116DBC" w:rsidRPr="00F64D3B">
        <w:rPr>
          <w:rFonts w:ascii="Arial" w:hAnsi="Arial" w:cs="Arial"/>
          <w:sz w:val="22"/>
          <w:szCs w:val="22"/>
        </w:rPr>
        <w:t>, we took one-week integrated samples of 3</w:t>
      </w:r>
      <w:r w:rsidR="006006F4">
        <w:rPr>
          <w:rFonts w:ascii="Arial" w:hAnsi="Arial" w:cs="Arial"/>
          <w:sz w:val="22"/>
          <w:szCs w:val="22"/>
        </w:rPr>
        <w:t>8</w:t>
      </w:r>
      <w:r w:rsidR="00116DBC" w:rsidRPr="00F64D3B">
        <w:rPr>
          <w:rFonts w:ascii="Arial" w:hAnsi="Arial" w:cs="Arial"/>
          <w:sz w:val="22"/>
          <w:szCs w:val="22"/>
        </w:rPr>
        <w:t xml:space="preserve"> VOCs across 20 monitoring sites from July 2023 – June 2024.</w:t>
      </w:r>
      <w:r w:rsidR="005959A4" w:rsidRPr="00F64D3B">
        <w:rPr>
          <w:rFonts w:ascii="Arial" w:hAnsi="Arial" w:cs="Arial"/>
          <w:sz w:val="22"/>
          <w:szCs w:val="22"/>
        </w:rPr>
        <w:t xml:space="preserve"> We summarized concentrations of VOCs across land use types and traffic density. To identify potential sources, we calculated the </w:t>
      </w:r>
      <w:proofErr w:type="spellStart"/>
      <w:proofErr w:type="gramStart"/>
      <w:r w:rsidR="005959A4" w:rsidRPr="00F64D3B">
        <w:rPr>
          <w:rFonts w:ascii="Arial" w:hAnsi="Arial" w:cs="Arial"/>
          <w:sz w:val="22"/>
          <w:szCs w:val="22"/>
        </w:rPr>
        <w:t>toluene:benzene</w:t>
      </w:r>
      <w:proofErr w:type="spellEnd"/>
      <w:proofErr w:type="gramEnd"/>
      <w:r w:rsidR="005959A4" w:rsidRPr="00F64D3B">
        <w:rPr>
          <w:rFonts w:ascii="Arial" w:hAnsi="Arial" w:cs="Arial"/>
          <w:sz w:val="22"/>
          <w:szCs w:val="22"/>
        </w:rPr>
        <w:t xml:space="preserve"> </w:t>
      </w:r>
      <w:r w:rsidR="00122E24" w:rsidRPr="00F64D3B">
        <w:rPr>
          <w:rFonts w:ascii="Arial" w:hAnsi="Arial" w:cs="Arial"/>
          <w:sz w:val="22"/>
          <w:szCs w:val="22"/>
        </w:rPr>
        <w:t xml:space="preserve">(T/B) </w:t>
      </w:r>
      <w:r w:rsidR="005959A4" w:rsidRPr="00F64D3B">
        <w:rPr>
          <w:rFonts w:ascii="Arial" w:hAnsi="Arial" w:cs="Arial"/>
          <w:sz w:val="22"/>
          <w:szCs w:val="22"/>
        </w:rPr>
        <w:t xml:space="preserve">ratio and </w:t>
      </w:r>
      <w:r w:rsidR="005959A4" w:rsidRPr="00F64D3B">
        <w:rPr>
          <w:rFonts w:ascii="Arial" w:hAnsi="Arial" w:cs="Arial"/>
          <w:i/>
          <w:iCs/>
          <w:sz w:val="22"/>
          <w:szCs w:val="22"/>
        </w:rPr>
        <w:t>(</w:t>
      </w:r>
      <w:proofErr w:type="spellStart"/>
      <w:r w:rsidR="005959A4" w:rsidRPr="00F64D3B">
        <w:rPr>
          <w:rFonts w:ascii="Arial" w:hAnsi="Arial" w:cs="Arial"/>
          <w:i/>
          <w:iCs/>
          <w:sz w:val="22"/>
          <w:szCs w:val="22"/>
        </w:rPr>
        <w:t>m,p</w:t>
      </w:r>
      <w:proofErr w:type="spellEnd"/>
      <w:r w:rsidR="005959A4" w:rsidRPr="00F64D3B">
        <w:rPr>
          <w:rFonts w:ascii="Arial" w:hAnsi="Arial" w:cs="Arial"/>
          <w:i/>
          <w:iCs/>
          <w:sz w:val="22"/>
          <w:szCs w:val="22"/>
        </w:rPr>
        <w:t>)</w:t>
      </w:r>
      <w:r w:rsidR="005959A4" w:rsidRPr="00F64D3B">
        <w:rPr>
          <w:rFonts w:ascii="Arial" w:hAnsi="Arial" w:cs="Arial"/>
          <w:sz w:val="22"/>
          <w:szCs w:val="22"/>
        </w:rPr>
        <w:t>-</w:t>
      </w:r>
      <w:proofErr w:type="spellStart"/>
      <w:r w:rsidR="005959A4" w:rsidRPr="00F64D3B">
        <w:rPr>
          <w:rFonts w:ascii="Arial" w:hAnsi="Arial" w:cs="Arial"/>
          <w:sz w:val="22"/>
          <w:szCs w:val="22"/>
        </w:rPr>
        <w:t>xylenes:ethylbenzene</w:t>
      </w:r>
      <w:proofErr w:type="spellEnd"/>
      <w:r w:rsidR="005959A4" w:rsidRPr="00F64D3B">
        <w:rPr>
          <w:rFonts w:ascii="Arial" w:hAnsi="Arial" w:cs="Arial"/>
          <w:sz w:val="22"/>
          <w:szCs w:val="22"/>
        </w:rPr>
        <w:t xml:space="preserve"> </w:t>
      </w:r>
      <w:r w:rsidR="00122E24" w:rsidRPr="00F64D3B">
        <w:rPr>
          <w:rFonts w:ascii="Arial" w:hAnsi="Arial" w:cs="Arial"/>
          <w:sz w:val="22"/>
          <w:szCs w:val="22"/>
        </w:rPr>
        <w:t>(</w:t>
      </w:r>
      <w:r w:rsidR="00AB6C67">
        <w:rPr>
          <w:rFonts w:ascii="Arial" w:hAnsi="Arial" w:cs="Arial"/>
          <w:sz w:val="22"/>
          <w:szCs w:val="22"/>
        </w:rPr>
        <w:t>X</w:t>
      </w:r>
      <w:r w:rsidR="00122E24" w:rsidRPr="00F64D3B">
        <w:rPr>
          <w:rFonts w:ascii="Arial" w:hAnsi="Arial" w:cs="Arial"/>
          <w:sz w:val="22"/>
          <w:szCs w:val="22"/>
        </w:rPr>
        <w:t xml:space="preserve">/E) </w:t>
      </w:r>
      <w:r w:rsidR="005959A4" w:rsidRPr="00F64D3B">
        <w:rPr>
          <w:rFonts w:ascii="Arial" w:hAnsi="Arial" w:cs="Arial"/>
          <w:sz w:val="22"/>
          <w:szCs w:val="22"/>
        </w:rPr>
        <w:t xml:space="preserve">ratios and compared them across sites. We employed </w:t>
      </w:r>
      <w:r w:rsidR="00484317">
        <w:rPr>
          <w:rFonts w:ascii="Arial" w:hAnsi="Arial" w:cs="Arial"/>
          <w:sz w:val="22"/>
          <w:szCs w:val="22"/>
        </w:rPr>
        <w:t>PCA</w:t>
      </w:r>
      <w:r w:rsidR="005959A4" w:rsidRPr="00F64D3B">
        <w:rPr>
          <w:rFonts w:ascii="Arial" w:hAnsi="Arial" w:cs="Arial"/>
          <w:sz w:val="22"/>
          <w:szCs w:val="22"/>
        </w:rPr>
        <w:t xml:space="preserve"> </w:t>
      </w:r>
      <w:r w:rsidR="0089790D">
        <w:rPr>
          <w:rFonts w:ascii="Arial" w:hAnsi="Arial" w:cs="Arial"/>
          <w:sz w:val="22"/>
          <w:szCs w:val="22"/>
        </w:rPr>
        <w:t xml:space="preserve">and </w:t>
      </w:r>
      <w:r w:rsidR="00484317">
        <w:rPr>
          <w:rFonts w:ascii="Arial" w:hAnsi="Arial" w:cs="Arial"/>
          <w:sz w:val="22"/>
          <w:szCs w:val="22"/>
        </w:rPr>
        <w:t>PMF</w:t>
      </w:r>
      <w:r w:rsidR="0089790D">
        <w:rPr>
          <w:rFonts w:ascii="Arial" w:hAnsi="Arial" w:cs="Arial"/>
          <w:sz w:val="22"/>
          <w:szCs w:val="22"/>
        </w:rPr>
        <w:t xml:space="preserve"> </w:t>
      </w:r>
      <w:r w:rsidR="005959A4" w:rsidRPr="00F64D3B">
        <w:rPr>
          <w:rFonts w:ascii="Arial" w:hAnsi="Arial" w:cs="Arial"/>
          <w:sz w:val="22"/>
          <w:szCs w:val="22"/>
        </w:rPr>
        <w:t xml:space="preserve">to </w:t>
      </w:r>
      <w:r w:rsidR="001A3F18" w:rsidRPr="00F64D3B">
        <w:rPr>
          <w:rFonts w:ascii="Arial" w:hAnsi="Arial" w:cs="Arial"/>
          <w:sz w:val="22"/>
          <w:szCs w:val="22"/>
        </w:rPr>
        <w:t>identify potential VOC sources.</w:t>
      </w:r>
    </w:p>
    <w:p w14:paraId="1DBA4FDF" w14:textId="77777777" w:rsidR="001A3F18" w:rsidRPr="00F64D3B" w:rsidRDefault="001A3F18" w:rsidP="005B5DF0">
      <w:pPr>
        <w:autoSpaceDE/>
        <w:autoSpaceDN/>
        <w:adjustRightInd/>
        <w:jc w:val="both"/>
        <w:rPr>
          <w:rFonts w:ascii="Arial" w:hAnsi="Arial" w:cs="Arial"/>
          <w:sz w:val="22"/>
          <w:szCs w:val="22"/>
        </w:rPr>
      </w:pPr>
    </w:p>
    <w:p w14:paraId="2C816573" w14:textId="7B7E17BC" w:rsidR="001A3F18" w:rsidRPr="00F64D3B" w:rsidRDefault="001A3F18" w:rsidP="005B5DF0">
      <w:pPr>
        <w:autoSpaceDE/>
        <w:autoSpaceDN/>
        <w:adjustRightInd/>
        <w:jc w:val="both"/>
        <w:rPr>
          <w:rFonts w:ascii="Arial" w:hAnsi="Arial" w:cs="Arial"/>
          <w:sz w:val="22"/>
          <w:szCs w:val="22"/>
        </w:rPr>
      </w:pPr>
      <w:r w:rsidRPr="00F64D3B">
        <w:rPr>
          <w:rFonts w:ascii="Arial" w:hAnsi="Arial" w:cs="Arial"/>
          <w:b/>
          <w:bCs/>
          <w:sz w:val="22"/>
          <w:szCs w:val="22"/>
        </w:rPr>
        <w:t>Results:</w:t>
      </w:r>
      <w:r w:rsidRPr="00F64D3B">
        <w:rPr>
          <w:rFonts w:ascii="Arial" w:hAnsi="Arial" w:cs="Arial"/>
          <w:sz w:val="22"/>
          <w:szCs w:val="22"/>
        </w:rPr>
        <w:t xml:space="preserve"> </w:t>
      </w:r>
      <w:r w:rsidR="00E1787A" w:rsidRPr="00F64D3B">
        <w:rPr>
          <w:rFonts w:ascii="Arial" w:hAnsi="Arial" w:cs="Arial"/>
          <w:sz w:val="22"/>
          <w:szCs w:val="22"/>
        </w:rPr>
        <w:t xml:space="preserve">Overall, </w:t>
      </w:r>
      <w:r w:rsidRPr="00F64D3B">
        <w:rPr>
          <w:rFonts w:ascii="Arial" w:hAnsi="Arial" w:cs="Arial"/>
          <w:sz w:val="22"/>
          <w:szCs w:val="22"/>
        </w:rPr>
        <w:t>VOC concentrations were low (e.g., mean benzene for site sampled weekly</w:t>
      </w:r>
      <w:r w:rsidR="00824679" w:rsidRPr="00F64D3B">
        <w:rPr>
          <w:rFonts w:ascii="Arial" w:hAnsi="Arial" w:cs="Arial"/>
          <w:sz w:val="22"/>
          <w:szCs w:val="22"/>
        </w:rPr>
        <w:t>:</w:t>
      </w:r>
      <w:r w:rsidRPr="00F64D3B">
        <w:rPr>
          <w:rFonts w:ascii="Arial" w:hAnsi="Arial" w:cs="Arial"/>
          <w:sz w:val="22"/>
          <w:szCs w:val="22"/>
        </w:rPr>
        <w:t xml:space="preserve"> </w:t>
      </w:r>
      <w:r w:rsidR="00743526" w:rsidRPr="00F64D3B">
        <w:rPr>
          <w:rFonts w:ascii="Arial" w:hAnsi="Arial" w:cs="Arial"/>
          <w:sz w:val="22"/>
          <w:szCs w:val="22"/>
        </w:rPr>
        <w:t>1.32 µg/m³</w:t>
      </w:r>
      <w:r w:rsidR="00824679" w:rsidRPr="00F64D3B">
        <w:rPr>
          <w:rFonts w:ascii="Arial" w:hAnsi="Arial" w:cs="Arial"/>
          <w:sz w:val="22"/>
          <w:szCs w:val="22"/>
        </w:rPr>
        <w:t>;</w:t>
      </w:r>
      <w:r w:rsidR="00743526" w:rsidRPr="00F64D3B">
        <w:rPr>
          <w:rFonts w:ascii="Arial" w:hAnsi="Arial" w:cs="Arial"/>
          <w:sz w:val="22"/>
          <w:szCs w:val="22"/>
        </w:rPr>
        <w:t xml:space="preserve"> </w:t>
      </w:r>
      <w:r w:rsidR="00824679" w:rsidRPr="00F64D3B">
        <w:rPr>
          <w:rFonts w:ascii="Arial" w:hAnsi="Arial" w:cs="Arial"/>
          <w:sz w:val="22"/>
          <w:szCs w:val="22"/>
        </w:rPr>
        <w:t>range:</w:t>
      </w:r>
      <w:r w:rsidR="00743526" w:rsidRPr="00F64D3B">
        <w:rPr>
          <w:rFonts w:ascii="Arial" w:hAnsi="Arial" w:cs="Arial"/>
          <w:sz w:val="22"/>
          <w:szCs w:val="22"/>
        </w:rPr>
        <w:t xml:space="preserve"> </w:t>
      </w:r>
      <w:r w:rsidR="00824679" w:rsidRPr="00F64D3B">
        <w:rPr>
          <w:rFonts w:ascii="Arial" w:hAnsi="Arial" w:cs="Arial"/>
          <w:sz w:val="22"/>
          <w:szCs w:val="22"/>
        </w:rPr>
        <w:t>0.30-9.04</w:t>
      </w:r>
      <w:r w:rsidR="00743526" w:rsidRPr="00F64D3B">
        <w:rPr>
          <w:rFonts w:ascii="Arial" w:hAnsi="Arial" w:cs="Arial"/>
          <w:sz w:val="22"/>
          <w:szCs w:val="22"/>
        </w:rPr>
        <w:t xml:space="preserve"> µg/m</w:t>
      </w:r>
      <w:r w:rsidR="00743526" w:rsidRPr="00F64D3B">
        <w:rPr>
          <w:rFonts w:ascii="Arial" w:hAnsi="Arial" w:cs="Arial"/>
          <w:sz w:val="22"/>
          <w:szCs w:val="22"/>
          <w:vertAlign w:val="superscript"/>
        </w:rPr>
        <w:t>3</w:t>
      </w:r>
      <w:r w:rsidR="00743526" w:rsidRPr="00F64D3B">
        <w:rPr>
          <w:rFonts w:ascii="Arial" w:hAnsi="Arial" w:cs="Arial"/>
          <w:sz w:val="22"/>
          <w:szCs w:val="22"/>
        </w:rPr>
        <w:t>)</w:t>
      </w:r>
      <w:r w:rsidR="00570A52" w:rsidRPr="00F64D3B">
        <w:rPr>
          <w:rFonts w:ascii="Arial" w:hAnsi="Arial" w:cs="Arial"/>
          <w:sz w:val="22"/>
          <w:szCs w:val="22"/>
        </w:rPr>
        <w:t xml:space="preserve">, </w:t>
      </w:r>
      <w:r w:rsidR="008964EC" w:rsidRPr="00F64D3B">
        <w:rPr>
          <w:rFonts w:ascii="Arial" w:hAnsi="Arial" w:cs="Arial"/>
          <w:sz w:val="22"/>
          <w:szCs w:val="22"/>
        </w:rPr>
        <w:t>but</w:t>
      </w:r>
      <w:r w:rsidR="00C41813" w:rsidRPr="00F64D3B">
        <w:rPr>
          <w:rFonts w:ascii="Arial" w:hAnsi="Arial" w:cs="Arial"/>
          <w:sz w:val="22"/>
          <w:szCs w:val="22"/>
        </w:rPr>
        <w:t xml:space="preserve"> concentrations were </w:t>
      </w:r>
      <w:r w:rsidR="008964EC" w:rsidRPr="00F64D3B">
        <w:rPr>
          <w:rFonts w:ascii="Arial" w:hAnsi="Arial" w:cs="Arial"/>
          <w:sz w:val="22"/>
          <w:szCs w:val="22"/>
        </w:rPr>
        <w:t xml:space="preserve">generally </w:t>
      </w:r>
      <w:r w:rsidR="00C41813" w:rsidRPr="00F64D3B">
        <w:rPr>
          <w:rFonts w:ascii="Arial" w:hAnsi="Arial" w:cs="Arial"/>
          <w:sz w:val="22"/>
          <w:szCs w:val="22"/>
        </w:rPr>
        <w:t>higher in industrial, vs. non-industrial</w:t>
      </w:r>
      <w:r w:rsidR="00484317">
        <w:rPr>
          <w:rFonts w:ascii="Arial" w:hAnsi="Arial" w:cs="Arial"/>
          <w:sz w:val="22"/>
          <w:szCs w:val="22"/>
        </w:rPr>
        <w:t>, and high-traffic, vs. low-traffic areas</w:t>
      </w:r>
      <w:r w:rsidR="00AB6C67">
        <w:rPr>
          <w:rFonts w:ascii="Arial" w:hAnsi="Arial" w:cs="Arial"/>
          <w:sz w:val="22"/>
          <w:szCs w:val="22"/>
        </w:rPr>
        <w:t xml:space="preserve">. </w:t>
      </w:r>
      <w:r w:rsidR="001C770A">
        <w:rPr>
          <w:rFonts w:ascii="Arial" w:hAnsi="Arial" w:cs="Arial"/>
          <w:sz w:val="22"/>
          <w:szCs w:val="22"/>
        </w:rPr>
        <w:t>We identified (</w:t>
      </w:r>
      <w:proofErr w:type="spellStart"/>
      <w:proofErr w:type="gramStart"/>
      <w:r w:rsidR="001C770A">
        <w:rPr>
          <w:rFonts w:ascii="Arial" w:hAnsi="Arial" w:cs="Arial"/>
          <w:i/>
          <w:iCs/>
          <w:sz w:val="22"/>
          <w:szCs w:val="22"/>
        </w:rPr>
        <w:t>m,p</w:t>
      </w:r>
      <w:proofErr w:type="spellEnd"/>
      <w:proofErr w:type="gramEnd"/>
      <w:r w:rsidR="001C770A">
        <w:rPr>
          <w:rFonts w:ascii="Arial" w:hAnsi="Arial" w:cs="Arial"/>
          <w:sz w:val="22"/>
          <w:szCs w:val="22"/>
        </w:rPr>
        <w:t>)-xylenes as a potential pollutant of concern</w:t>
      </w:r>
      <w:r w:rsidR="00F76468">
        <w:rPr>
          <w:rFonts w:ascii="Arial" w:hAnsi="Arial" w:cs="Arial"/>
          <w:sz w:val="22"/>
          <w:szCs w:val="22"/>
        </w:rPr>
        <w:t xml:space="preserve">, with high concentrations particularly among industrial sites. </w:t>
      </w:r>
      <w:r w:rsidR="00A4071A" w:rsidRPr="00F64D3B">
        <w:rPr>
          <w:rFonts w:ascii="Arial" w:hAnsi="Arial" w:cs="Arial"/>
          <w:sz w:val="22"/>
          <w:szCs w:val="22"/>
        </w:rPr>
        <w:t xml:space="preserve">T/B and </w:t>
      </w:r>
      <w:r w:rsidR="00AB6C67">
        <w:rPr>
          <w:rFonts w:ascii="Arial" w:hAnsi="Arial" w:cs="Arial"/>
          <w:sz w:val="22"/>
          <w:szCs w:val="22"/>
        </w:rPr>
        <w:t>X</w:t>
      </w:r>
      <w:r w:rsidR="00A4071A" w:rsidRPr="00F64D3B">
        <w:rPr>
          <w:rFonts w:ascii="Arial" w:hAnsi="Arial" w:cs="Arial"/>
          <w:sz w:val="22"/>
          <w:szCs w:val="22"/>
        </w:rPr>
        <w:t xml:space="preserve">/E ratios were higher among industrial and high-traffic sites, indicating fresh emissions of benzene derivatives. </w:t>
      </w:r>
      <w:r w:rsidR="00120B33" w:rsidRPr="00F64D3B">
        <w:rPr>
          <w:rFonts w:ascii="Arial" w:hAnsi="Arial" w:cs="Arial"/>
          <w:sz w:val="22"/>
          <w:szCs w:val="22"/>
        </w:rPr>
        <w:t xml:space="preserve">PCA </w:t>
      </w:r>
      <w:r w:rsidR="00E614CD">
        <w:rPr>
          <w:rFonts w:ascii="Arial" w:hAnsi="Arial" w:cs="Arial"/>
          <w:sz w:val="22"/>
          <w:szCs w:val="22"/>
        </w:rPr>
        <w:t xml:space="preserve">and PMF </w:t>
      </w:r>
      <w:r w:rsidR="008964EC" w:rsidRPr="00F64D3B">
        <w:rPr>
          <w:rFonts w:ascii="Arial" w:hAnsi="Arial" w:cs="Arial"/>
          <w:sz w:val="22"/>
          <w:szCs w:val="22"/>
        </w:rPr>
        <w:t xml:space="preserve">revealed four </w:t>
      </w:r>
      <w:r w:rsidR="00E614CD">
        <w:rPr>
          <w:rFonts w:ascii="Arial" w:hAnsi="Arial" w:cs="Arial"/>
          <w:sz w:val="22"/>
          <w:szCs w:val="22"/>
        </w:rPr>
        <w:t>common</w:t>
      </w:r>
      <w:r w:rsidR="008964EC" w:rsidRPr="00F64D3B">
        <w:rPr>
          <w:rFonts w:ascii="Arial" w:hAnsi="Arial" w:cs="Arial"/>
          <w:sz w:val="22"/>
          <w:szCs w:val="22"/>
        </w:rPr>
        <w:t xml:space="preserve"> source groupings</w:t>
      </w:r>
      <w:r w:rsidR="00120B33" w:rsidRPr="00F64D3B">
        <w:rPr>
          <w:rFonts w:ascii="Arial" w:hAnsi="Arial" w:cs="Arial"/>
          <w:sz w:val="22"/>
          <w:szCs w:val="22"/>
        </w:rPr>
        <w:t xml:space="preserve">: (1) </w:t>
      </w:r>
      <w:r w:rsidR="002024EB" w:rsidRPr="00F64D3B">
        <w:rPr>
          <w:rFonts w:ascii="Arial" w:hAnsi="Arial" w:cs="Arial"/>
          <w:sz w:val="22"/>
          <w:szCs w:val="22"/>
        </w:rPr>
        <w:t>mixed industrial and urban combustion sources</w:t>
      </w:r>
      <w:r w:rsidR="00120B33" w:rsidRPr="00F64D3B">
        <w:rPr>
          <w:rFonts w:ascii="Arial" w:hAnsi="Arial" w:cs="Arial"/>
          <w:sz w:val="22"/>
          <w:szCs w:val="22"/>
        </w:rPr>
        <w:t xml:space="preserve">, </w:t>
      </w:r>
      <w:r w:rsidR="00AB6C67">
        <w:rPr>
          <w:rFonts w:ascii="Arial" w:hAnsi="Arial" w:cs="Arial"/>
          <w:sz w:val="22"/>
          <w:szCs w:val="22"/>
        </w:rPr>
        <w:t>(2) petroleum</w:t>
      </w:r>
      <w:r w:rsidR="002B4F36">
        <w:rPr>
          <w:rFonts w:ascii="Arial" w:hAnsi="Arial" w:cs="Arial"/>
          <w:sz w:val="22"/>
          <w:szCs w:val="22"/>
        </w:rPr>
        <w:t>-based solvents</w:t>
      </w:r>
      <w:r w:rsidR="00AB6C67">
        <w:rPr>
          <w:rFonts w:ascii="Arial" w:hAnsi="Arial" w:cs="Arial"/>
          <w:sz w:val="22"/>
          <w:szCs w:val="22"/>
        </w:rPr>
        <w:t xml:space="preserve">, (3) </w:t>
      </w:r>
      <w:r w:rsidR="007144B7">
        <w:rPr>
          <w:rFonts w:ascii="Arial" w:hAnsi="Arial" w:cs="Arial"/>
          <w:sz w:val="22"/>
          <w:szCs w:val="22"/>
        </w:rPr>
        <w:t xml:space="preserve">chlorinated </w:t>
      </w:r>
      <w:r w:rsidR="00AB6C67">
        <w:rPr>
          <w:rFonts w:ascii="Arial" w:hAnsi="Arial" w:cs="Arial"/>
          <w:sz w:val="22"/>
          <w:szCs w:val="22"/>
        </w:rPr>
        <w:t>solvent use, and (4) background / legacy contamination.</w:t>
      </w:r>
      <w:r w:rsidR="00E614CD">
        <w:rPr>
          <w:rFonts w:ascii="Arial" w:hAnsi="Arial" w:cs="Arial"/>
          <w:sz w:val="22"/>
          <w:szCs w:val="22"/>
        </w:rPr>
        <w:t xml:space="preserve"> </w:t>
      </w:r>
    </w:p>
    <w:p w14:paraId="027C1A5C" w14:textId="77777777" w:rsidR="007D5AD2" w:rsidRPr="00F64D3B" w:rsidRDefault="007D5AD2" w:rsidP="005B5DF0">
      <w:pPr>
        <w:autoSpaceDE/>
        <w:autoSpaceDN/>
        <w:adjustRightInd/>
        <w:jc w:val="both"/>
        <w:rPr>
          <w:rFonts w:ascii="Arial" w:hAnsi="Arial" w:cs="Arial"/>
          <w:sz w:val="22"/>
          <w:szCs w:val="22"/>
        </w:rPr>
      </w:pPr>
    </w:p>
    <w:p w14:paraId="02C41BEC" w14:textId="6ADC3390" w:rsidR="002A796E" w:rsidRDefault="0096091C" w:rsidP="005B5DF0">
      <w:pPr>
        <w:autoSpaceDE/>
        <w:autoSpaceDN/>
        <w:adjustRightInd/>
        <w:jc w:val="both"/>
        <w:rPr>
          <w:rFonts w:ascii="Arial" w:hAnsi="Arial" w:cs="Arial"/>
          <w:sz w:val="22"/>
          <w:szCs w:val="22"/>
        </w:rPr>
      </w:pPr>
      <w:r w:rsidRPr="00F64D3B">
        <w:rPr>
          <w:rFonts w:ascii="Arial" w:hAnsi="Arial" w:cs="Arial"/>
          <w:b/>
          <w:bCs/>
          <w:sz w:val="22"/>
          <w:szCs w:val="22"/>
        </w:rPr>
        <w:t>Significance</w:t>
      </w:r>
      <w:r w:rsidR="007D5AD2" w:rsidRPr="00F64D3B">
        <w:rPr>
          <w:rFonts w:ascii="Arial" w:hAnsi="Arial" w:cs="Arial"/>
          <w:b/>
          <w:bCs/>
          <w:sz w:val="22"/>
          <w:szCs w:val="22"/>
        </w:rPr>
        <w:t>:</w:t>
      </w:r>
      <w:r w:rsidR="007D5AD2" w:rsidRPr="00F64D3B">
        <w:rPr>
          <w:rFonts w:ascii="Arial" w:hAnsi="Arial" w:cs="Arial"/>
          <w:sz w:val="22"/>
          <w:szCs w:val="22"/>
        </w:rPr>
        <w:t xml:space="preserve"> </w:t>
      </w:r>
      <w:r w:rsidR="004501C6">
        <w:rPr>
          <w:rFonts w:ascii="Arial" w:hAnsi="Arial" w:cs="Arial"/>
          <w:sz w:val="22"/>
          <w:szCs w:val="22"/>
        </w:rPr>
        <w:t>Using a community-responsive study design, w</w:t>
      </w:r>
      <w:r w:rsidR="00595925">
        <w:rPr>
          <w:rFonts w:ascii="Arial" w:hAnsi="Arial" w:cs="Arial"/>
          <w:sz w:val="22"/>
          <w:szCs w:val="22"/>
        </w:rPr>
        <w:t xml:space="preserve">e characterized </w:t>
      </w:r>
      <w:r w:rsidR="00AE5132">
        <w:rPr>
          <w:rFonts w:ascii="Arial" w:hAnsi="Arial" w:cs="Arial"/>
          <w:sz w:val="22"/>
          <w:szCs w:val="22"/>
        </w:rPr>
        <w:t>38</w:t>
      </w:r>
      <w:r w:rsidR="00595925">
        <w:rPr>
          <w:rFonts w:ascii="Arial" w:hAnsi="Arial" w:cs="Arial"/>
          <w:sz w:val="22"/>
          <w:szCs w:val="22"/>
        </w:rPr>
        <w:t xml:space="preserve"> VOCs in ambient air in a pollution-burdened area of South Philadelphia. </w:t>
      </w:r>
      <w:r w:rsidR="00AE5132">
        <w:rPr>
          <w:rFonts w:ascii="Arial" w:hAnsi="Arial" w:cs="Arial"/>
          <w:sz w:val="22"/>
          <w:szCs w:val="22"/>
        </w:rPr>
        <w:t xml:space="preserve"> Source apportionment analyses </w:t>
      </w:r>
      <w:r w:rsidR="00C53AD6">
        <w:rPr>
          <w:rFonts w:ascii="Arial" w:hAnsi="Arial" w:cs="Arial"/>
          <w:sz w:val="22"/>
          <w:szCs w:val="22"/>
        </w:rPr>
        <w:t>confirmed traffic</w:t>
      </w:r>
      <w:r w:rsidR="00252B9D">
        <w:rPr>
          <w:rFonts w:ascii="Arial" w:hAnsi="Arial" w:cs="Arial"/>
          <w:sz w:val="22"/>
          <w:szCs w:val="22"/>
        </w:rPr>
        <w:t xml:space="preserve"> </w:t>
      </w:r>
      <w:r w:rsidR="00C53AD6">
        <w:rPr>
          <w:rFonts w:ascii="Arial" w:hAnsi="Arial" w:cs="Arial"/>
          <w:sz w:val="22"/>
          <w:szCs w:val="22"/>
        </w:rPr>
        <w:t>and petroleum infrastructure as primary VOC sources in the area, echoing community concern</w:t>
      </w:r>
      <w:r w:rsidR="00416394">
        <w:rPr>
          <w:rFonts w:ascii="Arial" w:hAnsi="Arial" w:cs="Arial"/>
          <w:sz w:val="22"/>
          <w:szCs w:val="22"/>
        </w:rPr>
        <w:t xml:space="preserve">, and </w:t>
      </w:r>
      <w:r w:rsidR="00252B9D">
        <w:rPr>
          <w:rFonts w:ascii="Arial" w:hAnsi="Arial" w:cs="Arial"/>
          <w:sz w:val="22"/>
          <w:szCs w:val="22"/>
        </w:rPr>
        <w:t xml:space="preserve">further identified industrial solvent use and </w:t>
      </w:r>
      <w:r w:rsidR="00BF64B4">
        <w:rPr>
          <w:rFonts w:ascii="Arial" w:hAnsi="Arial" w:cs="Arial"/>
          <w:sz w:val="22"/>
          <w:szCs w:val="22"/>
        </w:rPr>
        <w:t>legacy air pollution as contributors to VOC pollution</w:t>
      </w:r>
      <w:r w:rsidR="00416394">
        <w:rPr>
          <w:rFonts w:ascii="Arial" w:hAnsi="Arial" w:cs="Arial"/>
          <w:sz w:val="22"/>
          <w:szCs w:val="22"/>
        </w:rPr>
        <w:t xml:space="preserve">. </w:t>
      </w:r>
      <w:r w:rsidR="00BF64B4">
        <w:rPr>
          <w:rFonts w:ascii="Arial" w:hAnsi="Arial" w:cs="Arial"/>
          <w:sz w:val="22"/>
          <w:szCs w:val="22"/>
        </w:rPr>
        <w:t xml:space="preserve"> </w:t>
      </w:r>
      <w:r w:rsidR="00E80290" w:rsidRPr="00E80290">
        <w:rPr>
          <w:rFonts w:ascii="Arial" w:hAnsi="Arial" w:cs="Arial"/>
          <w:sz w:val="22"/>
          <w:szCs w:val="22"/>
          <w:highlight w:val="yellow"/>
        </w:rPr>
        <w:t>**need one more sentence here**</w:t>
      </w:r>
    </w:p>
    <w:p w14:paraId="08E7F056" w14:textId="77777777" w:rsidR="003367F4" w:rsidRPr="00F64D3B" w:rsidRDefault="003367F4">
      <w:pPr>
        <w:autoSpaceDE/>
        <w:autoSpaceDN/>
        <w:adjustRightInd/>
        <w:rPr>
          <w:rFonts w:ascii="Arial" w:hAnsi="Arial" w:cs="Arial"/>
          <w:b/>
          <w:bCs/>
          <w:sz w:val="22"/>
          <w:szCs w:val="22"/>
        </w:rPr>
      </w:pPr>
    </w:p>
    <w:p w14:paraId="0A598EA4" w14:textId="77777777" w:rsidR="003367F4" w:rsidRPr="00F64D3B" w:rsidRDefault="003367F4">
      <w:pPr>
        <w:autoSpaceDE/>
        <w:autoSpaceDN/>
        <w:adjustRightInd/>
        <w:rPr>
          <w:rFonts w:ascii="Arial" w:hAnsi="Arial" w:cs="Arial"/>
          <w:b/>
          <w:bCs/>
          <w:sz w:val="22"/>
          <w:szCs w:val="22"/>
        </w:rPr>
      </w:pPr>
    </w:p>
    <w:p w14:paraId="776107E2" w14:textId="77777777" w:rsidR="00CF54EF" w:rsidRPr="00F64D3B" w:rsidRDefault="00BE61BB">
      <w:pPr>
        <w:autoSpaceDE/>
        <w:autoSpaceDN/>
        <w:adjustRightInd/>
        <w:rPr>
          <w:rFonts w:ascii="Arial" w:hAnsi="Arial" w:cs="Arial"/>
          <w:b/>
          <w:bCs/>
          <w:sz w:val="22"/>
          <w:szCs w:val="22"/>
        </w:rPr>
      </w:pPr>
      <w:commentRangeStart w:id="3"/>
      <w:r w:rsidRPr="00F64D3B">
        <w:rPr>
          <w:rFonts w:ascii="Arial" w:hAnsi="Arial" w:cs="Arial"/>
          <w:b/>
          <w:bCs/>
          <w:sz w:val="22"/>
          <w:szCs w:val="22"/>
        </w:rPr>
        <w:t>IMPACT S</w:t>
      </w:r>
      <w:commentRangeStart w:id="4"/>
      <w:r w:rsidRPr="00F64D3B">
        <w:rPr>
          <w:rFonts w:ascii="Arial" w:hAnsi="Arial" w:cs="Arial"/>
          <w:b/>
          <w:bCs/>
          <w:sz w:val="22"/>
          <w:szCs w:val="22"/>
        </w:rPr>
        <w:t>TATEMENT</w:t>
      </w:r>
      <w:commentRangeEnd w:id="3"/>
      <w:r w:rsidR="003367F4" w:rsidRPr="00F64D3B">
        <w:rPr>
          <w:rStyle w:val="CommentReference"/>
          <w:sz w:val="22"/>
          <w:szCs w:val="22"/>
        </w:rPr>
        <w:commentReference w:id="3"/>
      </w:r>
      <w:commentRangeEnd w:id="4"/>
      <w:r w:rsidR="004A3AC0">
        <w:rPr>
          <w:rStyle w:val="CommentReference"/>
        </w:rPr>
        <w:commentReference w:id="4"/>
      </w:r>
    </w:p>
    <w:p w14:paraId="33C8E990" w14:textId="076B7F86" w:rsidR="004A3AC0" w:rsidRDefault="00CF54EF" w:rsidP="006438D6">
      <w:pPr>
        <w:autoSpaceDE/>
        <w:autoSpaceDN/>
        <w:adjustRightInd/>
        <w:jc w:val="both"/>
        <w:rPr>
          <w:rFonts w:ascii="Arial" w:hAnsi="Arial" w:cs="Arial"/>
          <w:sz w:val="22"/>
          <w:szCs w:val="22"/>
        </w:rPr>
      </w:pPr>
      <w:proofErr w:type="spellStart"/>
      <w:r w:rsidRPr="00F64D3B">
        <w:rPr>
          <w:rFonts w:ascii="Arial" w:hAnsi="Arial" w:cs="Arial"/>
          <w:sz w:val="22"/>
          <w:szCs w:val="22"/>
        </w:rPr>
        <w:t>THRIVEair</w:t>
      </w:r>
      <w:proofErr w:type="spellEnd"/>
      <w:r w:rsidR="007728E4">
        <w:rPr>
          <w:rFonts w:ascii="Arial" w:hAnsi="Arial" w:cs="Arial"/>
          <w:sz w:val="22"/>
          <w:szCs w:val="22"/>
        </w:rPr>
        <w:t xml:space="preserve"> was </w:t>
      </w:r>
      <w:r w:rsidRPr="00F64D3B">
        <w:rPr>
          <w:rFonts w:ascii="Arial" w:hAnsi="Arial" w:cs="Arial"/>
          <w:sz w:val="22"/>
          <w:szCs w:val="22"/>
        </w:rPr>
        <w:t>a community-</w:t>
      </w:r>
      <w:r w:rsidR="00DD0C00" w:rsidRPr="00F64D3B">
        <w:rPr>
          <w:rFonts w:ascii="Arial" w:hAnsi="Arial" w:cs="Arial"/>
          <w:sz w:val="22"/>
          <w:szCs w:val="22"/>
        </w:rPr>
        <w:t>based</w:t>
      </w:r>
      <w:r w:rsidRPr="00F64D3B">
        <w:rPr>
          <w:rFonts w:ascii="Arial" w:hAnsi="Arial" w:cs="Arial"/>
          <w:sz w:val="22"/>
          <w:szCs w:val="22"/>
        </w:rPr>
        <w:t xml:space="preserve"> </w:t>
      </w:r>
      <w:r w:rsidR="00292303" w:rsidRPr="00F64D3B">
        <w:rPr>
          <w:rFonts w:ascii="Arial" w:hAnsi="Arial" w:cs="Arial"/>
          <w:sz w:val="22"/>
          <w:szCs w:val="22"/>
        </w:rPr>
        <w:t>volatile organic compound (</w:t>
      </w:r>
      <w:r w:rsidRPr="00F64D3B">
        <w:rPr>
          <w:rFonts w:ascii="Arial" w:hAnsi="Arial" w:cs="Arial"/>
          <w:sz w:val="22"/>
          <w:szCs w:val="22"/>
        </w:rPr>
        <w:t>VOC</w:t>
      </w:r>
      <w:r w:rsidR="00292303" w:rsidRPr="00F64D3B">
        <w:rPr>
          <w:rFonts w:ascii="Arial" w:hAnsi="Arial" w:cs="Arial"/>
          <w:sz w:val="22"/>
          <w:szCs w:val="22"/>
        </w:rPr>
        <w:t>)</w:t>
      </w:r>
      <w:r w:rsidRPr="00F64D3B">
        <w:rPr>
          <w:rFonts w:ascii="Arial" w:hAnsi="Arial" w:cs="Arial"/>
          <w:sz w:val="22"/>
          <w:szCs w:val="22"/>
        </w:rPr>
        <w:t xml:space="preserve"> monitoring campaign in South and Southwest Philadelphia designed in response to residents’ concerns </w:t>
      </w:r>
      <w:r w:rsidR="004A3AC0">
        <w:rPr>
          <w:rFonts w:ascii="Arial" w:hAnsi="Arial" w:cs="Arial"/>
          <w:sz w:val="22"/>
          <w:szCs w:val="22"/>
        </w:rPr>
        <w:t xml:space="preserve">about benzene pollution </w:t>
      </w:r>
      <w:r w:rsidR="00292303" w:rsidRPr="00F64D3B">
        <w:rPr>
          <w:rFonts w:ascii="Arial" w:hAnsi="Arial" w:cs="Arial"/>
          <w:sz w:val="22"/>
          <w:szCs w:val="22"/>
        </w:rPr>
        <w:t>during</w:t>
      </w:r>
      <w:r w:rsidRPr="00F64D3B">
        <w:rPr>
          <w:rFonts w:ascii="Arial" w:hAnsi="Arial" w:cs="Arial"/>
          <w:sz w:val="22"/>
          <w:szCs w:val="22"/>
        </w:rPr>
        <w:t xml:space="preserve"> </w:t>
      </w:r>
      <w:r w:rsidR="00292303" w:rsidRPr="00F64D3B">
        <w:rPr>
          <w:rFonts w:ascii="Arial" w:hAnsi="Arial" w:cs="Arial"/>
          <w:sz w:val="22"/>
          <w:szCs w:val="22"/>
        </w:rPr>
        <w:t xml:space="preserve">the redevelopment of a </w:t>
      </w:r>
      <w:r w:rsidRPr="00F64D3B">
        <w:rPr>
          <w:rFonts w:ascii="Arial" w:hAnsi="Arial" w:cs="Arial"/>
          <w:sz w:val="22"/>
          <w:szCs w:val="22"/>
        </w:rPr>
        <w:t xml:space="preserve">former refinery. </w:t>
      </w:r>
      <w:r w:rsidR="004A3AC0">
        <w:rPr>
          <w:rFonts w:ascii="Arial" w:hAnsi="Arial" w:cs="Arial"/>
          <w:sz w:val="22"/>
          <w:szCs w:val="22"/>
        </w:rPr>
        <w:t>Leveraging data on 37 additional VOC species measured across 20 sites from June 2023 – June 2024, this analysis focuses on characterizing spatial and temporal trends in VOC pollution and source apportionment.</w:t>
      </w:r>
      <w:r w:rsidR="004A3AC0" w:rsidRPr="004A3AC0">
        <w:rPr>
          <w:rFonts w:ascii="Arial" w:hAnsi="Arial" w:cs="Arial"/>
          <w:sz w:val="22"/>
          <w:szCs w:val="22"/>
        </w:rPr>
        <w:t xml:space="preserve"> </w:t>
      </w:r>
      <w:r w:rsidR="004A3AC0">
        <w:rPr>
          <w:rFonts w:ascii="Arial" w:hAnsi="Arial" w:cs="Arial"/>
          <w:sz w:val="22"/>
          <w:szCs w:val="22"/>
        </w:rPr>
        <w:t xml:space="preserve">Source apportionment analyses identified </w:t>
      </w:r>
      <w:r w:rsidR="004A3AC0" w:rsidRPr="00F64D3B">
        <w:rPr>
          <w:rFonts w:ascii="Arial" w:hAnsi="Arial" w:cs="Arial"/>
          <w:sz w:val="22"/>
          <w:szCs w:val="22"/>
        </w:rPr>
        <w:t xml:space="preserve">four </w:t>
      </w:r>
      <w:r w:rsidR="004A3AC0">
        <w:rPr>
          <w:rFonts w:ascii="Arial" w:hAnsi="Arial" w:cs="Arial"/>
          <w:sz w:val="22"/>
          <w:szCs w:val="22"/>
        </w:rPr>
        <w:t>VOC source</w:t>
      </w:r>
      <w:r w:rsidR="004A3AC0">
        <w:rPr>
          <w:rFonts w:ascii="Arial" w:hAnsi="Arial" w:cs="Arial"/>
          <w:sz w:val="22"/>
          <w:szCs w:val="22"/>
        </w:rPr>
        <w:t xml:space="preserve"> groups</w:t>
      </w:r>
      <w:r w:rsidR="004A3AC0">
        <w:rPr>
          <w:rFonts w:ascii="Arial" w:hAnsi="Arial" w:cs="Arial"/>
          <w:sz w:val="22"/>
          <w:szCs w:val="22"/>
        </w:rPr>
        <w:t>:</w:t>
      </w:r>
      <w:r w:rsidR="004A3AC0" w:rsidRPr="00F64D3B">
        <w:rPr>
          <w:rFonts w:ascii="Arial" w:hAnsi="Arial" w:cs="Arial"/>
          <w:sz w:val="22"/>
          <w:szCs w:val="22"/>
        </w:rPr>
        <w:t xml:space="preserve"> (1) mixed industrial and urban combustion sources</w:t>
      </w:r>
      <w:r w:rsidR="00011407">
        <w:rPr>
          <w:rFonts w:ascii="Arial" w:hAnsi="Arial" w:cs="Arial"/>
          <w:sz w:val="22"/>
          <w:szCs w:val="22"/>
        </w:rPr>
        <w:t>,</w:t>
      </w:r>
      <w:r w:rsidR="004A3AC0">
        <w:rPr>
          <w:rFonts w:ascii="Arial" w:hAnsi="Arial" w:cs="Arial"/>
          <w:sz w:val="22"/>
          <w:szCs w:val="22"/>
        </w:rPr>
        <w:t xml:space="preserve"> (</w:t>
      </w:r>
      <w:r w:rsidR="004A3AC0">
        <w:rPr>
          <w:rFonts w:ascii="Arial" w:hAnsi="Arial" w:cs="Arial"/>
          <w:sz w:val="22"/>
          <w:szCs w:val="22"/>
        </w:rPr>
        <w:t xml:space="preserve">2) </w:t>
      </w:r>
      <w:r w:rsidR="00011407">
        <w:rPr>
          <w:rFonts w:ascii="Arial" w:hAnsi="Arial" w:cs="Arial"/>
          <w:sz w:val="22"/>
          <w:szCs w:val="22"/>
        </w:rPr>
        <w:t>petroleum-based solvent usage</w:t>
      </w:r>
      <w:r w:rsidR="004A3AC0">
        <w:rPr>
          <w:rFonts w:ascii="Arial" w:hAnsi="Arial" w:cs="Arial"/>
          <w:sz w:val="22"/>
          <w:szCs w:val="22"/>
        </w:rPr>
        <w:t xml:space="preserve"> </w:t>
      </w:r>
      <w:r w:rsidR="004A3AC0">
        <w:rPr>
          <w:rFonts w:ascii="Arial" w:hAnsi="Arial" w:cs="Arial"/>
          <w:sz w:val="22"/>
          <w:szCs w:val="22"/>
        </w:rPr>
        <w:t xml:space="preserve">(3) </w:t>
      </w:r>
      <w:r w:rsidR="00011407">
        <w:rPr>
          <w:rFonts w:ascii="Arial" w:hAnsi="Arial" w:cs="Arial"/>
          <w:sz w:val="22"/>
          <w:szCs w:val="22"/>
        </w:rPr>
        <w:t>chlorinated solvent use</w:t>
      </w:r>
      <w:r w:rsidR="004A3AC0">
        <w:rPr>
          <w:rFonts w:ascii="Arial" w:hAnsi="Arial" w:cs="Arial"/>
          <w:sz w:val="22"/>
          <w:szCs w:val="22"/>
        </w:rPr>
        <w:t xml:space="preserve"> </w:t>
      </w:r>
      <w:r w:rsidR="004A3AC0">
        <w:rPr>
          <w:rFonts w:ascii="Arial" w:hAnsi="Arial" w:cs="Arial"/>
          <w:sz w:val="22"/>
          <w:szCs w:val="22"/>
        </w:rPr>
        <w:t>and (4) background / legacy contamination</w:t>
      </w:r>
      <w:r w:rsidR="004A3AC0">
        <w:rPr>
          <w:rFonts w:ascii="Arial" w:hAnsi="Arial" w:cs="Arial"/>
          <w:sz w:val="22"/>
          <w:szCs w:val="22"/>
        </w:rPr>
        <w:t xml:space="preserve"> identified as additional VOC sources. </w:t>
      </w:r>
      <w:r w:rsidR="003656A8" w:rsidRPr="003656A8">
        <w:rPr>
          <w:rFonts w:ascii="Arial" w:hAnsi="Arial" w:cs="Arial"/>
          <w:sz w:val="22"/>
          <w:szCs w:val="22"/>
          <w:highlight w:val="yellow"/>
        </w:rPr>
        <w:t>*</w:t>
      </w:r>
      <w:proofErr w:type="gramStart"/>
      <w:r w:rsidR="003656A8" w:rsidRPr="003656A8">
        <w:rPr>
          <w:rFonts w:ascii="Arial" w:hAnsi="Arial" w:cs="Arial"/>
          <w:sz w:val="22"/>
          <w:szCs w:val="22"/>
          <w:highlight w:val="yellow"/>
        </w:rPr>
        <w:t>need</w:t>
      </w:r>
      <w:proofErr w:type="gramEnd"/>
      <w:r w:rsidR="003656A8" w:rsidRPr="003656A8">
        <w:rPr>
          <w:rFonts w:ascii="Arial" w:hAnsi="Arial" w:cs="Arial"/>
          <w:sz w:val="22"/>
          <w:szCs w:val="22"/>
          <w:highlight w:val="yellow"/>
        </w:rPr>
        <w:t xml:space="preserve"> one more sentence here*</w:t>
      </w:r>
    </w:p>
    <w:p w14:paraId="10235680" w14:textId="77777777" w:rsidR="004A3AC0" w:rsidRDefault="004A3AC0" w:rsidP="006438D6">
      <w:pPr>
        <w:autoSpaceDE/>
        <w:autoSpaceDN/>
        <w:adjustRightInd/>
        <w:jc w:val="both"/>
        <w:rPr>
          <w:rFonts w:ascii="Arial" w:hAnsi="Arial" w:cs="Arial"/>
          <w:sz w:val="22"/>
          <w:szCs w:val="22"/>
        </w:rPr>
      </w:pPr>
    </w:p>
    <w:p w14:paraId="1A5F0DFA" w14:textId="77777777" w:rsidR="00A849F4" w:rsidRDefault="00A849F4" w:rsidP="006438D6">
      <w:pPr>
        <w:autoSpaceDE/>
        <w:autoSpaceDN/>
        <w:adjustRightInd/>
        <w:jc w:val="both"/>
        <w:rPr>
          <w:rFonts w:ascii="Arial" w:hAnsi="Arial" w:cs="Arial"/>
          <w:sz w:val="22"/>
          <w:szCs w:val="22"/>
        </w:rPr>
      </w:pPr>
    </w:p>
    <w:p w14:paraId="0369EAE7" w14:textId="77777777" w:rsidR="006438D6" w:rsidRPr="00F64D3B" w:rsidRDefault="006438D6">
      <w:pPr>
        <w:autoSpaceDE/>
        <w:autoSpaceDN/>
        <w:adjustRightInd/>
        <w:rPr>
          <w:rFonts w:ascii="Arial" w:hAnsi="Arial" w:cs="Arial"/>
          <w:sz w:val="22"/>
          <w:szCs w:val="22"/>
        </w:rPr>
      </w:pPr>
      <w:r w:rsidRPr="00F64D3B">
        <w:rPr>
          <w:rFonts w:ascii="Arial" w:hAnsi="Arial" w:cs="Arial"/>
          <w:sz w:val="22"/>
          <w:szCs w:val="22"/>
        </w:rPr>
        <w:br w:type="page"/>
      </w:r>
    </w:p>
    <w:p w14:paraId="6C43C2F4" w14:textId="6F469FB6" w:rsidR="00216DE2" w:rsidRPr="00F64D3B" w:rsidRDefault="00216DE2" w:rsidP="00973130">
      <w:pPr>
        <w:spacing w:line="360" w:lineRule="auto"/>
        <w:jc w:val="both"/>
        <w:rPr>
          <w:rFonts w:ascii="Arial" w:hAnsi="Arial" w:cs="Arial"/>
          <w:sz w:val="22"/>
          <w:szCs w:val="22"/>
        </w:rPr>
      </w:pPr>
      <w:r w:rsidRPr="00F64D3B">
        <w:rPr>
          <w:rFonts w:ascii="Arial" w:hAnsi="Arial" w:cs="Arial"/>
          <w:b/>
          <w:bCs/>
          <w:sz w:val="22"/>
          <w:szCs w:val="22"/>
        </w:rPr>
        <w:lastRenderedPageBreak/>
        <w:t>INTRODUCTION</w:t>
      </w:r>
    </w:p>
    <w:p w14:paraId="2789CAB2" w14:textId="621CE076" w:rsidR="000A58AA" w:rsidRDefault="00D354A3" w:rsidP="00973130">
      <w:pPr>
        <w:spacing w:line="360" w:lineRule="auto"/>
        <w:jc w:val="both"/>
        <w:rPr>
          <w:rFonts w:ascii="Arial" w:hAnsi="Arial" w:cs="Arial"/>
          <w:sz w:val="22"/>
          <w:szCs w:val="22"/>
        </w:rPr>
      </w:pPr>
      <w:r w:rsidRPr="00F64D3B">
        <w:rPr>
          <w:rFonts w:ascii="Arial" w:hAnsi="Arial" w:cs="Arial"/>
          <w:sz w:val="22"/>
          <w:szCs w:val="22"/>
        </w:rPr>
        <w:t>Urban populations are exposed to a wide range of volatile organic compounds (VOCs) with a range of health impacts</w:t>
      </w:r>
      <w:r w:rsidR="004D6A88" w:rsidRPr="00F64D3B">
        <w:rPr>
          <w:rFonts w:ascii="Arial" w:hAnsi="Arial" w:cs="Arial"/>
          <w:sz w:val="22"/>
          <w:szCs w:val="22"/>
        </w:rPr>
        <w:t xml:space="preserve"> from sources including local fossil fuel combustion and industrial sources and long-range transpor</w:t>
      </w:r>
      <w:r w:rsidR="00514833" w:rsidRPr="00F64D3B">
        <w:rPr>
          <w:rFonts w:ascii="Arial" w:hAnsi="Arial" w:cs="Arial"/>
          <w:sz w:val="22"/>
          <w:szCs w:val="22"/>
        </w:rPr>
        <w:t>t from other urban areas</w:t>
      </w:r>
      <w:r w:rsidR="007B2276">
        <w:rPr>
          <w:rFonts w:ascii="Arial" w:hAnsi="Arial" w:cs="Arial"/>
          <w:sz w:val="22"/>
          <w:szCs w:val="22"/>
        </w:rPr>
        <w:t>.</w:t>
      </w:r>
      <w:r w:rsidR="00E26B40" w:rsidRPr="00F64D3B">
        <w:rPr>
          <w:rFonts w:ascii="Arial" w:hAnsi="Arial" w:cs="Arial"/>
          <w:sz w:val="22"/>
          <w:szCs w:val="22"/>
        </w:rPr>
        <w:t xml:space="preserve"> </w:t>
      </w:r>
      <w:r w:rsidR="00296CF0">
        <w:rPr>
          <w:rFonts w:ascii="Arial" w:hAnsi="Arial" w:cs="Arial"/>
          <w:sz w:val="22"/>
          <w:szCs w:val="22"/>
        </w:rPr>
        <w:t xml:space="preserve">VOCs </w:t>
      </w:r>
      <w:r w:rsidR="00C7630C">
        <w:rPr>
          <w:rFonts w:ascii="Arial" w:hAnsi="Arial" w:cs="Arial"/>
          <w:sz w:val="22"/>
          <w:szCs w:val="22"/>
        </w:rPr>
        <w:t>can impact health as both carcinogens and noncarcinogens</w:t>
      </w:r>
      <w:r w:rsidR="00D741DB">
        <w:rPr>
          <w:rFonts w:ascii="Arial" w:hAnsi="Arial" w:cs="Arial"/>
          <w:sz w:val="22"/>
          <w:szCs w:val="22"/>
        </w:rPr>
        <w:t>,</w:t>
      </w:r>
      <w:r w:rsidR="00C7630C">
        <w:rPr>
          <w:rFonts w:ascii="Arial" w:hAnsi="Arial" w:cs="Arial"/>
          <w:sz w:val="22"/>
          <w:szCs w:val="22"/>
        </w:rPr>
        <w:t xml:space="preserve"> </w:t>
      </w:r>
      <w:r w:rsidR="000A58AA">
        <w:rPr>
          <w:rFonts w:ascii="Arial" w:hAnsi="Arial" w:cs="Arial"/>
          <w:sz w:val="22"/>
          <w:szCs w:val="22"/>
        </w:rPr>
        <w:t>contributing to several adverse health risks.</w:t>
      </w:r>
      <w:r w:rsidR="000A58AA" w:rsidRPr="00F64D3B">
        <w:rPr>
          <w:rFonts w:ascii="Arial" w:hAnsi="Arial" w:cs="Arial"/>
          <w:sz w:val="22"/>
          <w:szCs w:val="22"/>
        </w:rPr>
        <w:fldChar w:fldCharType="begin"/>
      </w:r>
      <w:r w:rsidR="00162525">
        <w:rPr>
          <w:rFonts w:ascii="Arial" w:hAnsi="Arial" w:cs="Arial"/>
          <w:sz w:val="22"/>
          <w:szCs w:val="22"/>
        </w:rPr>
        <w:instrText xml:space="preserve"> ADDIN ZOTERO_ITEM CSL_CITATION {"citationID":"78ggGAs9","properties":{"formattedCitation":"\\super 1,2\\nosupersub{}","plainCitation":"1,2","noteIndex":0},"citationItems":[{"id":16780,"uris":["http://zotero.org/groups/4923232/items/K4U7JEP9"],"itemData":{"id":16780,"type":"article-journal","abstract":"Volatile organic compounds (VOCs) are synthetic chemicals that are broadly used in the production of numerous day-to-day products for residential and commercial-based applications. VOCs are naturally occurring in the environment; however, average annual emissions of man-made volatile organic compounds may have increased dramatically in recent decades. Although many factors were attributed to influencing volatile compounds' emission, only mankind's activities are mainly proclaimed. Since vehicle and industrial pollution are mounting for years and years, urban areas are highly prone to the impacts of VOCs. Generally, volatile compounds are highly spontaneous and readily react with the particles of ambiance and produce a polluted atmosphere through several physical and chemical reactions. Though the volatile compounds play an indispensable role in the manufacture and maintaining the stability of many products, the health impacts associated with their prolonged exposure are gaining attention as recent research reports underline the influence of a wide range of diseases and disorders. Likewise, since the modern way of life applies a lot of day-to-day chemicals, it is imperative to spread a wide knowledge and safety aspects about these chemicals so that people of a wide category can implement preventive measures according to their exposure and living style. In this context, the review article attempts to shed light on past and current updates concerning the relationship between VOCs exposure and environmental and human health impacts.","container-title":"Chemosphere","DOI":"10.1016/j.chemosphere.2022.137489","ISSN":"1879-1298","journalAbbreviation":"Chemosphere","language":"eng","note":"PMID: 36513206","page":"137489","source":"PubMed","title":"Environmental and human health impacts of volatile organic compounds: A perspective review","title-short":"Environmental and human health impacts of volatile organic compounds","volume":"313","author":[{"family":"Zhou","given":"Xihe"},{"family":"Zhou","given":"Xiang"},{"family":"Wang","given":"Chengming"},{"family":"Zhou","given":"Handong"}],"issued":{"date-parts":[["2023",2]]}}},{"id":16686,"uris":["http://zotero.org/groups/4923232/items/BP6VBEGK"],"itemData":{"id":16686,"type":"article-journal","abstract":"Background:\nCumulative risk assessment (CRA) is key to characterizing health risks in fenceline and disadvantaged communities, which face environmental pollution and challenging socioeconomic conditions. Traditional approaches for inclusion of mixtures in CRA are limited and only assess the most sensitive target organ system for each chemical.\nMethods:\nWe developed an expanded approach to cumulative risk assessment that considers all known target organ systems associated with a chemical. Specifically, we created a multi-effects toxicity database by a) compiling toxicological and epidemiological data from the Agency for Toxic Substances and Disease Registry’s (ATSDR) Toxicological Profiles and the Environmental Protection Agency (US EPA) CompTox Chemicals Dashboard; b) developing a tiering system to prioritize identified data for use in developing toxicity values; and c) accounting for uncertainty to create toxicity values for additional target organ systems. We demonstrated differences between the traditional approach and our expanded approach by using state-of-the-art mobile monitoring data from our Southeastern Pennsylvania Hazardous Air Pollutant Monitoring and Assessment Project (SEPA HAP-MAP) to conduct a cumulative risk assessment.\nResults:\nOf the 32 chemicals quantified in SEPA HAP-MAP, 28 were represented in our multi-effects toxicity database, whereas only 16 were included using a traditional approach. In total, we derived toxicity values for 172 chemical-target organ system combinations. Our expanded approach found neurological, renal, respiratory, endocrine, and systemic risks (hazard index &gt;1) in SEPA HAP-MAP fenceline communities, whereas no risks were identified using a traditional approach limited to the most sensitive target organ systems only.\nConclusion:\nOur results suggest that traditional approaches to CRA underestimate health risks in fenceline and other highly exposed communities and highlight the need for improved methods to inform health-protective and just risk management decisions. https://doi-org.ezproxy2.library.drexel.edu/10.1289/EHP14696","container-title":"Environmental Health Perspectives","DOI":"10.1289/EHP14696","issue":"5","note":"publisher: Environmental Health Perspectives\nPMID: 40127300\nPMCID: PMC12061051","page":"057004","source":"ehp-niehs-nih-gov.ezproxy2.library.drexel.edu (Atypon)","title":"Improving Methodologies for Cumulative Risk Assessment: A Case Study of Noncarcinogenic Health Risks from Volatile Organic Compounds in Fenceline Communities in Southeastern Pennsylvania","title-short":"Improving Methodologies for Cumulative Risk Assessment","volume":"133","author":[{"family":"Chiger","given":"Andrea A."},{"family":"Gigot","given":"Carolyn"},{"family":"Robinson","given":"Ellis S."},{"family":"Tehrani","given":"Mina W."},{"family":"Claflin","given":"Megan"},{"family":"Fortner","given":"Edward"},{"family":"Stark","given":"Harald"},{"family":"Krechmer","given":"Jordan"},{"family":"Canagaratna","given":"Manjula R."},{"family":"Herndon","given":"Scott"},{"family":"Yacovitch","given":"Tara I."},{"family":"Koehler","given":"Kirsten"},{"family":"Rule","given":"Ana M."},{"family":"Burke","given":"Thomas A."},{"family":"Fox","given":"Mary A."},{"family":"DeCarlo","given":"Peter F."},{"family":"Nachman","given":"Keeve E."}],"issued":{"date-parts":[["2025",5]]}}}],"schema":"https://github.com/citation-style-language/schema/raw/master/csl-citation.json"} </w:instrText>
      </w:r>
      <w:r w:rsidR="000A58AA" w:rsidRPr="00F64D3B">
        <w:rPr>
          <w:rFonts w:ascii="Arial" w:hAnsi="Arial" w:cs="Arial"/>
          <w:sz w:val="22"/>
          <w:szCs w:val="22"/>
        </w:rPr>
        <w:fldChar w:fldCharType="separate"/>
      </w:r>
      <w:r w:rsidR="00162525" w:rsidRPr="00162525">
        <w:rPr>
          <w:rFonts w:ascii="Arial" w:hAnsi="Arial" w:cs="Arial"/>
          <w:kern w:val="0"/>
          <w:sz w:val="22"/>
          <w:vertAlign w:val="superscript"/>
        </w:rPr>
        <w:t>1,2</w:t>
      </w:r>
      <w:r w:rsidR="000A58AA" w:rsidRPr="00F64D3B">
        <w:rPr>
          <w:rFonts w:ascii="Arial" w:hAnsi="Arial" w:cs="Arial"/>
          <w:sz w:val="22"/>
          <w:szCs w:val="22"/>
        </w:rPr>
        <w:fldChar w:fldCharType="end"/>
      </w:r>
      <w:r w:rsidR="000A58AA">
        <w:rPr>
          <w:rFonts w:ascii="Arial" w:hAnsi="Arial" w:cs="Arial"/>
          <w:sz w:val="22"/>
          <w:szCs w:val="22"/>
        </w:rPr>
        <w:t xml:space="preserve"> Many VOCs that are common in the urban environment have detrimental health impacts, even at low ambient levels</w:t>
      </w:r>
      <w:r w:rsidR="00D741DB">
        <w:rPr>
          <w:rFonts w:ascii="Arial" w:hAnsi="Arial" w:cs="Arial"/>
          <w:sz w:val="22"/>
          <w:szCs w:val="22"/>
        </w:rPr>
        <w:t xml:space="preserve">. For example, </w:t>
      </w:r>
      <w:r w:rsidR="000A58AA">
        <w:rPr>
          <w:rFonts w:ascii="Arial" w:hAnsi="Arial" w:cs="Arial"/>
          <w:sz w:val="22"/>
          <w:szCs w:val="22"/>
        </w:rPr>
        <w:t>benzene is a known carcinogen, while its derivatives toluene, ethylbenzene, and (</w:t>
      </w:r>
      <w:proofErr w:type="spellStart"/>
      <w:r w:rsidR="000A58AA">
        <w:rPr>
          <w:rFonts w:ascii="Arial" w:hAnsi="Arial" w:cs="Arial"/>
          <w:i/>
          <w:iCs/>
          <w:sz w:val="22"/>
          <w:szCs w:val="22"/>
        </w:rPr>
        <w:t>m,p</w:t>
      </w:r>
      <w:proofErr w:type="spellEnd"/>
      <w:r w:rsidR="000A58AA">
        <w:rPr>
          <w:rFonts w:ascii="Arial" w:hAnsi="Arial" w:cs="Arial"/>
          <w:sz w:val="22"/>
          <w:szCs w:val="22"/>
        </w:rPr>
        <w:t xml:space="preserve">)-xylenes </w:t>
      </w:r>
      <w:r w:rsidR="00CF517F">
        <w:rPr>
          <w:rFonts w:ascii="Arial" w:hAnsi="Arial" w:cs="Arial"/>
          <w:sz w:val="22"/>
          <w:szCs w:val="22"/>
        </w:rPr>
        <w:t xml:space="preserve">(BTEX) </w:t>
      </w:r>
      <w:r w:rsidR="000A58AA">
        <w:rPr>
          <w:rFonts w:ascii="Arial" w:hAnsi="Arial" w:cs="Arial"/>
          <w:sz w:val="22"/>
          <w:szCs w:val="22"/>
        </w:rPr>
        <w:t>have been linked to respiratory and immune-related diseases including asthma.</w:t>
      </w:r>
      <w:r w:rsidR="000A58AA">
        <w:rPr>
          <w:rFonts w:ascii="Arial" w:hAnsi="Arial" w:cs="Arial"/>
          <w:sz w:val="22"/>
          <w:szCs w:val="22"/>
        </w:rPr>
        <w:fldChar w:fldCharType="begin"/>
      </w:r>
      <w:r w:rsidR="00162525">
        <w:rPr>
          <w:rFonts w:ascii="Arial" w:hAnsi="Arial" w:cs="Arial"/>
          <w:sz w:val="22"/>
          <w:szCs w:val="22"/>
        </w:rPr>
        <w:instrText xml:space="preserve"> ADDIN ZOTERO_ITEM CSL_CITATION {"citationID":"WxnRFWwe","properties":{"formattedCitation":"\\super 3\\nosupersub{}","plainCitation":"3","noteIndex":0},"citationItems":[{"id":16869,"uris":["http://zotero.org/groups/4923232/items/6AJ26ZNY"],"itemData":{"id":16869,"type":"article-journal","abstract":"Benzene, toluene, ethylbenzene, and xylene (BTEX) are retrieved during fossil fuel extraction and used as solvents in consumer and industrial products, as gasoline additives, and as intermediates in the synthesis of organic compounds for many consumer products. Emissions from the combustion of gasoline and diesel fuels are the largest contributors to atmospheric BTEX concentrations. However, levels indoors (where people spend greater than 83% of their time) can be many times greater than outdoors. In this review we identified epidemiological studies assessing the noncancer health impacts of ambient level BTEX exposure (i.e., nonoccupational) and discussed how the health conditions may be hormonally mediated. Health effects significantly associated with ambient level exposure included sperm abnormalities, reduced fetal growth, cardiovascular disease, respiratory dysfunction, asthma, sensitization to common antigens, and more. Several hormones including estrogens, androgens, glucocorticoids, insulin, and serotonin may be involved in these health outcomes. This analysis suggests that all four chemicals may have endocrine disrupting properties at exposure levels below reference concentrations (i.e., safe levels) issued by the U.S. Environmental Protection Agency. These data should be considered when evaluating the use of BTEX in consumer and industrial products and indicates a need to change how chemicals present at low concentrations are assessed and regulated.","container-title":"Environmental Science &amp; Technology","DOI":"10.1021/es505316f","ISSN":"0013-936X","issue":"9","journalAbbreviation":"Environ. Sci. Technol.","note":"publisher: American Chemical Society","page":"5261-5276","source":"ACS Publications","title":"New Look at BTEX: Are Ambient Levels a Problem?","title-short":"New Look at BTEX","volume":"49","author":[{"family":"Bolden","given":"Ashley L."},{"family":"Kwiatkowski","given":"Carol F."},{"family":"Colborn","given":"Theo"}],"issued":{"date-parts":[["2015",5,5]]}}}],"schema":"https://github.com/citation-style-language/schema/raw/master/csl-citation.json"} </w:instrText>
      </w:r>
      <w:r w:rsidR="000A58AA">
        <w:rPr>
          <w:rFonts w:ascii="Arial" w:hAnsi="Arial" w:cs="Arial"/>
          <w:sz w:val="22"/>
          <w:szCs w:val="22"/>
        </w:rPr>
        <w:fldChar w:fldCharType="separate"/>
      </w:r>
      <w:r w:rsidR="00162525" w:rsidRPr="00162525">
        <w:rPr>
          <w:rFonts w:ascii="Arial" w:hAnsi="Arial" w:cs="Arial"/>
          <w:kern w:val="0"/>
          <w:sz w:val="22"/>
          <w:vertAlign w:val="superscript"/>
        </w:rPr>
        <w:t>3</w:t>
      </w:r>
      <w:r w:rsidR="000A58AA">
        <w:rPr>
          <w:rFonts w:ascii="Arial" w:hAnsi="Arial" w:cs="Arial"/>
          <w:sz w:val="22"/>
          <w:szCs w:val="22"/>
        </w:rPr>
        <w:fldChar w:fldCharType="end"/>
      </w:r>
      <w:r w:rsidR="00162525">
        <w:rPr>
          <w:rFonts w:ascii="Arial" w:hAnsi="Arial" w:cs="Arial"/>
          <w:sz w:val="22"/>
          <w:szCs w:val="22"/>
        </w:rPr>
        <w:t xml:space="preserve"> </w:t>
      </w:r>
      <w:r w:rsidR="00162525" w:rsidRPr="00F64D3B">
        <w:rPr>
          <w:rFonts w:ascii="Arial" w:hAnsi="Arial" w:cs="Arial"/>
          <w:sz w:val="22"/>
          <w:szCs w:val="22"/>
        </w:rPr>
        <w:t>In the United States (US), several VOCs are designated as Hazardous Air Pollutants</w:t>
      </w:r>
      <w:r w:rsidR="00162525">
        <w:rPr>
          <w:rFonts w:ascii="Arial" w:hAnsi="Arial" w:cs="Arial"/>
          <w:sz w:val="22"/>
          <w:szCs w:val="22"/>
        </w:rPr>
        <w:t xml:space="preserve">, </w:t>
      </w:r>
      <w:r w:rsidR="00162525" w:rsidRPr="00F64D3B">
        <w:rPr>
          <w:rFonts w:ascii="Arial" w:hAnsi="Arial" w:cs="Arial"/>
          <w:sz w:val="22"/>
          <w:szCs w:val="22"/>
        </w:rPr>
        <w:t>which allows for regulation of point source emissions</w:t>
      </w:r>
      <w:r w:rsidR="00162525">
        <w:rPr>
          <w:rFonts w:ascii="Arial" w:hAnsi="Arial" w:cs="Arial"/>
          <w:sz w:val="22"/>
          <w:szCs w:val="22"/>
        </w:rPr>
        <w:t xml:space="preserve"> by the Environmental Protection Agency (EPA) under the Clean Air Act</w:t>
      </w:r>
      <w:r w:rsidR="00162525" w:rsidRPr="00F64D3B">
        <w:rPr>
          <w:rFonts w:ascii="Arial" w:hAnsi="Arial" w:cs="Arial"/>
          <w:sz w:val="22"/>
          <w:szCs w:val="22"/>
        </w:rPr>
        <w:t>.</w:t>
      </w:r>
      <w:r w:rsidR="00162525">
        <w:rPr>
          <w:rFonts w:ascii="Arial" w:hAnsi="Arial" w:cs="Arial"/>
          <w:sz w:val="22"/>
          <w:szCs w:val="22"/>
        </w:rPr>
        <w:fldChar w:fldCharType="begin"/>
      </w:r>
      <w:r w:rsidR="00162525">
        <w:rPr>
          <w:rFonts w:ascii="Arial" w:hAnsi="Arial" w:cs="Arial"/>
          <w:sz w:val="22"/>
          <w:szCs w:val="22"/>
        </w:rPr>
        <w:instrText xml:space="preserve"> ADDIN ZOTERO_ITEM CSL_CITATION {"citationID":"YilD4Ir7","properties":{"formattedCitation":"\\super 4\\nosupersub{}","plainCitation":"4","noteIndex":0},"citationItems":[{"id":16750,"uris":["http://zotero.org/groups/4923232/items/IJ5MUIEU"],"itemData":{"id":16750,"type":"legislation","container-title":"United States Code","section":"7401-7431","title":"Clean Air Act","volume":"42","issued":{"date-parts":[["2013"]]}}}],"schema":"https://github.com/citation-style-language/schema/raw/master/csl-citation.json"} </w:instrText>
      </w:r>
      <w:r w:rsidR="00162525">
        <w:rPr>
          <w:rFonts w:ascii="Arial" w:hAnsi="Arial" w:cs="Arial"/>
          <w:sz w:val="22"/>
          <w:szCs w:val="22"/>
        </w:rPr>
        <w:fldChar w:fldCharType="separate"/>
      </w:r>
      <w:r w:rsidR="00162525" w:rsidRPr="00162525">
        <w:rPr>
          <w:rFonts w:ascii="Arial" w:hAnsi="Arial" w:cs="Arial"/>
          <w:kern w:val="0"/>
          <w:sz w:val="22"/>
          <w:vertAlign w:val="superscript"/>
        </w:rPr>
        <w:t>4</w:t>
      </w:r>
      <w:r w:rsidR="00162525">
        <w:rPr>
          <w:rFonts w:ascii="Arial" w:hAnsi="Arial" w:cs="Arial"/>
          <w:sz w:val="22"/>
          <w:szCs w:val="22"/>
        </w:rPr>
        <w:fldChar w:fldCharType="end"/>
      </w:r>
      <w:r w:rsidR="00162525" w:rsidRPr="00F64D3B">
        <w:rPr>
          <w:rFonts w:ascii="Arial" w:hAnsi="Arial" w:cs="Arial"/>
          <w:sz w:val="22"/>
          <w:szCs w:val="22"/>
        </w:rPr>
        <w:t xml:space="preserve"> However, the National Ambient Air Quality Standards do not regulate any VOCs in ambient air.</w:t>
      </w:r>
    </w:p>
    <w:p w14:paraId="39C268CE" w14:textId="77777777" w:rsidR="00D741DB" w:rsidRDefault="00D741DB" w:rsidP="00973130">
      <w:pPr>
        <w:spacing w:line="360" w:lineRule="auto"/>
        <w:jc w:val="both"/>
        <w:rPr>
          <w:rFonts w:ascii="Arial" w:hAnsi="Arial" w:cs="Arial"/>
          <w:sz w:val="22"/>
          <w:szCs w:val="22"/>
        </w:rPr>
      </w:pPr>
    </w:p>
    <w:p w14:paraId="279930C7" w14:textId="07E5F831" w:rsidR="000C6162" w:rsidRDefault="00E26B40" w:rsidP="00973130">
      <w:pPr>
        <w:spacing w:line="360" w:lineRule="auto"/>
        <w:jc w:val="both"/>
        <w:rPr>
          <w:rFonts w:ascii="Arial" w:hAnsi="Arial" w:cs="Arial"/>
          <w:sz w:val="22"/>
          <w:szCs w:val="22"/>
        </w:rPr>
      </w:pPr>
      <w:r w:rsidRPr="00F64D3B">
        <w:rPr>
          <w:rFonts w:ascii="Arial" w:hAnsi="Arial" w:cs="Arial"/>
          <w:sz w:val="22"/>
          <w:szCs w:val="22"/>
        </w:rPr>
        <w:t>In urban communities that border industrial areas (often called “</w:t>
      </w:r>
      <w:proofErr w:type="spellStart"/>
      <w:r w:rsidRPr="00F64D3B">
        <w:rPr>
          <w:rFonts w:ascii="Arial" w:hAnsi="Arial" w:cs="Arial"/>
          <w:sz w:val="22"/>
          <w:szCs w:val="22"/>
        </w:rPr>
        <w:t>fenceline</w:t>
      </w:r>
      <w:proofErr w:type="spellEnd"/>
      <w:r w:rsidRPr="00F64D3B">
        <w:rPr>
          <w:rFonts w:ascii="Arial" w:hAnsi="Arial" w:cs="Arial"/>
          <w:sz w:val="22"/>
          <w:szCs w:val="22"/>
        </w:rPr>
        <w:t>” communities),</w:t>
      </w:r>
      <w:r w:rsidR="001E3611" w:rsidRPr="00F64D3B">
        <w:rPr>
          <w:rFonts w:ascii="Arial" w:hAnsi="Arial" w:cs="Arial"/>
          <w:sz w:val="22"/>
          <w:szCs w:val="22"/>
        </w:rPr>
        <w:fldChar w:fldCharType="begin"/>
      </w:r>
      <w:r w:rsidR="00162525">
        <w:rPr>
          <w:rFonts w:ascii="Arial" w:hAnsi="Arial" w:cs="Arial"/>
          <w:sz w:val="22"/>
          <w:szCs w:val="22"/>
        </w:rPr>
        <w:instrText xml:space="preserve"> ADDIN ZOTERO_ITEM CSL_CITATION {"citationID":"2Tzd0jfC","properties":{"formattedCitation":"\\super 5\\nosupersub{}","plainCitation":"5","noteIndex":0},"citationItems":[{"id":16684,"uris":["http://zotero.org/groups/4923232/items/2SEJUD3A"],"itemData":{"id":16684,"type":"article-journal","abstract":"Polluting industries are more likely to be located in low-income communities of color who also experience greater social stressors that may make them more vulnerable than others to the health impacts of toxic chemical exposures. We describe recent developments in assessing pollutant exposures and health threats posed by industrial facilities using or releasing synthetic chemicals to nearby communities in the U.S.","container-title":"Current Environmental Health Reports","DOI":"10.1007/s40572-020-00263-8","ISSN":"2196-5412","issue":"1","journalAbbreviation":"Curr Envir Health Rpt","language":"en","note":"PMID: 31970715\nPMCID: PMC7035204","page":"48-57","source":"Springer Link","title":"Chemical Exposures, Health, and Environmental Justice in Communities Living on the Fenceline of Industry","volume":"7","author":[{"family":"Johnston","given":"Jill"},{"family":"Cushing","given":"Lara"}],"issued":{"date-parts":[["2020",3,1]]}}}],"schema":"https://github.com/citation-style-language/schema/raw/master/csl-citation.json"} </w:instrText>
      </w:r>
      <w:r w:rsidR="001E3611" w:rsidRPr="00F64D3B">
        <w:rPr>
          <w:rFonts w:ascii="Arial" w:hAnsi="Arial" w:cs="Arial"/>
          <w:sz w:val="22"/>
          <w:szCs w:val="22"/>
        </w:rPr>
        <w:fldChar w:fldCharType="separate"/>
      </w:r>
      <w:r w:rsidR="00162525" w:rsidRPr="00162525">
        <w:rPr>
          <w:rFonts w:ascii="Arial" w:hAnsi="Arial" w:cs="Arial"/>
          <w:kern w:val="0"/>
          <w:sz w:val="22"/>
          <w:vertAlign w:val="superscript"/>
        </w:rPr>
        <w:t>5</w:t>
      </w:r>
      <w:r w:rsidR="001E3611" w:rsidRPr="00F64D3B">
        <w:rPr>
          <w:rFonts w:ascii="Arial" w:hAnsi="Arial" w:cs="Arial"/>
          <w:sz w:val="22"/>
          <w:szCs w:val="22"/>
        </w:rPr>
        <w:fldChar w:fldCharType="end"/>
      </w:r>
      <w:r w:rsidRPr="00F64D3B">
        <w:rPr>
          <w:rFonts w:ascii="Arial" w:hAnsi="Arial" w:cs="Arial"/>
          <w:sz w:val="22"/>
          <w:szCs w:val="22"/>
        </w:rPr>
        <w:t xml:space="preserve"> </w:t>
      </w:r>
      <w:r w:rsidR="0084554F">
        <w:rPr>
          <w:rFonts w:ascii="Arial" w:hAnsi="Arial" w:cs="Arial"/>
          <w:sz w:val="22"/>
          <w:szCs w:val="22"/>
        </w:rPr>
        <w:t xml:space="preserve">air pollution </w:t>
      </w:r>
      <w:r w:rsidR="000A58AA">
        <w:rPr>
          <w:rFonts w:ascii="Arial" w:hAnsi="Arial" w:cs="Arial"/>
          <w:sz w:val="22"/>
          <w:szCs w:val="22"/>
        </w:rPr>
        <w:t xml:space="preserve">as a whole </w:t>
      </w:r>
      <w:r w:rsidR="0084554F">
        <w:rPr>
          <w:rFonts w:ascii="Arial" w:hAnsi="Arial" w:cs="Arial"/>
          <w:sz w:val="22"/>
          <w:szCs w:val="22"/>
        </w:rPr>
        <w:t xml:space="preserve">is associated with </w:t>
      </w:r>
      <w:r w:rsidR="0084554F" w:rsidRPr="00F64D3B">
        <w:rPr>
          <w:rFonts w:ascii="Arial" w:hAnsi="Arial" w:cs="Arial"/>
          <w:sz w:val="22"/>
          <w:szCs w:val="22"/>
        </w:rPr>
        <w:t>asthma,</w:t>
      </w:r>
      <w:r w:rsidR="0084554F" w:rsidRPr="00F64D3B">
        <w:rPr>
          <w:rFonts w:ascii="Arial" w:hAnsi="Arial" w:cs="Arial"/>
          <w:sz w:val="22"/>
          <w:szCs w:val="22"/>
        </w:rPr>
        <w:fldChar w:fldCharType="begin"/>
      </w:r>
      <w:r w:rsidR="00162525">
        <w:rPr>
          <w:rFonts w:ascii="Arial" w:hAnsi="Arial" w:cs="Arial"/>
          <w:sz w:val="22"/>
          <w:szCs w:val="22"/>
        </w:rPr>
        <w:instrText xml:space="preserve"> ADDIN ZOTERO_ITEM CSL_CITATION {"citationID":"Yd15qMd6","properties":{"formattedCitation":"\\super 6\\nosupersub{}","plainCitation":"6","noteIndex":0},"citationItems":[{"id":16694,"uris":["http://zotero.org/groups/4923232/items/S42YJUC8"],"itemData":{"id":16694,"type":"article-journal","abstract":"We reviewed epidemiologic studies of the association between exposure to air pollution from industries and asthma-related outcomes in childhood. We searched bibliographic databases and reference lists of relevant articles to identify studies examining the association between children’s exposure to air pollution from industrial point-sources and asthma-related outcomes, including asthma, asthma-like symptoms, wheezing, and bronchiolitis. We extracted key characteristics of each study and when appropriate we performed a random-effects meta-analysis of results and quantified heterogeneity (I2). Thirty-six studies were included in this review. Meta-analysis was generally not possible and limited to a few studies because of substantial variation across design characteristics and methodologies. In case-crossover studies using administrative health data, pooled odds ratio (OR) of hospitalization for asthma and bronchiolitis in children &lt;5 years were 1.02 [95% confidence intervals (CI): 0.96, 1.08; I2 = 56%] and 1.01 (95% CI: 0.97, 1.05; I2 = 64%) per 10 ppb increase in the daily mean and hourly maximum concentration of sulfur dioxide (SO2), respectively. For PM2.5, pooled ORs were 1.02 (95% CI: 0.93, 1.10; I2 = 56%) and 1.01 (95% CI: 0.98, 1.03 I2 = 33%) per 10 μg/m3 increment in the daily mean and hourly maximum concentration. In cross-sectional studies using questionnaires, pooled ORs for the prevalence of asthma and wheezing in relation to residential proximity to industry were 1.98 (95% CI: 0.87, 3.09; I2 =71%) and 1.33 (95% CI: 0.86, 1.79; I2= 65%), respectively. In conclusion, this review showed substantial heterogeneity across study designs and methods. Meta-analysis results suggested no evidence of an association for short-term asthma-related effects and an indication for long-term effects, but heterogeneity between results and limitations in terms of design and exposure assessment preclude drawing definite conclusions. Further well-conducted studies making use of a longitudinal design and of refined exposure assessment methods are needed to improve risk estimates.","container-title":"Environmental Epidemiology","DOI":"10.1097/EE9.0000000000000077","issue":"6","language":"en-US","note":"PMID: 33778345\nPMCID: PMC7939412","page":"e077","source":"journals.lww.com","title":"Review of the effect of air pollution exposure from industrial point sources on asthma-related effects in childhood","volume":"3","author":[{"family":"Buteau","given":"Stéphane"},{"family":"Geng","given":"Xiaohui"},{"family":"Labelle","given":"Remi"},{"family":"Smargiassi","given":"Audrey"}],"issued":{"date-parts":[["2019",12]]}}}],"schema":"https://github.com/citation-style-language/schema/raw/master/csl-citation.json"} </w:instrText>
      </w:r>
      <w:r w:rsidR="0084554F" w:rsidRPr="00F64D3B">
        <w:rPr>
          <w:rFonts w:ascii="Arial" w:hAnsi="Arial" w:cs="Arial"/>
          <w:sz w:val="22"/>
          <w:szCs w:val="22"/>
        </w:rPr>
        <w:fldChar w:fldCharType="separate"/>
      </w:r>
      <w:r w:rsidR="00162525" w:rsidRPr="00162525">
        <w:rPr>
          <w:rFonts w:ascii="Arial" w:hAnsi="Arial" w:cs="Arial"/>
          <w:kern w:val="0"/>
          <w:sz w:val="22"/>
          <w:vertAlign w:val="superscript"/>
        </w:rPr>
        <w:t>6</w:t>
      </w:r>
      <w:r w:rsidR="0084554F" w:rsidRPr="00F64D3B">
        <w:rPr>
          <w:rFonts w:ascii="Arial" w:hAnsi="Arial" w:cs="Arial"/>
          <w:sz w:val="22"/>
          <w:szCs w:val="22"/>
        </w:rPr>
        <w:fldChar w:fldCharType="end"/>
      </w:r>
      <w:r w:rsidR="0084554F" w:rsidRPr="00F64D3B">
        <w:rPr>
          <w:rFonts w:ascii="Arial" w:hAnsi="Arial" w:cs="Arial"/>
          <w:sz w:val="22"/>
          <w:szCs w:val="22"/>
        </w:rPr>
        <w:t xml:space="preserve"> certain cancers,</w:t>
      </w:r>
      <w:r w:rsidR="0084554F" w:rsidRPr="00F64D3B">
        <w:rPr>
          <w:rFonts w:ascii="Arial" w:hAnsi="Arial" w:cs="Arial"/>
          <w:sz w:val="22"/>
          <w:szCs w:val="22"/>
        </w:rPr>
        <w:fldChar w:fldCharType="begin"/>
      </w:r>
      <w:r w:rsidR="00162525">
        <w:rPr>
          <w:rFonts w:ascii="Arial" w:hAnsi="Arial" w:cs="Arial"/>
          <w:sz w:val="22"/>
          <w:szCs w:val="22"/>
        </w:rPr>
        <w:instrText xml:space="preserve"> ADDIN ZOTERO_ITEM CSL_CITATION {"citationID":"CdBcnZzm","properties":{"formattedCitation":"\\super 7\\nosupersub{}","plainCitation":"7","noteIndex":0},"citationItems":[{"id":16696,"uris":["http://zotero.org/groups/4923232/items/MBQZQBBD"],"itemData":{"id":16696,"type":"article-journal","abstract":"How living near environmental hazards contributes to poorer health and disproportionate health outcomes is an ongoing concern. We conducted a substantive review and critique of the literature regarding residential proximity to environmental hazards and adverse pregnancy outcomes, childhood cancer, cardiovascular and respiratory illnesses, end-stage renal disease, and diabetes.\n\nSeveral studies have found that living near hazardous wastes sites, industrial sites, cropland with pesticide applications, highly trafficked roads, nuclear power plants, and gas stations or repair shops is related to an increased risk of adverse health outcomes.\n\nGovernment agencies should consider these findings in establishing rules and permitting and enforcement procedures to reduce pollution from environmentally burdensome facilities and land uses.","container-title":"American Journal of Public Health","DOI":"10.2105/AJPH.2011.300183","ISSN":"0090-0036","issue":"S1","journalAbbreviation":"Am J Public Health","note":"publisher: American Public Health Association\nPMID: 22028451\nPMCID: PMC3222489","page":"S37-S52","source":"ajph.aphapublications.org (Atypon)","title":"Residential Proximity to Environmental Hazards and Adverse Health Outcomes","volume":"101","author":[{"family":"Brender","given":"Jean D."},{"family":"Maantay","given":"Juliana A."},{"family":"Chakraborty","given":"Jayajit"}],"issued":{"date-parts":[["2011",12]]}}}],"schema":"https://github.com/citation-style-language/schema/raw/master/csl-citation.json"} </w:instrText>
      </w:r>
      <w:r w:rsidR="0084554F" w:rsidRPr="00F64D3B">
        <w:rPr>
          <w:rFonts w:ascii="Arial" w:hAnsi="Arial" w:cs="Arial"/>
          <w:sz w:val="22"/>
          <w:szCs w:val="22"/>
        </w:rPr>
        <w:fldChar w:fldCharType="separate"/>
      </w:r>
      <w:r w:rsidR="00162525" w:rsidRPr="00162525">
        <w:rPr>
          <w:rFonts w:ascii="Arial" w:hAnsi="Arial" w:cs="Arial"/>
          <w:kern w:val="0"/>
          <w:sz w:val="22"/>
          <w:vertAlign w:val="superscript"/>
        </w:rPr>
        <w:t>7</w:t>
      </w:r>
      <w:r w:rsidR="0084554F" w:rsidRPr="00F64D3B">
        <w:rPr>
          <w:rFonts w:ascii="Arial" w:hAnsi="Arial" w:cs="Arial"/>
          <w:sz w:val="22"/>
          <w:szCs w:val="22"/>
        </w:rPr>
        <w:fldChar w:fldCharType="end"/>
      </w:r>
      <w:r w:rsidR="0084554F" w:rsidRPr="00F64D3B">
        <w:rPr>
          <w:rFonts w:ascii="Arial" w:hAnsi="Arial" w:cs="Arial"/>
          <w:sz w:val="22"/>
          <w:szCs w:val="22"/>
        </w:rPr>
        <w:t xml:space="preserve"> and mental health and quality of life concerns.</w:t>
      </w:r>
      <w:r w:rsidR="0084554F" w:rsidRPr="00F64D3B">
        <w:rPr>
          <w:rFonts w:ascii="Arial" w:hAnsi="Arial" w:cs="Arial"/>
          <w:sz w:val="22"/>
          <w:szCs w:val="22"/>
        </w:rPr>
        <w:fldChar w:fldCharType="begin"/>
      </w:r>
      <w:r w:rsidR="00162525">
        <w:rPr>
          <w:rFonts w:ascii="Arial" w:hAnsi="Arial" w:cs="Arial"/>
          <w:sz w:val="22"/>
          <w:szCs w:val="22"/>
        </w:rPr>
        <w:instrText xml:space="preserve"> ADDIN ZOTERO_ITEM CSL_CITATION {"citationID":"NYMl8MvI","properties":{"formattedCitation":"\\super 8,9\\nosupersub{}","plainCitation":"8,9","noteIndex":0},"citationItems":[{"id":16692,"uris":["http://zotero.org/groups/4923232/items/UKR2Q3NC"],"itemData":{"id":16692,"type":"article-journal","abstract":"Background: The need to study and understand cumulative impacts, the combined influence of chemical and non-chemical stressors on health and quality of life, is becoming increasingly recognized. The goal of this study is to understand how residents in fenceline communities experience the cumulative impacts of pollution and other non-chemical stressors on their physical and mental health and to develop meaningful policy solutions to mitigate the harms caused by these cumulative burdens.\nMethods: We used a community-based participatory research (CBPR) approach, partnering with residents in southern Delaware County, PA, experiencing environmental injustice, to design and conduct focus groups. Our focus groups aimed to better understand how residents characterize stressors related to their environmental, physical, and mental health. We used a deductive/inductive hybrid data analysis method to distill the most significant findings from the focus groups.\nResults: We conducted focus groups with residents (n = 22) of four Southeastern Pennsylvania fenceline municipalities. Participants discussed chemical (e.g., air pollution and odors) and non-chemical stressors (e.g., lack of access to green spaces) influencing their physical and mental health. Participants also described how these stressors are interconnected and worsen their health and quality of life. Participants identified solutions (e.g., policy change and community organizing) to mitigate the most pressing stressors.\nDiscussion: This study is the first in the area to work alongside community investigators to understand how residents in fenceline communities experience cumulative impacts. Our findings were presented to key community stakeholders to inform future advocacy work to mitigate the cumulative burdens faced by these fenceline communities.","container-title":"Environmental Justice","DOI":"10.1089/env.2024.0079","ISSN":"1939-4071","note":"publisher: Mary Ann Liebert, Inc., publishers\nPMID: 40964453\nPMCID: PMC12439864","source":"www-liebertpub-com.ezproxy2.library.drexel.edu (Atypon)","title":"Community Perspectives on the Cumulative Impacts of Chemical and Non-Chemical Stressors in Southeastern Pennsylvania","URL":"https://www.liebertpub.com/doi/full/10.1089/env.2024.0079","author":[{"family":"Lightner","given":"Alexis"},{"family":"Chiger","given":"Andrea A."},{"family":"Snyder","given":"Lora"},{"family":"Warren","given":"Kearni N."},{"family":"Miari","given":"Eve S."},{"family":"Nixon","given":"Thom"},{"family":"Alford","given":"Echo"},{"family":"DeCarlo","given":"Peter F."},{"family":"Fox","given":"Mary A."},{"family":"Kennedy","given":"Ryan D."},{"family":"Nachman","given":"Keeve E."},{"family":"Lupolt","given":"Sara N."}],"accessed":{"date-parts":[["2025",11,7]]},"issued":{"date-parts":[["2025",3,26]]}}},{"id":16690,"uris":["http://zotero.org/groups/4923232/items/JTZYV4S3"],"itemData":{"id":16690,"type":"article-journal","abstract":"Background: Community organizers in Southern Delaware County, PA, expressed a desire to collect comprehensive data on environmental, health, and social conditions in their neighborhoods to inform advocacy efforts to prompt public health action.\nMethods: Using a community-based participatory research (CBPR) approach, our team of academic and community coinvestigators developed an online community health survey to characterize residents’ health concerns and the strengths, burdens, and needs of fenceline communities in Southern Delaware County. We included questions on chemical exposures, sources of pollution, financial stressors, health care, medical conditions, and priorities for policymakers.\nResults: Participants reported experiencing adverse effects of poor air quality, odors, and noise in their communities. Eighty-six percent of participants reported experiencing at least two nonchemical stressors, such as poor housing conditions, food insecurity, and experiences of racism and discrimination. We found high proportions of reported asthma diagnoses and symptoms in participants and the children living in their households. Symptoms of asthma, depression, and anxiety were more common than clinician diagnoses of these conditions. Participants also commonly reported decreased quality of life or functioning associated with physical and mental health issues.\nDiscussion: Our findings highlight the importance of characterizing chemical and nonchemical stressors among residents in fenceline communities and expanding consideration of health to include acute symptoms, well-being, and quality of life. Our study was strengthened by our CBPR approach.\nConclusion: Our work demonstrates the value of assessing cumulative impacts and employing CBPR approaches in fenceline communities.","container-title":"Environmental Justice","DOI":"10.1089/env.2024.0078","ISSN":"1939-4071","note":"publisher: Mary Ann Liebert, Inc., publishers\nPMID: 40881887\nPMCID: PMC12381651","source":"www-liebertpub-com.ezproxy2.library.drexel.edu (Atypon)","title":"Influences of Chemical and Nonchemical Stressors on Health and Quality of Life in Fenceline Communities: A Community-Based Participatory Research Survey in Southeastern Pennsylvania","title-short":"Influences of Chemical and Nonchemical Stressors on Health and Quality of Life in Fenceline Communities","URL":"https://www.liebertpub.com/doi/full/10.1089/env.2024.0078","author":[{"family":"Chiger","given":"Andrea A."},{"family":"Alford","given":"Echo"},{"family":"Warren","given":"Kearni N."},{"family":"Miari","given":"Eve S."},{"family":"Snyder","given":"Lora"},{"family":"Nixon","given":"Thom"},{"family":"Lightner","given":"Alexis"},{"family":"Kennedy","given":"Ryan D."},{"family":"Fox","given":"Mary A."},{"family":"DeCarlo","given":"Peter F."},{"family":"Nachman","given":"Keeve E."},{"family":"Lupolt","given":"Sara N."}],"accessed":{"date-parts":[["2025",11,7]]},"issued":{"date-parts":[["2025",5,14]]}}}],"schema":"https://github.com/citation-style-language/schema/raw/master/csl-citation.json"} </w:instrText>
      </w:r>
      <w:r w:rsidR="0084554F" w:rsidRPr="00F64D3B">
        <w:rPr>
          <w:rFonts w:ascii="Arial" w:hAnsi="Arial" w:cs="Arial"/>
          <w:sz w:val="22"/>
          <w:szCs w:val="22"/>
        </w:rPr>
        <w:fldChar w:fldCharType="separate"/>
      </w:r>
      <w:r w:rsidR="00162525" w:rsidRPr="00162525">
        <w:rPr>
          <w:rFonts w:ascii="Arial" w:hAnsi="Arial" w:cs="Arial"/>
          <w:kern w:val="0"/>
          <w:sz w:val="22"/>
          <w:vertAlign w:val="superscript"/>
        </w:rPr>
        <w:t>8,9</w:t>
      </w:r>
      <w:r w:rsidR="0084554F" w:rsidRPr="00F64D3B">
        <w:rPr>
          <w:rFonts w:ascii="Arial" w:hAnsi="Arial" w:cs="Arial"/>
          <w:sz w:val="22"/>
          <w:szCs w:val="22"/>
        </w:rPr>
        <w:fldChar w:fldCharType="end"/>
      </w:r>
      <w:r w:rsidR="0084554F">
        <w:rPr>
          <w:rFonts w:ascii="Arial" w:hAnsi="Arial" w:cs="Arial"/>
          <w:sz w:val="22"/>
          <w:szCs w:val="22"/>
        </w:rPr>
        <w:t xml:space="preserve"> </w:t>
      </w:r>
      <w:r w:rsidR="00B37F61">
        <w:rPr>
          <w:rFonts w:ascii="Arial" w:hAnsi="Arial" w:cs="Arial"/>
          <w:sz w:val="22"/>
          <w:szCs w:val="22"/>
        </w:rPr>
        <w:t xml:space="preserve">Like other air pollutants, ambient VOCs tend to be elevated in </w:t>
      </w:r>
      <w:proofErr w:type="spellStart"/>
      <w:r w:rsidR="00B37F61">
        <w:rPr>
          <w:rFonts w:ascii="Arial" w:hAnsi="Arial" w:cs="Arial"/>
          <w:sz w:val="22"/>
          <w:szCs w:val="22"/>
        </w:rPr>
        <w:t>fenceline</w:t>
      </w:r>
      <w:proofErr w:type="spellEnd"/>
      <w:r w:rsidR="00B37F61">
        <w:rPr>
          <w:rFonts w:ascii="Arial" w:hAnsi="Arial" w:cs="Arial"/>
          <w:sz w:val="22"/>
          <w:szCs w:val="22"/>
        </w:rPr>
        <w:t xml:space="preserve"> communities</w:t>
      </w:r>
      <w:r w:rsidR="00D530BA" w:rsidRPr="00EC70A3">
        <w:rPr>
          <w:rFonts w:ascii="Arial" w:hAnsi="Arial" w:cs="Arial"/>
          <w:sz w:val="22"/>
          <w:szCs w:val="22"/>
        </w:rPr>
        <w:t>,</w:t>
      </w:r>
      <w:r w:rsidR="003B62FB">
        <w:rPr>
          <w:rFonts w:ascii="Arial" w:hAnsi="Arial" w:cs="Arial"/>
          <w:sz w:val="22"/>
          <w:szCs w:val="22"/>
        </w:rPr>
        <w:fldChar w:fldCharType="begin"/>
      </w:r>
      <w:r w:rsidR="00162525">
        <w:rPr>
          <w:rFonts w:ascii="Arial" w:hAnsi="Arial" w:cs="Arial"/>
          <w:sz w:val="22"/>
          <w:szCs w:val="22"/>
        </w:rPr>
        <w:instrText xml:space="preserve"> ADDIN ZOTERO_ITEM CSL_CITATION {"citationID":"cXJV28wy","properties":{"formattedCitation":"\\super 10\\nosupersub{}","plainCitation":"10","noteIndex":0},"citationItems":[{"id":16745,"uris":["http://zotero.org/groups/4923232/items/LBCNQYNE"],"itemData":{"id":16745,"type":"article-journal","abstract":"Information regarding indoor and ambient concentrations and exposures of volatile organic compounds (VOCs) is limited in terms of the number and types of compounds measured, the spatial and temporal variation of concentrations, and the significance of indoor and outdoor emission sources. This study characterizes a wide range of VOCs across three communities that represent a gradient of population density and industrial activity. Monitoring was conducted in two seasons inside and outside of 159 residences in industrial, urban and suburban cities located in southeast Michigan, USA. Passive samplers were deployed at each location, and analyzed for 98 compounds. Outdoors, 46 different VOCs were detected. Benzene, toluene, p,m-xylene and carbon tetrachloride had the highest concentrations (medians from 1 to 2μgm−3). Concentrations were elevated in winter in the suburban community, and levels were the highest in the industrial community. Indoors, 53 VOCs were detected, and benzene, toluene, p,m-xylene, n-heptane, α-pinene and d-limonene had the highest concentrations (medians from 1 to 17μgm−3). Seasonal changes were small or inconsistent. Median indoor levels among the three communities generally followed outdoor rankings. Indoor/outdoor ratios varied from 1 to 10 for most compounds, but up to 100 for several compounds, e.g., d-limonene. Over a quarter of residences had benzene, naphthalene, chloroform and carbon tetrachloride at levels giving a chronic lifetime cancer risk above 10−5 and sometimes much higher; outdoors, these compounds gave risks exceeding 10−6. The study identifies a number of indoor emission sources associated with specific and sometimes very high VOC exposures, reports on several VOCs that have not been measured in previous indoor and outdoor studies, and shows the importance of both indoor and outdoor sources. Measured concentrations were at an intermediate level with respect to recent measurements elsewhere in the US, suggesting that study results are broadly representative.","container-title":"Atmospheric Environment","DOI":"10.1016/j.atmosenv.2007.11.055","ISSN":"1352-2310","issue":"9","journalAbbreviation":"Atmospheric Environment","page":"2083-2100","source":"ScienceDirect","title":"VOCs in industrial, urban and suburban neighborhoods, Part 1: Indoor and outdoor concentrations, variation, and risk drivers","title-short":"VOCs in industrial, urban and suburban neighborhoods, Part 1","volume":"42","author":[{"family":"Jia","given":"Chunrong"},{"family":"Batterman","given":"Stuart"},{"family":"Godwin","given":"Christopher"}],"issued":{"date-parts":[["2008",3,1]]}}}],"schema":"https://github.com/citation-style-language/schema/raw/master/csl-citation.json"} </w:instrText>
      </w:r>
      <w:r w:rsidR="003B62FB">
        <w:rPr>
          <w:rFonts w:ascii="Arial" w:hAnsi="Arial" w:cs="Arial"/>
          <w:sz w:val="22"/>
          <w:szCs w:val="22"/>
        </w:rPr>
        <w:fldChar w:fldCharType="separate"/>
      </w:r>
      <w:r w:rsidR="00162525" w:rsidRPr="00162525">
        <w:rPr>
          <w:rFonts w:ascii="Arial" w:hAnsi="Arial" w:cs="Arial"/>
          <w:kern w:val="0"/>
          <w:sz w:val="22"/>
          <w:vertAlign w:val="superscript"/>
        </w:rPr>
        <w:t>10</w:t>
      </w:r>
      <w:r w:rsidR="003B62FB">
        <w:rPr>
          <w:rFonts w:ascii="Arial" w:hAnsi="Arial" w:cs="Arial"/>
          <w:sz w:val="22"/>
          <w:szCs w:val="22"/>
        </w:rPr>
        <w:fldChar w:fldCharType="end"/>
      </w:r>
      <w:r w:rsidR="00D530BA" w:rsidRPr="00EC70A3">
        <w:rPr>
          <w:rFonts w:ascii="Arial" w:hAnsi="Arial" w:cs="Arial"/>
          <w:sz w:val="22"/>
          <w:szCs w:val="22"/>
        </w:rPr>
        <w:t xml:space="preserve"> </w:t>
      </w:r>
      <w:r w:rsidR="00475AD0">
        <w:rPr>
          <w:rFonts w:ascii="Arial" w:hAnsi="Arial" w:cs="Arial"/>
          <w:sz w:val="22"/>
          <w:szCs w:val="22"/>
        </w:rPr>
        <w:t>contribut</w:t>
      </w:r>
      <w:r w:rsidR="001B66CD">
        <w:rPr>
          <w:rFonts w:ascii="Arial" w:hAnsi="Arial" w:cs="Arial"/>
          <w:sz w:val="22"/>
          <w:szCs w:val="22"/>
        </w:rPr>
        <w:t>ing</w:t>
      </w:r>
      <w:r w:rsidR="00475AD0">
        <w:rPr>
          <w:rFonts w:ascii="Arial" w:hAnsi="Arial" w:cs="Arial"/>
          <w:sz w:val="22"/>
          <w:szCs w:val="22"/>
        </w:rPr>
        <w:t xml:space="preserve"> </w:t>
      </w:r>
      <w:r w:rsidR="00B37F61">
        <w:rPr>
          <w:rFonts w:ascii="Arial" w:hAnsi="Arial" w:cs="Arial"/>
          <w:sz w:val="22"/>
          <w:szCs w:val="22"/>
        </w:rPr>
        <w:t>to elevated health risks.</w:t>
      </w:r>
      <w:r w:rsidR="000A65F4" w:rsidRPr="00F64D3B">
        <w:rPr>
          <w:rFonts w:ascii="Arial" w:hAnsi="Arial" w:cs="Arial"/>
          <w:sz w:val="22"/>
          <w:szCs w:val="22"/>
        </w:rPr>
        <w:fldChar w:fldCharType="begin"/>
      </w:r>
      <w:r w:rsidR="00162525">
        <w:rPr>
          <w:rFonts w:ascii="Arial" w:hAnsi="Arial" w:cs="Arial"/>
          <w:sz w:val="22"/>
          <w:szCs w:val="22"/>
        </w:rPr>
        <w:instrText xml:space="preserve"> ADDIN ZOTERO_ITEM CSL_CITATION {"citationID":"KFyHsxJ4","properties":{"formattedCitation":"\\super 11\\nosupersub{}","plainCitation":"11","noteIndex":0},"citationItems":[{"id":16748,"uris":["http://zotero.org/groups/4923232/items/A8I5RX5N"],"itemData":{"id":16748,"type":"article-journal","abstract":"To illustrate methods for assessing environmental exposures associated with lung cancer risk, we investigated anthropogenic based air pollutant data in a major metropolitan area using United States-Environmental Protection Agency (US-EPA) Toxic Release Inventory (TRI) (1987–2017), and PM2.5 (1998–2016) and NO2 (1996–2012) concentrations from NASA satellite data. We studied chemicals reported according to the following five exposome features: (1) International Agency for Research on Cancer (IARC) cancer grouping; (2) priority EPA polycyclic aromatic hydrocarbons (PAHs); (3) component of diesel exhaust; (4) status as a volatile organic compound (VOC); and (5) evidence of lung carcinogenesis. Published articles from PubChem were tallied for occurrences of 10 key characteristics of cancer-causing agents on those chemicals. Zone Improvement Plan (ZIP) codes with higher exposures were identified in two ways: (1) combined mean exposure from all features, and (2) hazard index derived through a multi-step multi-criteria decision analysis (MMCDA) process. VOCs, IARC Group 1 carcinogens consisted 82.3% and 11.5% of the reported TRI emissions, respectively. ZIP codes along major highways tended to have greater exposure. The MMCDA approach yielded hazard indices based on imputed toxicity, occurrence, and persistence for risk assessment. Despite many studies describing environmental exposures and lung cancer risk, this study develops a method to integrate these exposures into population-based exposure estimates that could be incorporated into future lung cancer screening trials and benefit public health surveillance of lung cancer incidence. Our methodology may be applied to probe other hazardous exposures for other cancers.","container-title":"Environmental Science and Pollution Research","DOI":"10.1007/s11356-021-12884-z","ISSN":"1614-7499","issue":"24","journalAbbreviation":"Environ Sci Pollut Res","language":"en","note":"PMID: 33611735\nPMCID: PMC8238722","page":"31758-31769","source":"Springer Link","title":"Environmental exposomics and lung cancer risk assessment in the Philadelphia metropolitan area using ZIP code–level hazard indices","volume":"28","author":[{"family":"McKeon","given":"Thomas P."},{"family":"Hwang","given":"Wei-Ting"},{"family":"Ding","given":"Zhuoran"},{"family":"Tam","given":"Vicky"},{"family":"Wileyto","given":"Paul"},{"family":"Glanz","given":"Karen"},{"family":"Penning","given":"Trevor M."}],"issued":{"date-parts":[["2021",6,1]]}}}],"schema":"https://github.com/citation-style-language/schema/raw/master/csl-citation.json"} </w:instrText>
      </w:r>
      <w:r w:rsidR="000A65F4" w:rsidRPr="00F64D3B">
        <w:rPr>
          <w:rFonts w:ascii="Arial" w:hAnsi="Arial" w:cs="Arial"/>
          <w:sz w:val="22"/>
          <w:szCs w:val="22"/>
        </w:rPr>
        <w:fldChar w:fldCharType="separate"/>
      </w:r>
      <w:r w:rsidR="00162525" w:rsidRPr="00162525">
        <w:rPr>
          <w:rFonts w:ascii="Arial" w:hAnsi="Arial" w:cs="Arial"/>
          <w:kern w:val="0"/>
          <w:sz w:val="22"/>
          <w:vertAlign w:val="superscript"/>
        </w:rPr>
        <w:t>11</w:t>
      </w:r>
      <w:r w:rsidR="000A65F4" w:rsidRPr="00F64D3B">
        <w:rPr>
          <w:rFonts w:ascii="Arial" w:hAnsi="Arial" w:cs="Arial"/>
          <w:sz w:val="22"/>
          <w:szCs w:val="22"/>
        </w:rPr>
        <w:fldChar w:fldCharType="end"/>
      </w:r>
      <w:r w:rsidR="000A65F4">
        <w:rPr>
          <w:rFonts w:ascii="Arial" w:hAnsi="Arial" w:cs="Arial"/>
          <w:sz w:val="22"/>
          <w:szCs w:val="22"/>
        </w:rPr>
        <w:t xml:space="preserve"> </w:t>
      </w:r>
      <w:proofErr w:type="spellStart"/>
      <w:r w:rsidR="00D61619" w:rsidRPr="00F64D3B">
        <w:rPr>
          <w:rFonts w:ascii="Arial" w:hAnsi="Arial" w:cs="Arial"/>
          <w:sz w:val="22"/>
          <w:szCs w:val="22"/>
        </w:rPr>
        <w:t>F</w:t>
      </w:r>
      <w:r w:rsidR="00F1504B" w:rsidRPr="00F64D3B">
        <w:rPr>
          <w:rFonts w:ascii="Arial" w:hAnsi="Arial" w:cs="Arial"/>
          <w:sz w:val="22"/>
          <w:szCs w:val="22"/>
        </w:rPr>
        <w:t>enceline</w:t>
      </w:r>
      <w:proofErr w:type="spellEnd"/>
      <w:r w:rsidR="00F1504B" w:rsidRPr="00F64D3B">
        <w:rPr>
          <w:rFonts w:ascii="Arial" w:hAnsi="Arial" w:cs="Arial"/>
          <w:sz w:val="22"/>
          <w:szCs w:val="22"/>
        </w:rPr>
        <w:t xml:space="preserve"> community members are </w:t>
      </w:r>
      <w:r w:rsidR="00D61619" w:rsidRPr="00F64D3B">
        <w:rPr>
          <w:rFonts w:ascii="Arial" w:hAnsi="Arial" w:cs="Arial"/>
          <w:sz w:val="22"/>
          <w:szCs w:val="22"/>
        </w:rPr>
        <w:t xml:space="preserve">also </w:t>
      </w:r>
      <w:r w:rsidR="00F1504B" w:rsidRPr="00F64D3B">
        <w:rPr>
          <w:rFonts w:ascii="Arial" w:hAnsi="Arial" w:cs="Arial"/>
          <w:sz w:val="22"/>
          <w:szCs w:val="22"/>
        </w:rPr>
        <w:t>more likely to be economically burdened and less likely to be non-Hispanic white, highlighting the environmental justice implications.</w:t>
      </w:r>
      <w:r w:rsidR="00F1504B" w:rsidRPr="00F64D3B">
        <w:rPr>
          <w:rFonts w:ascii="Arial" w:hAnsi="Arial" w:cs="Arial"/>
          <w:sz w:val="22"/>
          <w:szCs w:val="22"/>
        </w:rPr>
        <w:fldChar w:fldCharType="begin"/>
      </w:r>
      <w:r w:rsidR="00162525">
        <w:rPr>
          <w:rFonts w:ascii="Arial" w:hAnsi="Arial" w:cs="Arial"/>
          <w:sz w:val="22"/>
          <w:szCs w:val="22"/>
        </w:rPr>
        <w:instrText xml:space="preserve"> ADDIN ZOTERO_ITEM CSL_CITATION {"citationID":"uxqYecEW","properties":{"formattedCitation":"\\super 12\\nosupersub{}","plainCitation":"12","noteIndex":0},"citationItems":[{"id":16688,"uris":["http://zotero.org/groups/4923232/items/A7QTL9S6"],"itemData":{"id":16688,"type":"article-journal","abstract":"Unintended releases from industrial facilities can expose fenceline communities to hazardous substances, and distance between facilities and nearby residential development can play a role in preventing exposures. Here, we assess trends in fenceline community sociodemographic characteristics, land development, and the association between the two using sociodemographic data for census tracts (n = 34 068) surrounding 2457 petroleum refining and chemical manufacturing facilities between 2001 and 2019. We find a higher median growth in percentage of Latinx populations among fenceline communities compared to neighboring communities with no industrial facilities. The increase in the median percentage of Latinx populations within fenceline communities was six times higher than for White populations overall (+6 and +1 percentage points, respectively). Though the percentage of the Black populations did not change within fenceline communities over this period, we find a minor sustained higher percentage of Black residents within fenceline communities relative to neighboring communities (20% versus 19%, respectively). Employing a spatial autoregressive model with autoregressive disturbances, we find that an increase in community percentage Latinx population is associated with a decrease in the rate of land development. Comparing fenceline and neighboring communities, we conclude that Black and Latinx populations are disproportionately located near industrial facilities, potentially contributing to inequitable exposure to unintended chemical releases. Our work lends support to the value of considering of sociodemographic composition of fenceline communities when evaluating industrial facility hazards.","container-title":"Environmental Research Letters","DOI":"10.1088/1748-9326/ad0136","ISSN":"1748-9326","issue":"11","journalAbbreviation":"Environ. Res. Lett.","language":"en","note":"publisher: IOP Publishing","page":"114042","source":"Institute of Physics","title":"Temporal trends in sociodemographic composition and land development within U.S. fenceline communities surrounding hazardous industrial facilities: 2001–2019","title-short":"Temporal trends in sociodemographic composition and land development within U.S. fenceline communities surrounding hazardous industrial facilities","volume":"18","author":[{"family":"Southerland","given":"Veronica"},{"family":"Zota","given":"Ami R"},{"family":"Parasram","given":"Vidisha"},{"family":"Alvarez","given":"Camila"},{"family":"Clement","given":"Matthew"},{"family":"Anenberg","given":"Susan"}],"issued":{"date-parts":[["2023",10]]}}}],"schema":"https://github.com/citation-style-language/schema/raw/master/csl-citation.json"} </w:instrText>
      </w:r>
      <w:r w:rsidR="00F1504B" w:rsidRPr="00F64D3B">
        <w:rPr>
          <w:rFonts w:ascii="Arial" w:hAnsi="Arial" w:cs="Arial"/>
          <w:sz w:val="22"/>
          <w:szCs w:val="22"/>
        </w:rPr>
        <w:fldChar w:fldCharType="separate"/>
      </w:r>
      <w:r w:rsidR="00162525" w:rsidRPr="00162525">
        <w:rPr>
          <w:rFonts w:ascii="Arial" w:hAnsi="Arial" w:cs="Arial"/>
          <w:kern w:val="0"/>
          <w:sz w:val="22"/>
          <w:vertAlign w:val="superscript"/>
        </w:rPr>
        <w:t>12</w:t>
      </w:r>
      <w:r w:rsidR="00F1504B" w:rsidRPr="00F64D3B">
        <w:rPr>
          <w:rFonts w:ascii="Arial" w:hAnsi="Arial" w:cs="Arial"/>
          <w:sz w:val="22"/>
          <w:szCs w:val="22"/>
        </w:rPr>
        <w:fldChar w:fldCharType="end"/>
      </w:r>
      <w:r w:rsidR="000C6162">
        <w:rPr>
          <w:rFonts w:ascii="Arial" w:hAnsi="Arial" w:cs="Arial"/>
          <w:sz w:val="22"/>
          <w:szCs w:val="22"/>
        </w:rPr>
        <w:t xml:space="preserve"> </w:t>
      </w:r>
    </w:p>
    <w:p w14:paraId="4E66BACF" w14:textId="77777777" w:rsidR="000C6162" w:rsidRDefault="000C6162" w:rsidP="00973130">
      <w:pPr>
        <w:spacing w:line="360" w:lineRule="auto"/>
        <w:jc w:val="both"/>
        <w:rPr>
          <w:rFonts w:ascii="Arial" w:hAnsi="Arial" w:cs="Arial"/>
          <w:sz w:val="22"/>
          <w:szCs w:val="22"/>
        </w:rPr>
      </w:pPr>
    </w:p>
    <w:p w14:paraId="379FF00A" w14:textId="3D4422F8" w:rsidR="00243EC4" w:rsidRDefault="007B351B" w:rsidP="00973130">
      <w:pPr>
        <w:spacing w:line="360" w:lineRule="auto"/>
        <w:jc w:val="both"/>
        <w:rPr>
          <w:rFonts w:ascii="Arial" w:hAnsi="Arial" w:cs="Arial"/>
          <w:sz w:val="22"/>
          <w:szCs w:val="22"/>
        </w:rPr>
      </w:pPr>
      <w:r>
        <w:rPr>
          <w:rFonts w:ascii="Arial" w:hAnsi="Arial" w:cs="Arial"/>
          <w:sz w:val="22"/>
          <w:szCs w:val="22"/>
        </w:rPr>
        <w:t>In</w:t>
      </w:r>
      <w:r w:rsidR="00C21FF2" w:rsidRPr="00F64D3B">
        <w:rPr>
          <w:rFonts w:ascii="Arial" w:hAnsi="Arial" w:cs="Arial"/>
          <w:sz w:val="22"/>
          <w:szCs w:val="22"/>
        </w:rPr>
        <w:t xml:space="preserve"> Philadelphia, </w:t>
      </w:r>
      <w:r w:rsidR="007747B2" w:rsidRPr="00F64D3B">
        <w:rPr>
          <w:rFonts w:ascii="Arial" w:hAnsi="Arial" w:cs="Arial"/>
          <w:sz w:val="22"/>
          <w:szCs w:val="22"/>
        </w:rPr>
        <w:t xml:space="preserve">the largest city in Pennsylvania, </w:t>
      </w:r>
      <w:r w:rsidR="00003B2B">
        <w:rPr>
          <w:rFonts w:ascii="Arial" w:hAnsi="Arial" w:cs="Arial"/>
          <w:sz w:val="22"/>
          <w:szCs w:val="22"/>
        </w:rPr>
        <w:t xml:space="preserve">a </w:t>
      </w:r>
      <w:r w:rsidR="008366F8">
        <w:rPr>
          <w:rFonts w:ascii="Arial" w:hAnsi="Arial" w:cs="Arial"/>
          <w:sz w:val="22"/>
          <w:szCs w:val="22"/>
        </w:rPr>
        <w:t>1300-acre swath of</w:t>
      </w:r>
      <w:r w:rsidR="00003B2B">
        <w:rPr>
          <w:rFonts w:ascii="Arial" w:hAnsi="Arial" w:cs="Arial"/>
          <w:sz w:val="22"/>
          <w:szCs w:val="22"/>
        </w:rPr>
        <w:t xml:space="preserve"> land on the</w:t>
      </w:r>
      <w:r w:rsidR="00FF65D9">
        <w:rPr>
          <w:rFonts w:ascii="Arial" w:hAnsi="Arial" w:cs="Arial"/>
          <w:sz w:val="22"/>
          <w:szCs w:val="22"/>
        </w:rPr>
        <w:t xml:space="preserve"> Schuylkill </w:t>
      </w:r>
      <w:r w:rsidR="00003B2B">
        <w:rPr>
          <w:rFonts w:ascii="Arial" w:hAnsi="Arial" w:cs="Arial"/>
          <w:sz w:val="22"/>
          <w:szCs w:val="22"/>
        </w:rPr>
        <w:t>River</w:t>
      </w:r>
      <w:r w:rsidR="00FF65D9">
        <w:rPr>
          <w:rFonts w:ascii="Arial" w:hAnsi="Arial" w:cs="Arial"/>
          <w:sz w:val="22"/>
          <w:szCs w:val="22"/>
        </w:rPr>
        <w:t xml:space="preserve"> </w:t>
      </w:r>
      <w:r w:rsidR="00003B2B">
        <w:rPr>
          <w:rFonts w:ascii="Arial" w:hAnsi="Arial" w:cs="Arial"/>
          <w:sz w:val="22"/>
          <w:szCs w:val="22"/>
        </w:rPr>
        <w:t>was home to petroleum storage and refining operations as far back as 1866</w:t>
      </w:r>
      <w:r w:rsidR="004A3AE0">
        <w:rPr>
          <w:rFonts w:ascii="Arial" w:hAnsi="Arial" w:cs="Arial"/>
          <w:sz w:val="22"/>
          <w:szCs w:val="22"/>
        </w:rPr>
        <w:t>,</w:t>
      </w:r>
      <w:r w:rsidR="00003B2B">
        <w:rPr>
          <w:rFonts w:ascii="Arial" w:hAnsi="Arial" w:cs="Arial"/>
          <w:sz w:val="22"/>
          <w:szCs w:val="22"/>
        </w:rPr>
        <w:fldChar w:fldCharType="begin"/>
      </w:r>
      <w:r w:rsidR="00D85090">
        <w:rPr>
          <w:rFonts w:ascii="Arial" w:hAnsi="Arial" w:cs="Arial"/>
          <w:sz w:val="22"/>
          <w:szCs w:val="22"/>
        </w:rPr>
        <w:instrText xml:space="preserve"> ADDIN ZOTERO_ITEM CSL_CITATION {"citationID":"c0u0Qf6D","properties":{"formattedCitation":"\\super 13\\nosupersub{}","plainCitation":"13","noteIndex":0},"citationItems":[{"id":16851,"uris":["http://zotero.org/groups/4923232/items/NN77773Z"],"itemData":{"id":16851,"type":"post-weblog","abstract":"Philadelphia emerged as a petroleum hub in the second half of the nineteenth century.","container-title":"Encyclopedia of Greater Philadelphia","language":"en-US","title":"Refineries (Oil)","URL":"https://philadelphiaencyclopedia.org/essays/refineries-oil/","author":[{"family":"Hein","given":"Carol"}],"accessed":{"date-parts":[["2026",1,8]]},"issued":{"date-parts":[["2016"]]}}}],"schema":"https://github.com/citation-style-language/schema/raw/master/csl-citation.json"} </w:instrText>
      </w:r>
      <w:r w:rsidR="00003B2B">
        <w:rPr>
          <w:rFonts w:ascii="Arial" w:hAnsi="Arial" w:cs="Arial"/>
          <w:sz w:val="22"/>
          <w:szCs w:val="22"/>
        </w:rPr>
        <w:fldChar w:fldCharType="separate"/>
      </w:r>
      <w:r w:rsidR="00D85090" w:rsidRPr="00D85090">
        <w:rPr>
          <w:rFonts w:ascii="Arial" w:hAnsi="Arial" w:cs="Arial"/>
          <w:kern w:val="0"/>
          <w:sz w:val="22"/>
          <w:vertAlign w:val="superscript"/>
        </w:rPr>
        <w:t>13</w:t>
      </w:r>
      <w:r w:rsidR="00003B2B">
        <w:rPr>
          <w:rFonts w:ascii="Arial" w:hAnsi="Arial" w:cs="Arial"/>
          <w:sz w:val="22"/>
          <w:szCs w:val="22"/>
        </w:rPr>
        <w:fldChar w:fldCharType="end"/>
      </w:r>
      <w:r w:rsidR="008366F8">
        <w:rPr>
          <w:rFonts w:ascii="Arial" w:hAnsi="Arial" w:cs="Arial"/>
          <w:sz w:val="22"/>
          <w:szCs w:val="22"/>
        </w:rPr>
        <w:t xml:space="preserve"> eventually becoming the Sunoco Philadelphia Refinery</w:t>
      </w:r>
      <w:r w:rsidR="00EF6735">
        <w:rPr>
          <w:rFonts w:ascii="Arial" w:hAnsi="Arial" w:cs="Arial"/>
          <w:sz w:val="22"/>
          <w:szCs w:val="22"/>
        </w:rPr>
        <w:t xml:space="preserve">, sold in 2012 to Philadelphia Energy Systems (PES). </w:t>
      </w:r>
      <w:r w:rsidR="00A142A5">
        <w:rPr>
          <w:rFonts w:ascii="Arial" w:hAnsi="Arial" w:cs="Arial"/>
          <w:sz w:val="22"/>
          <w:szCs w:val="22"/>
        </w:rPr>
        <w:t xml:space="preserve">As operations on the refinery site grew in the mid-twentieth century, so too did Philadelphia’s population, leading to a growing </w:t>
      </w:r>
      <w:proofErr w:type="spellStart"/>
      <w:r w:rsidR="00A142A5">
        <w:rPr>
          <w:rFonts w:ascii="Arial" w:hAnsi="Arial" w:cs="Arial"/>
          <w:sz w:val="22"/>
          <w:szCs w:val="22"/>
        </w:rPr>
        <w:t>fenceline</w:t>
      </w:r>
      <w:proofErr w:type="spellEnd"/>
      <w:r w:rsidR="00A142A5">
        <w:rPr>
          <w:rFonts w:ascii="Arial" w:hAnsi="Arial" w:cs="Arial"/>
          <w:sz w:val="22"/>
          <w:szCs w:val="22"/>
        </w:rPr>
        <w:t xml:space="preserve"> population </w:t>
      </w:r>
      <w:r w:rsidR="0027298F">
        <w:rPr>
          <w:rFonts w:ascii="Arial" w:hAnsi="Arial" w:cs="Arial"/>
          <w:sz w:val="22"/>
          <w:szCs w:val="22"/>
        </w:rPr>
        <w:t xml:space="preserve">that was and is, </w:t>
      </w:r>
      <w:r w:rsidR="00A142A5">
        <w:rPr>
          <w:rFonts w:ascii="Arial" w:hAnsi="Arial" w:cs="Arial"/>
          <w:sz w:val="22"/>
          <w:szCs w:val="22"/>
        </w:rPr>
        <w:t>due to racist housing policies, disproportionately Black and low-income.</w:t>
      </w:r>
      <w:r w:rsidR="0000047F">
        <w:rPr>
          <w:rFonts w:ascii="Arial" w:hAnsi="Arial" w:cs="Arial"/>
          <w:sz w:val="22"/>
          <w:szCs w:val="22"/>
        </w:rPr>
        <w:fldChar w:fldCharType="begin"/>
      </w:r>
      <w:r w:rsidR="00D85090">
        <w:rPr>
          <w:rFonts w:ascii="Arial" w:hAnsi="Arial" w:cs="Arial"/>
          <w:sz w:val="22"/>
          <w:szCs w:val="22"/>
        </w:rPr>
        <w:instrText xml:space="preserve"> ADDIN ZOTERO_ITEM CSL_CITATION {"citationID":"1NEMlwAu","properties":{"formattedCitation":"\\super 14\\nosupersub{}","plainCitation":"14","noteIndex":0},"citationItems":[{"id":16848,"uris":["http://zotero.org/groups/4923232/items/U2XL4KCH"],"itemData":{"id":16848,"type":"manuscript","event-place":"Philadelphia, PA","language":"en","publisher-place":"Philadelphia, PA","source":"Zotero","title":"Fenceline Risk and Environmental Justice in South and Southwest Philadelphia","URL":"https://petrodelphia.org/about.html","author":[{"family":"Hurdle","given":"Jon"}],"issued":{"date-parts":[["2025"]]}}}],"schema":"https://github.com/citation-style-language/schema/raw/master/csl-citation.json"} </w:instrText>
      </w:r>
      <w:r w:rsidR="0000047F">
        <w:rPr>
          <w:rFonts w:ascii="Arial" w:hAnsi="Arial" w:cs="Arial"/>
          <w:sz w:val="22"/>
          <w:szCs w:val="22"/>
        </w:rPr>
        <w:fldChar w:fldCharType="separate"/>
      </w:r>
      <w:r w:rsidR="00D85090" w:rsidRPr="00D85090">
        <w:rPr>
          <w:rFonts w:ascii="Arial" w:hAnsi="Arial" w:cs="Arial"/>
          <w:kern w:val="0"/>
          <w:sz w:val="22"/>
          <w:vertAlign w:val="superscript"/>
        </w:rPr>
        <w:t>14</w:t>
      </w:r>
      <w:r w:rsidR="0000047F">
        <w:rPr>
          <w:rFonts w:ascii="Arial" w:hAnsi="Arial" w:cs="Arial"/>
          <w:sz w:val="22"/>
          <w:szCs w:val="22"/>
        </w:rPr>
        <w:fldChar w:fldCharType="end"/>
      </w:r>
      <w:r w:rsidR="00A142A5">
        <w:rPr>
          <w:rFonts w:ascii="Arial" w:hAnsi="Arial" w:cs="Arial"/>
          <w:sz w:val="22"/>
          <w:szCs w:val="22"/>
        </w:rPr>
        <w:t xml:space="preserve"> </w:t>
      </w:r>
      <w:r w:rsidR="0027298F">
        <w:rPr>
          <w:rFonts w:ascii="Arial" w:hAnsi="Arial" w:cs="Arial"/>
          <w:sz w:val="22"/>
          <w:szCs w:val="22"/>
        </w:rPr>
        <w:t xml:space="preserve">Despite decades of activism demanding </w:t>
      </w:r>
      <w:r w:rsidR="00AD2EE2">
        <w:rPr>
          <w:rFonts w:ascii="Arial" w:hAnsi="Arial" w:cs="Arial"/>
          <w:sz w:val="22"/>
          <w:szCs w:val="22"/>
        </w:rPr>
        <w:t xml:space="preserve">environmental monitoring around the refinery, </w:t>
      </w:r>
      <w:r w:rsidR="00CA2637">
        <w:rPr>
          <w:rFonts w:ascii="Arial" w:hAnsi="Arial" w:cs="Arial"/>
          <w:sz w:val="22"/>
          <w:szCs w:val="22"/>
        </w:rPr>
        <w:t xml:space="preserve">the impact of </w:t>
      </w:r>
      <w:r w:rsidR="00BB0E80">
        <w:rPr>
          <w:rFonts w:ascii="Arial" w:hAnsi="Arial" w:cs="Arial"/>
          <w:sz w:val="22"/>
          <w:szCs w:val="22"/>
        </w:rPr>
        <w:t xml:space="preserve">refinery emissions </w:t>
      </w:r>
      <w:r w:rsidR="005225A7">
        <w:rPr>
          <w:rFonts w:ascii="Arial" w:hAnsi="Arial" w:cs="Arial"/>
          <w:sz w:val="22"/>
          <w:szCs w:val="22"/>
        </w:rPr>
        <w:t>on local community air quality remained largely uncharacterized,</w:t>
      </w:r>
      <w:r w:rsidR="004040E1">
        <w:rPr>
          <w:rFonts w:ascii="Arial" w:hAnsi="Arial" w:cs="Arial"/>
          <w:sz w:val="22"/>
          <w:szCs w:val="22"/>
        </w:rPr>
        <w:t xml:space="preserve"> </w:t>
      </w:r>
      <w:r w:rsidR="00C048F9">
        <w:rPr>
          <w:rFonts w:ascii="Arial" w:hAnsi="Arial" w:cs="Arial"/>
          <w:sz w:val="22"/>
          <w:szCs w:val="22"/>
        </w:rPr>
        <w:t xml:space="preserve">save for a 2016 monitoring campaign which </w:t>
      </w:r>
      <w:r w:rsidR="005225A7">
        <w:rPr>
          <w:rFonts w:ascii="Arial" w:hAnsi="Arial" w:cs="Arial"/>
          <w:sz w:val="22"/>
          <w:szCs w:val="22"/>
        </w:rPr>
        <w:t>found elevated</w:t>
      </w:r>
      <w:r w:rsidR="00A25B29">
        <w:rPr>
          <w:rFonts w:ascii="Arial" w:hAnsi="Arial" w:cs="Arial"/>
          <w:sz w:val="22"/>
          <w:szCs w:val="22"/>
        </w:rPr>
        <w:t xml:space="preserve"> concentrations of </w:t>
      </w:r>
      <w:r w:rsidR="00CF517F">
        <w:rPr>
          <w:rFonts w:ascii="Arial" w:hAnsi="Arial" w:cs="Arial"/>
          <w:sz w:val="22"/>
          <w:szCs w:val="22"/>
        </w:rPr>
        <w:t>BTEX</w:t>
      </w:r>
      <w:r w:rsidR="00761ED3">
        <w:rPr>
          <w:rFonts w:ascii="Arial" w:hAnsi="Arial" w:cs="Arial"/>
          <w:sz w:val="22"/>
          <w:szCs w:val="22"/>
        </w:rPr>
        <w:t>.</w:t>
      </w:r>
      <w:r w:rsidR="00A25B29">
        <w:rPr>
          <w:rFonts w:ascii="Arial" w:hAnsi="Arial" w:cs="Arial"/>
          <w:sz w:val="22"/>
          <w:szCs w:val="22"/>
        </w:rPr>
        <w:fldChar w:fldCharType="begin"/>
      </w:r>
      <w:r w:rsidR="00D85090">
        <w:rPr>
          <w:rFonts w:ascii="Arial" w:hAnsi="Arial" w:cs="Arial"/>
          <w:sz w:val="22"/>
          <w:szCs w:val="22"/>
        </w:rPr>
        <w:instrText xml:space="preserve"> ADDIN ZOTERO_ITEM CSL_CITATION {"citationID":"DykYJF3B","properties":{"formattedCitation":"\\super 15,16\\nosupersub{}","plainCitation":"15,16","noteIndex":0},"citationItems":[{"id":16753,"uris":["http://zotero.org/groups/4923232/items/M3TJ8VFK"],"itemData":{"id":16753,"type":"article-journal","abstract":"Select volatile organic compounds (VOCs) were measured in the vicinity of a petroleum refinery and related operations in South Philadelphia, Pennsylvania, USA, using passive air sampling and laboratory analysis methods. Two-week, time-integrated samplers were deployed at 17 sites, which were aggregated into five site groups of varying distances from the refinery. Benzene, toluene, ethylbenzene, and xylene isomers (BTEX) and styrene concentrations were higher near the refinery's fenceline than for groups at the refinery's south edge, mid-distance, and farther removed locations. The near fenceline group was significantly higher than the refinery's north edge group for benzene and toluene but not for ethylbenzene or xylene isomers; styrene was lower at the near fenceline group versus the north edge group. For BTEX and styrene, the magnitude of estimated differences generally increased when proceeding through groups ever farther away from the petroleum refining. Perchloroethylene results were not suggestive of an influence from refining. These results suggest that emissions from the refinery complex contribute to higher concentrations of BTEX species and styrene in the vicinity of the plant, with this influence declining as distance from the petroleum refining increases.\nIMPLICATIONS: Passive sampling methodology for VOCs as discussed here is employed in recently enacted U.S. Environmental Protection Agency Methods 325A/B for determination of benzene concentrations at refinery fenceline locations. Spatial gradients of VOC concentration near the refinery fenceline were discerned in an area containing traffic and other VOC-related sources. Though limited, these findings can be useful in application of the method at such facilities to ascertain source influence.","container-title":"Journal of the Air &amp; Waste Management Association (1995)","DOI":"10.1080/10962247.2016.1147505","ISSN":"1096-2247","issue":"5","journalAbbreviation":"J Air Waste Manag Assoc","language":"eng","note":"PMID: 26828464","page":"492-498","source":"PubMed","title":"Spatial analysis of volatile organic compounds in South Philadelphia using passive samplers","volume":"66","author":[{"family":"Mukerjee","given":"Shaibal"},{"family":"Smith","given":"Luther A."},{"family":"Thoma","given":"Eben D."},{"family":"Oliver","given":"Karen D."},{"family":"Whitaker","given":"Donald A."},{"family":"Wu","given":"Tai"},{"family":"Colon","given":"Maribel"},{"family":"Alston","given":"Lillian"},{"family":"Cousett","given":"Tamira A."},{"family":"Stallings","given":"Casson"}],"issued":{"date-parts":[["2016",5]]}}},{"id":16375,"uris":["http://zotero.org/groups/4923232/items/3VAS9YVF"],"itemData":{"id":16375,"type":"article-journal","container-title":"Journal of the Air &amp; Waste Management Association","DOI":"10.1080/10962247.2016.1184724","ISSN":"1096-2247, 2162-2906","issue":"10","journalAbbreviation":"Journal of the Air &amp; Waste Management Association","language":"en","note":"PMID: 27192142","page":"959-970","source":"DOI.org (Crossref)","title":"South Philadelphia passive sampler and sensor study","volume":"66","author":[{"family":"Thoma","given":"Eben D."},{"family":"Brantley","given":"Halley L."},{"family":"Oliver","given":"Karen D."},{"family":"Whitaker","given":"Donald A."},{"family":"Mukerjee","given":"Shaibal"},{"family":"Mitchell","given":"Bill"},{"family":"Wu","given":"Tai"},{"family":"Squier","given":"Bill"},{"family":"Escobar","given":"Elsy"},{"family":"Cousett","given":"Tamira A."},{"family":"Gross-Davis","given":"Carol Ann"},{"family":"Schmidt","given":"Howard"},{"family":"Sosna","given":"Dennis"},{"family":"Weiss","given":"Hallie"}],"issued":{"date-parts":[["2016",10,2]]}}}],"schema":"https://github.com/citation-style-language/schema/raw/master/csl-citation.json"} </w:instrText>
      </w:r>
      <w:r w:rsidR="00A25B29">
        <w:rPr>
          <w:rFonts w:ascii="Arial" w:hAnsi="Arial" w:cs="Arial"/>
          <w:sz w:val="22"/>
          <w:szCs w:val="22"/>
        </w:rPr>
        <w:fldChar w:fldCharType="separate"/>
      </w:r>
      <w:r w:rsidR="00D85090" w:rsidRPr="00D85090">
        <w:rPr>
          <w:rFonts w:ascii="Arial" w:hAnsi="Arial" w:cs="Arial"/>
          <w:kern w:val="0"/>
          <w:sz w:val="22"/>
          <w:vertAlign w:val="superscript"/>
        </w:rPr>
        <w:t>15,16</w:t>
      </w:r>
      <w:r w:rsidR="00A25B29">
        <w:rPr>
          <w:rFonts w:ascii="Arial" w:hAnsi="Arial" w:cs="Arial"/>
          <w:sz w:val="22"/>
          <w:szCs w:val="22"/>
        </w:rPr>
        <w:fldChar w:fldCharType="end"/>
      </w:r>
      <w:r w:rsidR="00761ED3">
        <w:rPr>
          <w:rFonts w:ascii="Arial" w:hAnsi="Arial" w:cs="Arial"/>
          <w:sz w:val="22"/>
          <w:szCs w:val="22"/>
        </w:rPr>
        <w:t xml:space="preserve"> </w:t>
      </w:r>
      <w:r w:rsidR="003A5635" w:rsidRPr="00F64D3B">
        <w:rPr>
          <w:rFonts w:ascii="Arial" w:hAnsi="Arial" w:cs="Arial"/>
          <w:sz w:val="22"/>
          <w:szCs w:val="22"/>
        </w:rPr>
        <w:t xml:space="preserve">In </w:t>
      </w:r>
      <w:r w:rsidR="005731A9">
        <w:rPr>
          <w:rFonts w:ascii="Arial" w:hAnsi="Arial" w:cs="Arial"/>
          <w:sz w:val="22"/>
          <w:szCs w:val="22"/>
        </w:rPr>
        <w:t xml:space="preserve">June </w:t>
      </w:r>
      <w:r w:rsidR="003A5635" w:rsidRPr="00F64D3B">
        <w:rPr>
          <w:rFonts w:ascii="Arial" w:hAnsi="Arial" w:cs="Arial"/>
          <w:sz w:val="22"/>
          <w:szCs w:val="22"/>
        </w:rPr>
        <w:t>2019</w:t>
      </w:r>
      <w:r w:rsidR="00B60888" w:rsidRPr="00F64D3B">
        <w:rPr>
          <w:rFonts w:ascii="Arial" w:hAnsi="Arial" w:cs="Arial"/>
          <w:sz w:val="22"/>
          <w:szCs w:val="22"/>
        </w:rPr>
        <w:t xml:space="preserve">, </w:t>
      </w:r>
      <w:r w:rsidR="005731A9">
        <w:rPr>
          <w:rFonts w:ascii="Arial" w:hAnsi="Arial" w:cs="Arial"/>
          <w:sz w:val="22"/>
          <w:szCs w:val="22"/>
        </w:rPr>
        <w:t>a catastrophic explosion at the refinery</w:t>
      </w:r>
      <w:r w:rsidR="00834941">
        <w:rPr>
          <w:rFonts w:ascii="Arial" w:hAnsi="Arial" w:cs="Arial"/>
          <w:sz w:val="22"/>
          <w:szCs w:val="22"/>
        </w:rPr>
        <w:t xml:space="preserve"> led PES to cease operations</w:t>
      </w:r>
      <w:r w:rsidR="009917C1">
        <w:rPr>
          <w:rFonts w:ascii="Arial" w:hAnsi="Arial" w:cs="Arial"/>
          <w:sz w:val="22"/>
          <w:szCs w:val="22"/>
        </w:rPr>
        <w:t xml:space="preserve"> and declare bankruptcy. Successful pressure from local community members guaranteed that </w:t>
      </w:r>
      <w:r w:rsidR="008F4499">
        <w:rPr>
          <w:rFonts w:ascii="Arial" w:hAnsi="Arial" w:cs="Arial"/>
          <w:sz w:val="22"/>
          <w:szCs w:val="22"/>
        </w:rPr>
        <w:t xml:space="preserve">the refinery site would be decommissioned </w:t>
      </w:r>
      <w:r w:rsidR="007862D4">
        <w:rPr>
          <w:rFonts w:ascii="Arial" w:hAnsi="Arial" w:cs="Arial"/>
          <w:sz w:val="22"/>
          <w:szCs w:val="22"/>
        </w:rPr>
        <w:t xml:space="preserve">and the land sold for non-refinery redevelopment. </w:t>
      </w:r>
      <w:r w:rsidR="006849C1" w:rsidRPr="00F64D3B">
        <w:rPr>
          <w:rFonts w:ascii="Arial" w:hAnsi="Arial" w:cs="Arial"/>
          <w:sz w:val="22"/>
          <w:szCs w:val="22"/>
        </w:rPr>
        <w:t xml:space="preserve">Today, the site, which comprised 2% of Philadelphia’s land </w:t>
      </w:r>
      <w:r w:rsidR="003656A8">
        <w:rPr>
          <w:rFonts w:ascii="Arial" w:hAnsi="Arial" w:cs="Arial"/>
          <w:sz w:val="22"/>
          <w:szCs w:val="22"/>
        </w:rPr>
        <w:t xml:space="preserve">mass, </w:t>
      </w:r>
      <w:r w:rsidR="006849C1" w:rsidRPr="00F64D3B">
        <w:rPr>
          <w:rFonts w:ascii="Arial" w:hAnsi="Arial" w:cs="Arial"/>
          <w:sz w:val="22"/>
          <w:szCs w:val="22"/>
        </w:rPr>
        <w:t xml:space="preserve">is being redeveloped into a logistics and warehousing center. </w:t>
      </w:r>
      <w:r w:rsidR="005C69CF">
        <w:rPr>
          <w:rFonts w:ascii="Arial" w:hAnsi="Arial" w:cs="Arial"/>
          <w:sz w:val="22"/>
          <w:szCs w:val="22"/>
        </w:rPr>
        <w:t xml:space="preserve">In </w:t>
      </w:r>
      <w:r w:rsidR="004F346B">
        <w:rPr>
          <w:rFonts w:ascii="Arial" w:hAnsi="Arial" w:cs="Arial"/>
          <w:sz w:val="22"/>
          <w:szCs w:val="22"/>
        </w:rPr>
        <w:t>accordance with the 2015 EPA Petroleum Refinery Sector Rule,</w:t>
      </w:r>
      <w:r w:rsidR="004F346B">
        <w:rPr>
          <w:rFonts w:ascii="Arial" w:hAnsi="Arial" w:cs="Arial"/>
          <w:sz w:val="22"/>
          <w:szCs w:val="22"/>
        </w:rPr>
        <w:fldChar w:fldCharType="begin"/>
      </w:r>
      <w:r w:rsidR="00D85090">
        <w:rPr>
          <w:rFonts w:ascii="Arial" w:hAnsi="Arial" w:cs="Arial"/>
          <w:sz w:val="22"/>
          <w:szCs w:val="22"/>
        </w:rPr>
        <w:instrText xml:space="preserve"> ADDIN ZOTERO_ITEM CSL_CITATION {"citationID":"R4wVlDnA","properties":{"formattedCitation":"\\super 17\\nosupersub{}","plainCitation":"17","noteIndex":0},"citationItems":[{"id":16854,"uris":["http://zotero.org/groups/4923232/items/ALEL4G2S"],"itemData":{"id":16854,"type":"legislation","container-title":"CFR","section":"60 &amp; 63","title":"Petroleum Refinery Sector Risk and Technology Review and New Source Performance Standards","volume":"40","issued":{"date-parts":[["2015",12,1]]}}}],"schema":"https://github.com/citation-style-language/schema/raw/master/csl-citation.json"} </w:instrText>
      </w:r>
      <w:r w:rsidR="004F346B">
        <w:rPr>
          <w:rFonts w:ascii="Arial" w:hAnsi="Arial" w:cs="Arial"/>
          <w:sz w:val="22"/>
          <w:szCs w:val="22"/>
        </w:rPr>
        <w:fldChar w:fldCharType="separate"/>
      </w:r>
      <w:r w:rsidR="00D85090" w:rsidRPr="00D85090">
        <w:rPr>
          <w:rFonts w:ascii="Arial" w:hAnsi="Arial" w:cs="Arial"/>
          <w:kern w:val="0"/>
          <w:sz w:val="22"/>
          <w:vertAlign w:val="superscript"/>
        </w:rPr>
        <w:t>17</w:t>
      </w:r>
      <w:r w:rsidR="004F346B">
        <w:rPr>
          <w:rFonts w:ascii="Arial" w:hAnsi="Arial" w:cs="Arial"/>
          <w:sz w:val="22"/>
          <w:szCs w:val="22"/>
        </w:rPr>
        <w:fldChar w:fldCharType="end"/>
      </w:r>
      <w:r w:rsidR="004F346B">
        <w:rPr>
          <w:rFonts w:ascii="Arial" w:hAnsi="Arial" w:cs="Arial"/>
          <w:sz w:val="22"/>
          <w:szCs w:val="22"/>
        </w:rPr>
        <w:t xml:space="preserve"> </w:t>
      </w:r>
      <w:r w:rsidR="002223EF" w:rsidRPr="002223EF">
        <w:rPr>
          <w:rFonts w:ascii="Arial" w:hAnsi="Arial" w:cs="Arial"/>
          <w:sz w:val="22"/>
          <w:szCs w:val="22"/>
        </w:rPr>
        <w:t xml:space="preserve">an air toxics regulation that required, among other things, refineries </w:t>
      </w:r>
      <w:r w:rsidR="002223EF" w:rsidRPr="002223EF">
        <w:rPr>
          <w:rFonts w:ascii="Arial" w:hAnsi="Arial" w:cs="Arial"/>
          <w:sz w:val="22"/>
          <w:szCs w:val="22"/>
        </w:rPr>
        <w:lastRenderedPageBreak/>
        <w:t>continually monitor the concentration of benzene emissions along their property boundary</w:t>
      </w:r>
      <w:r w:rsidR="002223EF">
        <w:rPr>
          <w:rFonts w:ascii="Arial" w:hAnsi="Arial" w:cs="Arial"/>
          <w:sz w:val="22"/>
          <w:szCs w:val="22"/>
        </w:rPr>
        <w:t xml:space="preserve">, </w:t>
      </w:r>
      <w:r w:rsidR="00125604">
        <w:rPr>
          <w:rFonts w:ascii="Arial" w:hAnsi="Arial" w:cs="Arial"/>
          <w:sz w:val="22"/>
          <w:szCs w:val="22"/>
        </w:rPr>
        <w:t xml:space="preserve">PES monitored benzene concentrations on the perimeter of the refinery beginning in 2018. </w:t>
      </w:r>
      <w:r w:rsidR="003407F3">
        <w:rPr>
          <w:rFonts w:ascii="Arial" w:hAnsi="Arial" w:cs="Arial"/>
          <w:sz w:val="22"/>
          <w:szCs w:val="22"/>
        </w:rPr>
        <w:t>The PES refinery was the highest benzene emitter of all US refineries in 2019 and 2020, and the second-highest in 20</w:t>
      </w:r>
      <w:r w:rsidR="009736F0">
        <w:rPr>
          <w:rFonts w:ascii="Arial" w:hAnsi="Arial" w:cs="Arial"/>
          <w:sz w:val="22"/>
          <w:szCs w:val="22"/>
        </w:rPr>
        <w:t xml:space="preserve">21, two years </w:t>
      </w:r>
      <w:r w:rsidR="009736F0">
        <w:rPr>
          <w:rFonts w:ascii="Arial" w:hAnsi="Arial" w:cs="Arial"/>
          <w:i/>
          <w:iCs/>
          <w:sz w:val="22"/>
          <w:szCs w:val="22"/>
        </w:rPr>
        <w:t>after</w:t>
      </w:r>
      <w:r w:rsidR="009736F0">
        <w:rPr>
          <w:rFonts w:ascii="Arial" w:hAnsi="Arial" w:cs="Arial"/>
          <w:sz w:val="22"/>
          <w:szCs w:val="22"/>
        </w:rPr>
        <w:t xml:space="preserve"> the explosion.</w:t>
      </w:r>
      <w:r w:rsidR="009736F0">
        <w:rPr>
          <w:rFonts w:ascii="Arial" w:hAnsi="Arial" w:cs="Arial"/>
          <w:sz w:val="22"/>
          <w:szCs w:val="22"/>
        </w:rPr>
        <w:fldChar w:fldCharType="begin"/>
      </w:r>
      <w:r w:rsidR="00D85090">
        <w:rPr>
          <w:rFonts w:ascii="Arial" w:hAnsi="Arial" w:cs="Arial"/>
          <w:sz w:val="22"/>
          <w:szCs w:val="22"/>
        </w:rPr>
        <w:instrText xml:space="preserve"> ADDIN ZOTERO_ITEM CSL_CITATION {"citationID":"uLFso3Qe","properties":{"formattedCitation":"\\super 18\\nosupersub{}","plainCitation":"18","noteIndex":0},"citationItems":[{"id":16853,"uris":["http://zotero.org/groups/4923232/items/PGCKM4H7"],"itemData":{"id":16853,"type":"webpage","abstract":"(Click here for the online data map and analysis. For video of the press conference, click here. For audio, click here.) Washington, D.C. – Air pollution monitors at the fencelines of U.S.","container-title":"Environmental Integrity","language":"en-US","title":"Nearly Half of U.S. Refineries Releasing Benzene at Levels That Could Pose a Long-Term Health Threat","URL":"https://environmentalintegrity.org/news/nearly-half-of-u-s-refineries-releasing-benzene-at-levels-that-could-pose-a-long-term-health-threat/","accessed":{"date-parts":[["2026",1,8]]},"issued":{"date-parts":[["2022",5,12]]}}}],"schema":"https://github.com/citation-style-language/schema/raw/master/csl-citation.json"} </w:instrText>
      </w:r>
      <w:r w:rsidR="009736F0">
        <w:rPr>
          <w:rFonts w:ascii="Arial" w:hAnsi="Arial" w:cs="Arial"/>
          <w:sz w:val="22"/>
          <w:szCs w:val="22"/>
        </w:rPr>
        <w:fldChar w:fldCharType="separate"/>
      </w:r>
      <w:r w:rsidR="00D85090" w:rsidRPr="00D85090">
        <w:rPr>
          <w:rFonts w:ascii="Arial" w:hAnsi="Arial" w:cs="Arial"/>
          <w:kern w:val="0"/>
          <w:sz w:val="22"/>
          <w:vertAlign w:val="superscript"/>
        </w:rPr>
        <w:t>18</w:t>
      </w:r>
      <w:r w:rsidR="009736F0">
        <w:rPr>
          <w:rFonts w:ascii="Arial" w:hAnsi="Arial" w:cs="Arial"/>
          <w:sz w:val="22"/>
          <w:szCs w:val="22"/>
        </w:rPr>
        <w:fldChar w:fldCharType="end"/>
      </w:r>
      <w:r w:rsidR="00243EC4">
        <w:rPr>
          <w:rFonts w:ascii="Arial" w:hAnsi="Arial" w:cs="Arial"/>
          <w:sz w:val="22"/>
          <w:szCs w:val="22"/>
        </w:rPr>
        <w:t xml:space="preserve"> Benzene emissions from PES exceeded the EPA action level of </w:t>
      </w:r>
      <w:r w:rsidR="00243EC4" w:rsidRPr="00F056F1">
        <w:rPr>
          <w:rFonts w:ascii="Arial" w:hAnsi="Arial" w:cs="Arial"/>
          <w:sz w:val="22"/>
          <w:szCs w:val="22"/>
        </w:rPr>
        <w:t>9 µg/m</w:t>
      </w:r>
      <w:r w:rsidR="00243EC4" w:rsidRPr="00F056F1">
        <w:rPr>
          <w:rFonts w:ascii="Arial" w:hAnsi="Arial" w:cs="Arial"/>
          <w:sz w:val="22"/>
          <w:szCs w:val="22"/>
          <w:vertAlign w:val="superscript"/>
        </w:rPr>
        <w:t>3</w:t>
      </w:r>
      <w:r w:rsidR="00243EC4" w:rsidRPr="00F056F1">
        <w:rPr>
          <w:rFonts w:ascii="Arial" w:hAnsi="Arial" w:cs="Arial"/>
          <w:sz w:val="22"/>
          <w:szCs w:val="22"/>
        </w:rPr>
        <w:t xml:space="preserve"> </w:t>
      </w:r>
      <w:r w:rsidR="00243EC4">
        <w:rPr>
          <w:rFonts w:ascii="Arial" w:hAnsi="Arial" w:cs="Arial"/>
          <w:sz w:val="22"/>
          <w:szCs w:val="22"/>
        </w:rPr>
        <w:t>moving annual average</w:t>
      </w:r>
      <w:r w:rsidR="004D3824">
        <w:rPr>
          <w:rFonts w:ascii="Arial" w:hAnsi="Arial" w:cs="Arial"/>
          <w:sz w:val="22"/>
          <w:szCs w:val="22"/>
        </w:rPr>
        <w:t xml:space="preserve"> from 2018 until perimeter monitoring ended in early 2022 (</w:t>
      </w:r>
      <w:r w:rsidR="004D3824">
        <w:rPr>
          <w:rFonts w:ascii="Arial" w:hAnsi="Arial" w:cs="Arial"/>
          <w:b/>
          <w:bCs/>
          <w:sz w:val="22"/>
          <w:szCs w:val="22"/>
        </w:rPr>
        <w:t>Figure S1</w:t>
      </w:r>
      <w:r w:rsidR="004D3824">
        <w:rPr>
          <w:rFonts w:ascii="Arial" w:hAnsi="Arial" w:cs="Arial"/>
          <w:sz w:val="22"/>
          <w:szCs w:val="22"/>
        </w:rPr>
        <w:t>).</w:t>
      </w:r>
      <w:r w:rsidR="004D3824">
        <w:rPr>
          <w:rFonts w:ascii="Arial" w:hAnsi="Arial" w:cs="Arial"/>
          <w:sz w:val="22"/>
          <w:szCs w:val="22"/>
        </w:rPr>
        <w:fldChar w:fldCharType="begin"/>
      </w:r>
      <w:r w:rsidR="00D85090">
        <w:rPr>
          <w:rFonts w:ascii="Arial" w:hAnsi="Arial" w:cs="Arial"/>
          <w:sz w:val="22"/>
          <w:szCs w:val="22"/>
        </w:rPr>
        <w:instrText xml:space="preserve"> ADDIN ZOTERO_ITEM CSL_CITATION {"citationID":"aM0BHuJB","properties":{"formattedCitation":"\\super 19\\nosupersub{}","plainCitation":"19","noteIndex":0},"citationItems":[{"id":16756,"uris":["http://zotero.org/groups/4923232/items/FDIGJGH7"],"itemData":{"id":16756,"type":"legislation","container-title":"Code of Federal Regulations","section":"63.658(c)","title":"Fenceline monitoring provisions","volume":"40","issued":{"date-parts":[["2015"]]}}}],"schema":"https://github.com/citation-style-language/schema/raw/master/csl-citation.json"} </w:instrText>
      </w:r>
      <w:r w:rsidR="004D3824">
        <w:rPr>
          <w:rFonts w:ascii="Arial" w:hAnsi="Arial" w:cs="Arial"/>
          <w:sz w:val="22"/>
          <w:szCs w:val="22"/>
        </w:rPr>
        <w:fldChar w:fldCharType="separate"/>
      </w:r>
      <w:r w:rsidR="00D85090" w:rsidRPr="00D85090">
        <w:rPr>
          <w:rFonts w:ascii="Arial" w:hAnsi="Arial" w:cs="Arial"/>
          <w:kern w:val="0"/>
          <w:sz w:val="22"/>
          <w:vertAlign w:val="superscript"/>
        </w:rPr>
        <w:t>19</w:t>
      </w:r>
      <w:r w:rsidR="004D3824">
        <w:rPr>
          <w:rFonts w:ascii="Arial" w:hAnsi="Arial" w:cs="Arial"/>
          <w:sz w:val="22"/>
          <w:szCs w:val="22"/>
        </w:rPr>
        <w:fldChar w:fldCharType="end"/>
      </w:r>
    </w:p>
    <w:p w14:paraId="261C74CF" w14:textId="77777777" w:rsidR="00832A33" w:rsidRDefault="00832A33" w:rsidP="00973130">
      <w:pPr>
        <w:spacing w:line="360" w:lineRule="auto"/>
        <w:jc w:val="both"/>
        <w:rPr>
          <w:rFonts w:ascii="Arial" w:hAnsi="Arial" w:cs="Arial"/>
          <w:sz w:val="22"/>
          <w:szCs w:val="22"/>
        </w:rPr>
      </w:pPr>
    </w:p>
    <w:p w14:paraId="76AE82E9" w14:textId="5715422B" w:rsidR="002540CD" w:rsidRDefault="007747B2" w:rsidP="00973130">
      <w:pPr>
        <w:spacing w:line="360" w:lineRule="auto"/>
        <w:jc w:val="both"/>
        <w:rPr>
          <w:rFonts w:ascii="Arial" w:hAnsi="Arial" w:cs="Arial"/>
          <w:sz w:val="22"/>
          <w:szCs w:val="22"/>
        </w:rPr>
      </w:pPr>
      <w:r w:rsidRPr="00F64D3B">
        <w:rPr>
          <w:rFonts w:ascii="Arial" w:hAnsi="Arial" w:cs="Arial"/>
          <w:sz w:val="22"/>
          <w:szCs w:val="22"/>
        </w:rPr>
        <w:t xml:space="preserve">Philly Thrive, a local environmental justice organization, has been at the heart of community advocacy around closing the refinery and </w:t>
      </w:r>
      <w:r w:rsidR="00F04A6B" w:rsidRPr="00F64D3B">
        <w:rPr>
          <w:rFonts w:ascii="Arial" w:hAnsi="Arial" w:cs="Arial"/>
          <w:sz w:val="22"/>
          <w:szCs w:val="22"/>
        </w:rPr>
        <w:t>fighting for community involvement and environmental justice throughout the redevelopment process</w:t>
      </w:r>
      <w:r w:rsidR="00410478">
        <w:rPr>
          <w:rFonts w:ascii="Arial" w:hAnsi="Arial" w:cs="Arial"/>
          <w:sz w:val="22"/>
          <w:szCs w:val="22"/>
        </w:rPr>
        <w:t>.</w:t>
      </w:r>
      <w:r w:rsidR="00410478">
        <w:rPr>
          <w:rFonts w:ascii="Arial" w:hAnsi="Arial" w:cs="Arial"/>
          <w:sz w:val="22"/>
          <w:szCs w:val="22"/>
        </w:rPr>
        <w:fldChar w:fldCharType="begin"/>
      </w:r>
      <w:r w:rsidR="00D85090">
        <w:rPr>
          <w:rFonts w:ascii="Arial" w:hAnsi="Arial" w:cs="Arial"/>
          <w:sz w:val="22"/>
          <w:szCs w:val="22"/>
        </w:rPr>
        <w:instrText xml:space="preserve"> ADDIN ZOTERO_ITEM CSL_CITATION {"citationID":"b09qIeXh","properties":{"formattedCitation":"\\super 20\\nosupersub{}","plainCitation":"20","noteIndex":0},"citationItems":[{"id":16759,"uris":["http://zotero.org/groups/4923232/items/EL3YXGYT"],"itemData":{"id":16759,"type":"webpage","title":"Philly Thrive","URL":"https://www.phillythrive.org/","accessed":{"date-parts":[["2025",11,14]]}}}],"schema":"https://github.com/citation-style-language/schema/raw/master/csl-citation.json"} </w:instrText>
      </w:r>
      <w:r w:rsidR="00410478">
        <w:rPr>
          <w:rFonts w:ascii="Arial" w:hAnsi="Arial" w:cs="Arial"/>
          <w:sz w:val="22"/>
          <w:szCs w:val="22"/>
        </w:rPr>
        <w:fldChar w:fldCharType="separate"/>
      </w:r>
      <w:r w:rsidR="00D85090" w:rsidRPr="00D85090">
        <w:rPr>
          <w:rFonts w:ascii="Arial" w:hAnsi="Arial" w:cs="Arial"/>
          <w:kern w:val="0"/>
          <w:sz w:val="22"/>
          <w:vertAlign w:val="superscript"/>
        </w:rPr>
        <w:t>20</w:t>
      </w:r>
      <w:r w:rsidR="00410478">
        <w:rPr>
          <w:rFonts w:ascii="Arial" w:hAnsi="Arial" w:cs="Arial"/>
          <w:sz w:val="22"/>
          <w:szCs w:val="22"/>
        </w:rPr>
        <w:fldChar w:fldCharType="end"/>
      </w:r>
      <w:r w:rsidR="00410478">
        <w:rPr>
          <w:rFonts w:ascii="Arial" w:hAnsi="Arial" w:cs="Arial"/>
          <w:sz w:val="22"/>
          <w:szCs w:val="22"/>
        </w:rPr>
        <w:t xml:space="preserve"> </w:t>
      </w:r>
      <w:r w:rsidR="005F5D13" w:rsidRPr="00F64D3B">
        <w:rPr>
          <w:rFonts w:ascii="Arial" w:hAnsi="Arial" w:cs="Arial"/>
          <w:sz w:val="22"/>
          <w:szCs w:val="22"/>
        </w:rPr>
        <w:t xml:space="preserve">Responding to community member concerns about potential further air pollution exposure during the site redevelopment, we partnered with Philly Thrive to </w:t>
      </w:r>
      <w:r w:rsidR="00E34627" w:rsidRPr="00F64D3B">
        <w:rPr>
          <w:rFonts w:ascii="Arial" w:hAnsi="Arial" w:cs="Arial"/>
          <w:sz w:val="22"/>
          <w:szCs w:val="22"/>
        </w:rPr>
        <w:t xml:space="preserve">complete </w:t>
      </w:r>
      <w:r w:rsidR="00065900" w:rsidRPr="00F64D3B">
        <w:rPr>
          <w:rFonts w:ascii="Arial" w:hAnsi="Arial" w:cs="Arial"/>
          <w:sz w:val="22"/>
          <w:szCs w:val="22"/>
        </w:rPr>
        <w:t>a one-year VOC monitoring campaign</w:t>
      </w:r>
      <w:r w:rsidR="00D501C5">
        <w:rPr>
          <w:rFonts w:ascii="Arial" w:hAnsi="Arial" w:cs="Arial"/>
          <w:sz w:val="22"/>
          <w:szCs w:val="22"/>
        </w:rPr>
        <w:t xml:space="preserve">. </w:t>
      </w:r>
      <w:r w:rsidR="00E34627" w:rsidRPr="00F64D3B">
        <w:rPr>
          <w:rFonts w:ascii="Arial" w:hAnsi="Arial" w:cs="Arial"/>
          <w:sz w:val="22"/>
          <w:szCs w:val="22"/>
        </w:rPr>
        <w:t xml:space="preserve">Through a community-based participatory process, we identified </w:t>
      </w:r>
      <w:r w:rsidR="00572C7F" w:rsidRPr="00F64D3B">
        <w:rPr>
          <w:rFonts w:ascii="Arial" w:hAnsi="Arial" w:cs="Arial"/>
          <w:sz w:val="22"/>
          <w:szCs w:val="22"/>
        </w:rPr>
        <w:t xml:space="preserve">and collected samples from 20 </w:t>
      </w:r>
      <w:r w:rsidR="00E34627" w:rsidRPr="00F64D3B">
        <w:rPr>
          <w:rFonts w:ascii="Arial" w:hAnsi="Arial" w:cs="Arial"/>
          <w:sz w:val="22"/>
          <w:szCs w:val="22"/>
        </w:rPr>
        <w:t>air monitoring sites in S/</w:t>
      </w:r>
      <w:r w:rsidR="002540CD" w:rsidRPr="00F64D3B">
        <w:rPr>
          <w:rFonts w:ascii="Arial" w:hAnsi="Arial" w:cs="Arial"/>
          <w:sz w:val="22"/>
          <w:szCs w:val="22"/>
        </w:rPr>
        <w:t>SW Philadelphia and</w:t>
      </w:r>
      <w:r w:rsidR="00572C7F" w:rsidRPr="00F64D3B">
        <w:rPr>
          <w:rFonts w:ascii="Arial" w:hAnsi="Arial" w:cs="Arial"/>
          <w:sz w:val="22"/>
          <w:szCs w:val="22"/>
        </w:rPr>
        <w:t xml:space="preserve"> co-created and disseminated interim findings</w:t>
      </w:r>
      <w:r w:rsidR="00D501C5">
        <w:rPr>
          <w:rFonts w:ascii="Arial" w:hAnsi="Arial" w:cs="Arial"/>
          <w:sz w:val="22"/>
          <w:szCs w:val="22"/>
        </w:rPr>
        <w:t xml:space="preserve"> </w:t>
      </w:r>
      <w:r w:rsidR="00D501C5" w:rsidRPr="00F64D3B">
        <w:rPr>
          <w:rFonts w:ascii="Arial" w:hAnsi="Arial" w:cs="Arial"/>
          <w:sz w:val="22"/>
          <w:szCs w:val="22"/>
        </w:rPr>
        <w:t>(</w:t>
      </w:r>
      <w:commentRangeStart w:id="5"/>
      <w:r w:rsidR="00D501C5" w:rsidRPr="0050455A">
        <w:rPr>
          <w:rFonts w:ascii="Arial" w:hAnsi="Arial" w:cs="Arial"/>
          <w:sz w:val="22"/>
          <w:szCs w:val="22"/>
          <w:highlight w:val="yellow"/>
        </w:rPr>
        <w:t xml:space="preserve">CITE </w:t>
      </w:r>
      <w:r w:rsidR="00D501C5">
        <w:rPr>
          <w:rFonts w:ascii="Arial" w:hAnsi="Arial" w:cs="Arial"/>
          <w:sz w:val="22"/>
          <w:szCs w:val="22"/>
          <w:highlight w:val="yellow"/>
        </w:rPr>
        <w:t xml:space="preserve">CBPR </w:t>
      </w:r>
      <w:r w:rsidR="00D501C5" w:rsidRPr="0050455A">
        <w:rPr>
          <w:rFonts w:ascii="Arial" w:hAnsi="Arial" w:cs="Arial"/>
          <w:sz w:val="22"/>
          <w:szCs w:val="22"/>
          <w:highlight w:val="yellow"/>
        </w:rPr>
        <w:t>paper</w:t>
      </w:r>
      <w:commentRangeEnd w:id="5"/>
      <w:r w:rsidR="003656A8">
        <w:rPr>
          <w:rStyle w:val="CommentReference"/>
        </w:rPr>
        <w:commentReference w:id="5"/>
      </w:r>
      <w:r w:rsidR="00D501C5" w:rsidRPr="00F64D3B">
        <w:rPr>
          <w:rFonts w:ascii="Arial" w:hAnsi="Arial" w:cs="Arial"/>
          <w:sz w:val="22"/>
          <w:szCs w:val="22"/>
        </w:rPr>
        <w:t>)</w:t>
      </w:r>
      <w:r w:rsidR="00572C7F" w:rsidRPr="00F64D3B">
        <w:rPr>
          <w:rFonts w:ascii="Arial" w:hAnsi="Arial" w:cs="Arial"/>
          <w:sz w:val="22"/>
          <w:szCs w:val="22"/>
        </w:rPr>
        <w:t xml:space="preserve">. </w:t>
      </w:r>
    </w:p>
    <w:p w14:paraId="45B2B619" w14:textId="77777777" w:rsidR="005A6D2E" w:rsidRDefault="005A6D2E" w:rsidP="00973130">
      <w:pPr>
        <w:spacing w:line="360" w:lineRule="auto"/>
        <w:jc w:val="both"/>
        <w:rPr>
          <w:rFonts w:ascii="Arial" w:hAnsi="Arial" w:cs="Arial"/>
          <w:sz w:val="22"/>
          <w:szCs w:val="22"/>
        </w:rPr>
      </w:pPr>
    </w:p>
    <w:p w14:paraId="2F31FDB6" w14:textId="24F5367C" w:rsidR="00C45C29" w:rsidRDefault="005A6D2E" w:rsidP="00973130">
      <w:pPr>
        <w:spacing w:line="360" w:lineRule="auto"/>
        <w:jc w:val="both"/>
        <w:rPr>
          <w:rFonts w:ascii="Arial" w:hAnsi="Arial" w:cs="Arial"/>
          <w:sz w:val="22"/>
          <w:szCs w:val="22"/>
        </w:rPr>
      </w:pPr>
      <w:r w:rsidRPr="005A6D2E">
        <w:rPr>
          <w:rFonts w:ascii="Arial" w:hAnsi="Arial" w:cs="Arial"/>
          <w:sz w:val="22"/>
          <w:szCs w:val="22"/>
        </w:rPr>
        <w:t>In our co-design process</w:t>
      </w:r>
      <w:r w:rsidR="001A1616">
        <w:rPr>
          <w:rFonts w:ascii="Arial" w:hAnsi="Arial" w:cs="Arial"/>
          <w:sz w:val="22"/>
          <w:szCs w:val="22"/>
        </w:rPr>
        <w:t xml:space="preserve">, community members identified benzene, lead, and traffic-related air pollutants as primary pollutants of concern, and refinery redevelopment and traffic as major sources of concern. </w:t>
      </w:r>
      <w:r w:rsidR="00765358">
        <w:rPr>
          <w:rFonts w:ascii="Arial" w:hAnsi="Arial" w:cs="Arial"/>
          <w:sz w:val="22"/>
          <w:szCs w:val="22"/>
        </w:rPr>
        <w:t xml:space="preserve">To that end, our community-based report-back process focused on benzene and </w:t>
      </w:r>
      <w:r w:rsidR="00CF4339">
        <w:rPr>
          <w:rFonts w:ascii="Arial" w:hAnsi="Arial" w:cs="Arial"/>
          <w:sz w:val="22"/>
          <w:szCs w:val="22"/>
        </w:rPr>
        <w:t xml:space="preserve">BTEX. </w:t>
      </w:r>
      <w:r w:rsidR="00CF1CAE">
        <w:rPr>
          <w:rFonts w:ascii="Arial" w:hAnsi="Arial" w:cs="Arial"/>
          <w:sz w:val="22"/>
          <w:szCs w:val="22"/>
        </w:rPr>
        <w:t xml:space="preserve"> However, we were</w:t>
      </w:r>
      <w:r w:rsidR="00F25515">
        <w:rPr>
          <w:rFonts w:ascii="Arial" w:hAnsi="Arial" w:cs="Arial"/>
          <w:sz w:val="22"/>
          <w:szCs w:val="22"/>
        </w:rPr>
        <w:t xml:space="preserve"> also</w:t>
      </w:r>
      <w:r w:rsidR="00CF1CAE">
        <w:rPr>
          <w:rFonts w:ascii="Arial" w:hAnsi="Arial" w:cs="Arial"/>
          <w:sz w:val="22"/>
          <w:szCs w:val="22"/>
        </w:rPr>
        <w:t xml:space="preserve"> able to </w:t>
      </w:r>
      <w:r w:rsidR="00F25515">
        <w:rPr>
          <w:rFonts w:ascii="Arial" w:hAnsi="Arial" w:cs="Arial"/>
          <w:sz w:val="22"/>
          <w:szCs w:val="22"/>
        </w:rPr>
        <w:t>quantify</w:t>
      </w:r>
      <w:r w:rsidR="00CF1CAE">
        <w:rPr>
          <w:rFonts w:ascii="Arial" w:hAnsi="Arial" w:cs="Arial"/>
          <w:sz w:val="22"/>
          <w:szCs w:val="22"/>
        </w:rPr>
        <w:t xml:space="preserve"> </w:t>
      </w:r>
      <w:r w:rsidR="009E0129">
        <w:rPr>
          <w:rFonts w:ascii="Arial" w:hAnsi="Arial" w:cs="Arial"/>
          <w:sz w:val="22"/>
          <w:szCs w:val="22"/>
        </w:rPr>
        <w:t>34</w:t>
      </w:r>
      <w:r w:rsidR="00CF1CAE">
        <w:rPr>
          <w:rFonts w:ascii="Arial" w:hAnsi="Arial" w:cs="Arial"/>
          <w:sz w:val="22"/>
          <w:szCs w:val="22"/>
        </w:rPr>
        <w:t xml:space="preserve"> additional VOCs</w:t>
      </w:r>
      <w:r w:rsidR="009E0129">
        <w:rPr>
          <w:rFonts w:ascii="Arial" w:hAnsi="Arial" w:cs="Arial"/>
          <w:sz w:val="22"/>
          <w:szCs w:val="22"/>
        </w:rPr>
        <w:t>, affording an opportunity to use these data to further characterize potential sources and source contributions in South/Southwest Philadelphia.</w:t>
      </w:r>
      <w:r w:rsidR="00D501C5">
        <w:rPr>
          <w:rFonts w:ascii="Arial" w:hAnsi="Arial" w:cs="Arial"/>
          <w:sz w:val="22"/>
          <w:szCs w:val="22"/>
        </w:rPr>
        <w:t xml:space="preserve"> </w:t>
      </w:r>
      <w:r w:rsidR="00962B45" w:rsidRPr="00F64D3B">
        <w:rPr>
          <w:rFonts w:ascii="Arial" w:hAnsi="Arial" w:cs="Arial"/>
          <w:sz w:val="22"/>
          <w:szCs w:val="22"/>
        </w:rPr>
        <w:t xml:space="preserve">Here, we describe the results of </w:t>
      </w:r>
      <w:r w:rsidR="00F25515">
        <w:rPr>
          <w:rFonts w:ascii="Arial" w:hAnsi="Arial" w:cs="Arial"/>
          <w:sz w:val="22"/>
          <w:szCs w:val="22"/>
        </w:rPr>
        <w:t>these additional analyses.</w:t>
      </w:r>
      <w:r w:rsidR="00C45C29">
        <w:rPr>
          <w:rFonts w:ascii="Arial" w:hAnsi="Arial" w:cs="Arial"/>
          <w:sz w:val="22"/>
          <w:szCs w:val="22"/>
        </w:rPr>
        <w:t xml:space="preserve"> </w:t>
      </w:r>
    </w:p>
    <w:p w14:paraId="0322E1F9" w14:textId="77777777" w:rsidR="00216DE2" w:rsidRPr="00F64D3B" w:rsidRDefault="00216DE2" w:rsidP="00973130">
      <w:pPr>
        <w:spacing w:line="360" w:lineRule="auto"/>
        <w:jc w:val="both"/>
        <w:rPr>
          <w:rFonts w:ascii="Arial" w:hAnsi="Arial" w:cs="Arial"/>
          <w:b/>
          <w:bCs/>
          <w:sz w:val="22"/>
          <w:szCs w:val="22"/>
        </w:rPr>
      </w:pPr>
    </w:p>
    <w:p w14:paraId="60A20478" w14:textId="2863438B" w:rsidR="00D40BBA" w:rsidRPr="00F64D3B" w:rsidRDefault="007C6836" w:rsidP="00973130">
      <w:pPr>
        <w:spacing w:line="360" w:lineRule="auto"/>
        <w:jc w:val="both"/>
        <w:rPr>
          <w:rFonts w:ascii="Arial" w:hAnsi="Arial" w:cs="Arial"/>
          <w:b/>
          <w:bCs/>
          <w:sz w:val="22"/>
          <w:szCs w:val="22"/>
        </w:rPr>
      </w:pPr>
      <w:r w:rsidRPr="00F64D3B">
        <w:rPr>
          <w:rFonts w:ascii="Arial" w:hAnsi="Arial" w:cs="Arial"/>
          <w:b/>
          <w:bCs/>
          <w:sz w:val="22"/>
          <w:szCs w:val="22"/>
        </w:rPr>
        <w:t>MATERIALS AND METHODS</w:t>
      </w:r>
    </w:p>
    <w:p w14:paraId="08DB431E" w14:textId="3414CD07" w:rsidR="00F76972" w:rsidRPr="00F64D3B" w:rsidRDefault="00F76972" w:rsidP="00973130">
      <w:pPr>
        <w:spacing w:line="360" w:lineRule="auto"/>
        <w:jc w:val="both"/>
        <w:rPr>
          <w:rFonts w:ascii="Arial" w:hAnsi="Arial" w:cs="Arial"/>
          <w:sz w:val="22"/>
          <w:szCs w:val="22"/>
        </w:rPr>
      </w:pPr>
      <w:r w:rsidRPr="00F64D3B">
        <w:rPr>
          <w:rFonts w:ascii="Arial" w:hAnsi="Arial" w:cs="Arial"/>
          <w:sz w:val="22"/>
          <w:szCs w:val="22"/>
          <w:u w:val="single"/>
        </w:rPr>
        <w:t>Study Design</w:t>
      </w:r>
    </w:p>
    <w:p w14:paraId="61EEA569" w14:textId="17827332" w:rsidR="00451C93" w:rsidRPr="00F64D3B" w:rsidRDefault="00F76972" w:rsidP="00973130">
      <w:pPr>
        <w:spacing w:line="360" w:lineRule="auto"/>
        <w:jc w:val="both"/>
        <w:rPr>
          <w:rFonts w:ascii="Arial" w:hAnsi="Arial" w:cs="Arial"/>
          <w:sz w:val="22"/>
          <w:szCs w:val="22"/>
        </w:rPr>
      </w:pPr>
      <w:r w:rsidRPr="00F64D3B">
        <w:rPr>
          <w:rFonts w:ascii="Arial" w:hAnsi="Arial" w:cs="Arial"/>
          <w:sz w:val="22"/>
          <w:szCs w:val="22"/>
        </w:rPr>
        <w:t xml:space="preserve">Partnered with Philly Thrive, we co-designed a </w:t>
      </w:r>
      <w:r w:rsidR="00451C93" w:rsidRPr="00F64D3B">
        <w:rPr>
          <w:rFonts w:ascii="Arial" w:hAnsi="Arial" w:cs="Arial"/>
          <w:sz w:val="22"/>
          <w:szCs w:val="22"/>
        </w:rPr>
        <w:t>VOC monitoring campaign</w:t>
      </w:r>
      <w:r w:rsidR="005C493E" w:rsidRPr="00F64D3B">
        <w:rPr>
          <w:rFonts w:ascii="Arial" w:hAnsi="Arial" w:cs="Arial"/>
          <w:sz w:val="22"/>
          <w:szCs w:val="22"/>
        </w:rPr>
        <w:t xml:space="preserve"> </w:t>
      </w:r>
      <w:r w:rsidR="00451C93" w:rsidRPr="00F64D3B">
        <w:rPr>
          <w:rFonts w:ascii="Arial" w:hAnsi="Arial" w:cs="Arial"/>
          <w:sz w:val="22"/>
          <w:szCs w:val="22"/>
        </w:rPr>
        <w:t>in South/Southwest Philadelphia. A comprehensive description of our community-based participatory research process is published elsewhere (</w:t>
      </w:r>
      <w:r w:rsidR="00F66F36" w:rsidRPr="0050455A">
        <w:rPr>
          <w:rFonts w:ascii="Arial" w:hAnsi="Arial" w:cs="Arial"/>
          <w:sz w:val="22"/>
          <w:szCs w:val="22"/>
          <w:highlight w:val="yellow"/>
        </w:rPr>
        <w:t xml:space="preserve">CITE </w:t>
      </w:r>
      <w:r w:rsidR="00F66F36">
        <w:rPr>
          <w:rFonts w:ascii="Arial" w:hAnsi="Arial" w:cs="Arial"/>
          <w:sz w:val="22"/>
          <w:szCs w:val="22"/>
          <w:highlight w:val="yellow"/>
        </w:rPr>
        <w:t xml:space="preserve">CBPR </w:t>
      </w:r>
      <w:r w:rsidR="00F66F36" w:rsidRPr="0050455A">
        <w:rPr>
          <w:rFonts w:ascii="Arial" w:hAnsi="Arial" w:cs="Arial"/>
          <w:sz w:val="22"/>
          <w:szCs w:val="22"/>
          <w:highlight w:val="yellow"/>
        </w:rPr>
        <w:t>paper</w:t>
      </w:r>
      <w:r w:rsidR="00451C93" w:rsidRPr="00F64D3B">
        <w:rPr>
          <w:rFonts w:ascii="Arial" w:hAnsi="Arial" w:cs="Arial"/>
          <w:sz w:val="22"/>
          <w:szCs w:val="22"/>
        </w:rPr>
        <w:t xml:space="preserve">). In short, through a series of </w:t>
      </w:r>
      <w:r w:rsidR="00BD6F15" w:rsidRPr="00F64D3B">
        <w:rPr>
          <w:rFonts w:ascii="Arial" w:hAnsi="Arial" w:cs="Arial"/>
          <w:sz w:val="22"/>
          <w:szCs w:val="22"/>
        </w:rPr>
        <w:t xml:space="preserve">design meetings with Philly Thrive members (“Thrivers”), we identified two primary sources of concern: a former oil refinery site in the process of redevelopment </w:t>
      </w:r>
      <w:r w:rsidR="001558DB" w:rsidRPr="00F64D3B">
        <w:rPr>
          <w:rFonts w:ascii="Arial" w:hAnsi="Arial" w:cs="Arial"/>
          <w:sz w:val="22"/>
          <w:szCs w:val="22"/>
        </w:rPr>
        <w:t xml:space="preserve">into a logistics center, and traffic-related emissions. Thrivers were </w:t>
      </w:r>
      <w:r w:rsidR="00437778" w:rsidRPr="00F64D3B">
        <w:rPr>
          <w:rFonts w:ascii="Arial" w:hAnsi="Arial" w:cs="Arial"/>
          <w:sz w:val="22"/>
          <w:szCs w:val="22"/>
        </w:rPr>
        <w:t xml:space="preserve">primarily concerned about pollution from benzene and benzene-related compounds. </w:t>
      </w:r>
    </w:p>
    <w:p w14:paraId="7E687847" w14:textId="77777777" w:rsidR="00F76972" w:rsidRPr="00F64D3B" w:rsidRDefault="00F76972" w:rsidP="00973130">
      <w:pPr>
        <w:spacing w:line="360" w:lineRule="auto"/>
        <w:jc w:val="both"/>
        <w:rPr>
          <w:rFonts w:ascii="Arial" w:hAnsi="Arial" w:cs="Arial"/>
          <w:sz w:val="22"/>
          <w:szCs w:val="22"/>
        </w:rPr>
      </w:pPr>
    </w:p>
    <w:p w14:paraId="69D362D7" w14:textId="6C81BF7A" w:rsidR="00F76972" w:rsidRPr="00F64D3B" w:rsidRDefault="00BF2D2F" w:rsidP="00973130">
      <w:pPr>
        <w:spacing w:line="360" w:lineRule="auto"/>
        <w:jc w:val="both"/>
        <w:rPr>
          <w:rFonts w:ascii="Arial" w:hAnsi="Arial" w:cs="Arial"/>
          <w:sz w:val="22"/>
          <w:szCs w:val="22"/>
        </w:rPr>
      </w:pPr>
      <w:r w:rsidRPr="00F64D3B">
        <w:rPr>
          <w:rFonts w:ascii="Arial" w:hAnsi="Arial" w:cs="Arial"/>
          <w:sz w:val="22"/>
          <w:szCs w:val="22"/>
        </w:rPr>
        <w:t xml:space="preserve">We selected 9 sites which were sampled weekly: 1 background site at Bartram’s Gardens where we expected </w:t>
      </w:r>
      <w:r w:rsidR="00E76588" w:rsidRPr="00F64D3B">
        <w:rPr>
          <w:rFonts w:ascii="Arial" w:hAnsi="Arial" w:cs="Arial"/>
          <w:sz w:val="22"/>
          <w:szCs w:val="22"/>
        </w:rPr>
        <w:t xml:space="preserve">generally low VOC concentrations; 7 sites </w:t>
      </w:r>
      <w:r w:rsidR="00090EF7" w:rsidRPr="00F64D3B">
        <w:rPr>
          <w:rFonts w:ascii="Arial" w:hAnsi="Arial" w:cs="Arial"/>
          <w:sz w:val="22"/>
          <w:szCs w:val="22"/>
        </w:rPr>
        <w:t xml:space="preserve">surrounding the former refinery site; and </w:t>
      </w:r>
      <w:r w:rsidR="00090EF7" w:rsidRPr="00F64D3B">
        <w:rPr>
          <w:rFonts w:ascii="Arial" w:hAnsi="Arial" w:cs="Arial"/>
          <w:sz w:val="22"/>
          <w:szCs w:val="22"/>
        </w:rPr>
        <w:lastRenderedPageBreak/>
        <w:t>1 site co-located with a government Air Quality Services (AQS) monitor</w:t>
      </w:r>
      <w:r w:rsidR="004C537F" w:rsidRPr="00F64D3B">
        <w:rPr>
          <w:rFonts w:ascii="Arial" w:hAnsi="Arial" w:cs="Arial"/>
          <w:sz w:val="22"/>
          <w:szCs w:val="22"/>
        </w:rPr>
        <w:t xml:space="preserve">. We further selected </w:t>
      </w:r>
      <w:r w:rsidR="00CF6023" w:rsidRPr="00F64D3B">
        <w:rPr>
          <w:rFonts w:ascii="Arial" w:hAnsi="Arial" w:cs="Arial"/>
          <w:sz w:val="22"/>
          <w:szCs w:val="22"/>
        </w:rPr>
        <w:t>11</w:t>
      </w:r>
      <w:r w:rsidR="004C537F" w:rsidRPr="00F64D3B">
        <w:rPr>
          <w:rFonts w:ascii="Arial" w:hAnsi="Arial" w:cs="Arial"/>
          <w:sz w:val="22"/>
          <w:szCs w:val="22"/>
        </w:rPr>
        <w:t xml:space="preserve"> “community” sites which were sampled for two 2-week periods (one in summer, one in winter) rotating through 3 community sites per 2-week session during these two seasons. </w:t>
      </w:r>
      <w:r w:rsidR="00202279" w:rsidRPr="00F64D3B">
        <w:rPr>
          <w:rFonts w:ascii="Arial" w:hAnsi="Arial" w:cs="Arial"/>
          <w:sz w:val="22"/>
          <w:szCs w:val="22"/>
        </w:rPr>
        <w:t xml:space="preserve">Community sites were selected </w:t>
      </w:r>
      <w:r w:rsidR="00062144" w:rsidRPr="00F64D3B">
        <w:rPr>
          <w:rFonts w:ascii="Arial" w:hAnsi="Arial" w:cs="Arial"/>
          <w:sz w:val="22"/>
          <w:szCs w:val="22"/>
        </w:rPr>
        <w:t>by matching a</w:t>
      </w:r>
      <w:r w:rsidR="00202279" w:rsidRPr="00F64D3B">
        <w:rPr>
          <w:rFonts w:ascii="Arial" w:hAnsi="Arial" w:cs="Arial"/>
          <w:sz w:val="22"/>
          <w:szCs w:val="22"/>
        </w:rPr>
        <w:t xml:space="preserve"> pool of community-recommended locations </w:t>
      </w:r>
      <w:r w:rsidR="00062144" w:rsidRPr="00F64D3B">
        <w:rPr>
          <w:rFonts w:ascii="Arial" w:hAnsi="Arial" w:cs="Arial"/>
          <w:sz w:val="22"/>
          <w:szCs w:val="22"/>
        </w:rPr>
        <w:t xml:space="preserve">(e.g., schools, parks) with </w:t>
      </w:r>
      <w:r w:rsidR="00BA5F1A" w:rsidRPr="00F64D3B">
        <w:rPr>
          <w:rFonts w:ascii="Arial" w:hAnsi="Arial" w:cs="Arial"/>
          <w:sz w:val="22"/>
          <w:szCs w:val="22"/>
        </w:rPr>
        <w:t xml:space="preserve">Philadelphia Electricity Company (PECO)-owned streetside telephone poles. Community sites were </w:t>
      </w:r>
      <w:r w:rsidR="00202279" w:rsidRPr="00F64D3B">
        <w:rPr>
          <w:rFonts w:ascii="Arial" w:hAnsi="Arial" w:cs="Arial"/>
          <w:sz w:val="22"/>
          <w:szCs w:val="22"/>
        </w:rPr>
        <w:t xml:space="preserve">narrowed down </w:t>
      </w:r>
      <w:r w:rsidR="00D7117E" w:rsidRPr="00F64D3B">
        <w:rPr>
          <w:rFonts w:ascii="Arial" w:hAnsi="Arial" w:cs="Arial"/>
          <w:sz w:val="22"/>
          <w:szCs w:val="22"/>
        </w:rPr>
        <w:t>using a stratified approach to ensure we included community sites in high- and low-traffic areas</w:t>
      </w:r>
      <w:r w:rsidR="00C500EF" w:rsidRPr="00F64D3B">
        <w:rPr>
          <w:rFonts w:ascii="Arial" w:hAnsi="Arial" w:cs="Arial"/>
          <w:sz w:val="22"/>
          <w:szCs w:val="22"/>
        </w:rPr>
        <w:t xml:space="preserve">, and across varying distances from the </w:t>
      </w:r>
      <w:r w:rsidR="00BD6CB5" w:rsidRPr="00F64D3B">
        <w:rPr>
          <w:rFonts w:ascii="Arial" w:hAnsi="Arial" w:cs="Arial"/>
          <w:sz w:val="22"/>
          <w:szCs w:val="22"/>
        </w:rPr>
        <w:t xml:space="preserve">former </w:t>
      </w:r>
      <w:r w:rsidR="00C500EF" w:rsidRPr="00F64D3B">
        <w:rPr>
          <w:rFonts w:ascii="Arial" w:hAnsi="Arial" w:cs="Arial"/>
          <w:sz w:val="22"/>
          <w:szCs w:val="22"/>
        </w:rPr>
        <w:t xml:space="preserve">refinery </w:t>
      </w:r>
      <w:proofErr w:type="spellStart"/>
      <w:r w:rsidR="00C500EF" w:rsidRPr="00F64D3B">
        <w:rPr>
          <w:rFonts w:ascii="Arial" w:hAnsi="Arial" w:cs="Arial"/>
          <w:sz w:val="22"/>
          <w:szCs w:val="22"/>
        </w:rPr>
        <w:t>fenceline</w:t>
      </w:r>
      <w:proofErr w:type="spellEnd"/>
      <w:r w:rsidR="00C500EF" w:rsidRPr="00F64D3B">
        <w:rPr>
          <w:rFonts w:ascii="Arial" w:hAnsi="Arial" w:cs="Arial"/>
          <w:sz w:val="22"/>
          <w:szCs w:val="22"/>
        </w:rPr>
        <w:t xml:space="preserve">. </w:t>
      </w:r>
      <w:r w:rsidR="00252859" w:rsidRPr="00F64D3B">
        <w:rPr>
          <w:rFonts w:ascii="Arial" w:hAnsi="Arial" w:cs="Arial"/>
          <w:sz w:val="22"/>
          <w:szCs w:val="22"/>
        </w:rPr>
        <w:t>Traffic density was calculated for 30m grid cells across the domain and categorized into 30</w:t>
      </w:r>
      <w:r w:rsidR="00252859" w:rsidRPr="00F64D3B">
        <w:rPr>
          <w:rFonts w:ascii="Arial" w:hAnsi="Arial" w:cs="Arial"/>
          <w:sz w:val="22"/>
          <w:szCs w:val="22"/>
          <w:vertAlign w:val="superscript"/>
        </w:rPr>
        <w:t>th</w:t>
      </w:r>
      <w:r w:rsidR="00252859" w:rsidRPr="00F64D3B">
        <w:rPr>
          <w:rFonts w:ascii="Arial" w:hAnsi="Arial" w:cs="Arial"/>
          <w:sz w:val="22"/>
          <w:szCs w:val="22"/>
        </w:rPr>
        <w:t xml:space="preserve"> vs. 70</w:t>
      </w:r>
      <w:r w:rsidR="00252859" w:rsidRPr="00F64D3B">
        <w:rPr>
          <w:rFonts w:ascii="Arial" w:hAnsi="Arial" w:cs="Arial"/>
          <w:sz w:val="22"/>
          <w:szCs w:val="22"/>
          <w:vertAlign w:val="superscript"/>
        </w:rPr>
        <w:t>th</w:t>
      </w:r>
      <w:r w:rsidR="00252859" w:rsidRPr="00F64D3B">
        <w:rPr>
          <w:rFonts w:ascii="Arial" w:hAnsi="Arial" w:cs="Arial"/>
          <w:sz w:val="22"/>
          <w:szCs w:val="22"/>
        </w:rPr>
        <w:t xml:space="preserve"> percentiles (low vs. high) of weighted traffic density.</w:t>
      </w:r>
      <w:r w:rsidR="00D2050F" w:rsidRPr="00F64D3B">
        <w:rPr>
          <w:rFonts w:ascii="Arial" w:hAnsi="Arial" w:cs="Arial"/>
          <w:sz w:val="22"/>
          <w:szCs w:val="22"/>
        </w:rPr>
        <w:fldChar w:fldCharType="begin"/>
      </w:r>
      <w:r w:rsidR="00D85090">
        <w:rPr>
          <w:rFonts w:ascii="Arial" w:hAnsi="Arial" w:cs="Arial"/>
          <w:sz w:val="22"/>
          <w:szCs w:val="22"/>
        </w:rPr>
        <w:instrText xml:space="preserve"> ADDIN ZOTERO_ITEM CSL_CITATION {"citationID":"8wajK86Z","properties":{"formattedCitation":"\\super 21\\nosupersub{}","plainCitation":"21","noteIndex":0},"citationItems":[{"id":16461,"uris":["http://zotero.org/users/2067478/items/8LMQ3SUT"],"itemData":{"id":16461,"type":"article-journal","abstract":"Background\nExisting traffic variables used for predicting NO2 in epidemiological studies are either difficult to acquire or explain only a small proportion of the variance. The purpose of this study was to develop and validate a new predictor, weighted road density, which combines the maximum amount of information related to traffic into a single variable without the requirement of obtaining traffic counts for a given area.\nMethod\nTwo week NO2 samples were collected using the readings of up to 32 passive samplers on 3 separate rounds between September and December 2006 and again in 2007. Several types of traffic related explanatory variables based on traffic counts, distance to main road and the proposed weighted road density were constructed using GIS software, and tested for association with the NO2 samplers. Assessment of the best model was based on R2 values, as well as leave-one-out cross validation.\nResults\nThe weighted road density variable and the density variable based on traffic counts resulted in a similar R2 (0.59) for predicting NO2, although weighted road density was much easier to construct and outperformed other variables such as distance to main road.\nConclusion\nAs well as being a powerful predictor for use in a land use regression model, weighted road density can be used as a proxy for exposure to traffic-related pollution, for use in circumstances where direct measurements of pollutant levels are not feasible or are not required.","container-title":"Atmospheric Environment","DOI":"10.1016/j.atmosenv.2009.06.049","ISSN":"1352-2310","issue":"32","journalAbbreviation":"Atmospheric Environment","page":"5009-5014","source":"ScienceDirect","title":"Weighted road density: A simple way of assigning traffic-related air pollution exposure","title-short":"Weighted road density","volume":"43","author":[{"family":"Rose","given":"Nectarios"},{"family":"Cowie","given":"Christine"},{"family":"Gillett","given":"Robert"},{"family":"Marks","given":"Guy B."}],"issued":{"date-parts":[["2009",10,1]]}}}],"schema":"https://github.com/citation-style-language/schema/raw/master/csl-citation.json"} </w:instrText>
      </w:r>
      <w:r w:rsidR="00D2050F" w:rsidRPr="00F64D3B">
        <w:rPr>
          <w:rFonts w:ascii="Arial" w:hAnsi="Arial" w:cs="Arial"/>
          <w:sz w:val="22"/>
          <w:szCs w:val="22"/>
        </w:rPr>
        <w:fldChar w:fldCharType="separate"/>
      </w:r>
      <w:r w:rsidR="00D85090" w:rsidRPr="00D85090">
        <w:rPr>
          <w:rFonts w:ascii="Arial" w:hAnsi="Arial" w:cs="Arial"/>
          <w:kern w:val="0"/>
          <w:sz w:val="22"/>
          <w:vertAlign w:val="superscript"/>
        </w:rPr>
        <w:t>21</w:t>
      </w:r>
      <w:r w:rsidR="00D2050F" w:rsidRPr="00F64D3B">
        <w:rPr>
          <w:rFonts w:ascii="Arial" w:hAnsi="Arial" w:cs="Arial"/>
          <w:sz w:val="22"/>
          <w:szCs w:val="22"/>
        </w:rPr>
        <w:fldChar w:fldCharType="end"/>
      </w:r>
      <w:r w:rsidR="00D7117E" w:rsidRPr="00F64D3B">
        <w:rPr>
          <w:rFonts w:ascii="Arial" w:hAnsi="Arial" w:cs="Arial"/>
          <w:sz w:val="22"/>
          <w:szCs w:val="22"/>
        </w:rPr>
        <w:t xml:space="preserve"> </w:t>
      </w:r>
      <w:r w:rsidR="00252859" w:rsidRPr="00F64D3B">
        <w:rPr>
          <w:rFonts w:ascii="Arial" w:hAnsi="Arial" w:cs="Arial"/>
          <w:sz w:val="22"/>
          <w:szCs w:val="22"/>
        </w:rPr>
        <w:t xml:space="preserve">For each grid cell, distance to refinery was calculated as shortest distance between the grid cell centroid and the nearest refinery </w:t>
      </w:r>
      <w:proofErr w:type="spellStart"/>
      <w:r w:rsidR="00252859" w:rsidRPr="00F64D3B">
        <w:rPr>
          <w:rFonts w:ascii="Arial" w:hAnsi="Arial" w:cs="Arial"/>
          <w:sz w:val="22"/>
          <w:szCs w:val="22"/>
        </w:rPr>
        <w:t>fenceline</w:t>
      </w:r>
      <w:proofErr w:type="spellEnd"/>
      <w:r w:rsidR="00252859" w:rsidRPr="00F64D3B">
        <w:rPr>
          <w:rFonts w:ascii="Arial" w:hAnsi="Arial" w:cs="Arial"/>
          <w:sz w:val="22"/>
          <w:szCs w:val="22"/>
        </w:rPr>
        <w:t>, and categorized into near</w:t>
      </w:r>
      <w:r w:rsidR="00BD6CB5" w:rsidRPr="00F64D3B">
        <w:rPr>
          <w:rFonts w:ascii="Arial" w:hAnsi="Arial" w:cs="Arial"/>
          <w:sz w:val="22"/>
          <w:szCs w:val="22"/>
        </w:rPr>
        <w:t xml:space="preserve">, mid, and far from </w:t>
      </w:r>
      <w:proofErr w:type="spellStart"/>
      <w:r w:rsidR="00BD6CB5" w:rsidRPr="00F64D3B">
        <w:rPr>
          <w:rFonts w:ascii="Arial" w:hAnsi="Arial" w:cs="Arial"/>
          <w:sz w:val="22"/>
          <w:szCs w:val="22"/>
        </w:rPr>
        <w:t>fenceline</w:t>
      </w:r>
      <w:proofErr w:type="spellEnd"/>
      <w:r w:rsidR="00BD6CB5" w:rsidRPr="00F64D3B">
        <w:rPr>
          <w:rFonts w:ascii="Arial" w:hAnsi="Arial" w:cs="Arial"/>
          <w:sz w:val="22"/>
          <w:szCs w:val="22"/>
        </w:rPr>
        <w:t xml:space="preserve"> based on distance </w:t>
      </w:r>
      <w:proofErr w:type="spellStart"/>
      <w:r w:rsidR="00BD6CB5" w:rsidRPr="00F64D3B">
        <w:rPr>
          <w:rFonts w:ascii="Arial" w:hAnsi="Arial" w:cs="Arial"/>
          <w:sz w:val="22"/>
          <w:szCs w:val="22"/>
        </w:rPr>
        <w:t>tertiles</w:t>
      </w:r>
      <w:proofErr w:type="spellEnd"/>
      <w:r w:rsidR="00BD6CB5" w:rsidRPr="00F64D3B">
        <w:rPr>
          <w:rFonts w:ascii="Arial" w:hAnsi="Arial" w:cs="Arial"/>
          <w:sz w:val="22"/>
          <w:szCs w:val="22"/>
        </w:rPr>
        <w:t>.</w:t>
      </w:r>
      <w:r w:rsidR="00EF5A27" w:rsidRPr="00F64D3B">
        <w:rPr>
          <w:rFonts w:ascii="Arial" w:hAnsi="Arial" w:cs="Arial"/>
          <w:sz w:val="22"/>
          <w:szCs w:val="22"/>
        </w:rPr>
        <w:t xml:space="preserve"> In addition to traffic density classifications used to select community sites, all sites were further categorized based on nearby </w:t>
      </w:r>
      <w:r w:rsidR="00CC4FCE" w:rsidRPr="00F64D3B">
        <w:rPr>
          <w:rFonts w:ascii="Arial" w:hAnsi="Arial" w:cs="Arial"/>
          <w:sz w:val="22"/>
          <w:szCs w:val="22"/>
        </w:rPr>
        <w:t xml:space="preserve">(100m buffer) </w:t>
      </w:r>
      <w:r w:rsidR="00EF5A27" w:rsidRPr="00F64D3B">
        <w:rPr>
          <w:rFonts w:ascii="Arial" w:hAnsi="Arial" w:cs="Arial"/>
          <w:sz w:val="22"/>
          <w:szCs w:val="22"/>
        </w:rPr>
        <w:t>land use</w:t>
      </w:r>
      <w:r w:rsidR="00CC4FCE" w:rsidRPr="00F64D3B">
        <w:rPr>
          <w:rFonts w:ascii="Arial" w:hAnsi="Arial" w:cs="Arial"/>
          <w:sz w:val="22"/>
          <w:szCs w:val="22"/>
        </w:rPr>
        <w:t xml:space="preserve"> at the time of analysis</w:t>
      </w:r>
      <w:r w:rsidR="00EF5A27" w:rsidRPr="00F64D3B">
        <w:rPr>
          <w:rFonts w:ascii="Arial" w:hAnsi="Arial" w:cs="Arial"/>
          <w:sz w:val="22"/>
          <w:szCs w:val="22"/>
        </w:rPr>
        <w:t>, using 2023 tax parcel data from Open Data Philly</w:t>
      </w:r>
      <w:r w:rsidR="00B377CB" w:rsidRPr="00F64D3B">
        <w:rPr>
          <w:rFonts w:ascii="Arial" w:hAnsi="Arial" w:cs="Arial"/>
          <w:sz w:val="22"/>
          <w:szCs w:val="22"/>
        </w:rPr>
        <w:t>.</w:t>
      </w:r>
      <w:r w:rsidR="00B377CB" w:rsidRPr="00F64D3B">
        <w:rPr>
          <w:rFonts w:ascii="Arial" w:hAnsi="Arial" w:cs="Arial"/>
          <w:sz w:val="22"/>
          <w:szCs w:val="22"/>
        </w:rPr>
        <w:fldChar w:fldCharType="begin"/>
      </w:r>
      <w:r w:rsidR="00D85090">
        <w:rPr>
          <w:rFonts w:ascii="Arial" w:hAnsi="Arial" w:cs="Arial"/>
          <w:sz w:val="22"/>
          <w:szCs w:val="22"/>
        </w:rPr>
        <w:instrText xml:space="preserve"> ADDIN ZOTERO_ITEM CSL_CITATION {"citationID":"UOZ34aFo","properties":{"formattedCitation":"\\super 22\\nosupersub{}","plainCitation":"22","noteIndex":0},"citationItems":[{"id":16567,"uris":["http://zotero.org/groups/4923232/items/NEHLMLUR"],"itemData":{"id":16567,"type":"dataset","abstract":"City of Philadelphia land use as ascribed to individual parcel boundaries or units of land. Land use is the type of activity occurring on the land such as residential, commercial or industrial. Eac...","publisher":"Open Data Philly","title":"Philadelphia Land Use","URL":"https://opendataphilly.org/datasets/land-use/","author":[{"literal":"Open Data Philly"}],"contributor":[{"literal":"Darshna Patel"}],"accessed":{"date-parts":[["2025",11,3]]}}}],"schema":"https://github.com/citation-style-language/schema/raw/master/csl-citation.json"} </w:instrText>
      </w:r>
      <w:r w:rsidR="00B377CB" w:rsidRPr="00F64D3B">
        <w:rPr>
          <w:rFonts w:ascii="Arial" w:hAnsi="Arial" w:cs="Arial"/>
          <w:sz w:val="22"/>
          <w:szCs w:val="22"/>
        </w:rPr>
        <w:fldChar w:fldCharType="separate"/>
      </w:r>
      <w:r w:rsidR="00D85090" w:rsidRPr="00D85090">
        <w:rPr>
          <w:rFonts w:ascii="Arial" w:hAnsi="Arial" w:cs="Arial"/>
          <w:kern w:val="0"/>
          <w:sz w:val="22"/>
          <w:vertAlign w:val="superscript"/>
        </w:rPr>
        <w:t>22</w:t>
      </w:r>
      <w:r w:rsidR="00B377CB" w:rsidRPr="00F64D3B">
        <w:rPr>
          <w:rFonts w:ascii="Arial" w:hAnsi="Arial" w:cs="Arial"/>
          <w:sz w:val="22"/>
          <w:szCs w:val="22"/>
        </w:rPr>
        <w:fldChar w:fldCharType="end"/>
      </w:r>
      <w:r w:rsidR="00B377CB" w:rsidRPr="00F64D3B">
        <w:rPr>
          <w:rFonts w:ascii="Arial" w:hAnsi="Arial" w:cs="Arial"/>
          <w:sz w:val="22"/>
          <w:szCs w:val="22"/>
        </w:rPr>
        <w:t xml:space="preserve"> </w:t>
      </w:r>
      <w:r w:rsidR="008C5966" w:rsidRPr="00F64D3B">
        <w:rPr>
          <w:rFonts w:ascii="Arial" w:hAnsi="Arial" w:cs="Arial"/>
          <w:sz w:val="22"/>
          <w:szCs w:val="22"/>
        </w:rPr>
        <w:t xml:space="preserve">Site locations are mapped in </w:t>
      </w:r>
      <w:r w:rsidR="008C5966" w:rsidRPr="00F64D3B">
        <w:rPr>
          <w:rFonts w:ascii="Arial" w:hAnsi="Arial" w:cs="Arial"/>
          <w:b/>
          <w:bCs/>
          <w:sz w:val="22"/>
          <w:szCs w:val="22"/>
        </w:rPr>
        <w:t>Figure 1</w:t>
      </w:r>
      <w:r w:rsidR="008C5966" w:rsidRPr="00F64D3B">
        <w:rPr>
          <w:rFonts w:ascii="Arial" w:hAnsi="Arial" w:cs="Arial"/>
          <w:sz w:val="22"/>
          <w:szCs w:val="22"/>
        </w:rPr>
        <w:t>.</w:t>
      </w:r>
    </w:p>
    <w:p w14:paraId="68F14CA8" w14:textId="77777777" w:rsidR="00252859" w:rsidRPr="00F64D3B" w:rsidRDefault="00252859" w:rsidP="00973130">
      <w:pPr>
        <w:spacing w:line="360" w:lineRule="auto"/>
        <w:jc w:val="both"/>
        <w:rPr>
          <w:rFonts w:ascii="Arial" w:hAnsi="Arial" w:cs="Arial"/>
          <w:sz w:val="22"/>
          <w:szCs w:val="22"/>
        </w:rPr>
      </w:pPr>
    </w:p>
    <w:p w14:paraId="149ED107" w14:textId="7E9DC822" w:rsidR="000F5867" w:rsidRPr="00F64D3B" w:rsidRDefault="000F5867" w:rsidP="00973130">
      <w:pPr>
        <w:spacing w:line="360" w:lineRule="auto"/>
        <w:jc w:val="both"/>
        <w:rPr>
          <w:rFonts w:ascii="Arial" w:hAnsi="Arial" w:cs="Arial"/>
          <w:sz w:val="22"/>
          <w:szCs w:val="22"/>
        </w:rPr>
      </w:pPr>
      <w:r w:rsidRPr="00F64D3B">
        <w:rPr>
          <w:rFonts w:ascii="Arial" w:hAnsi="Arial" w:cs="Arial"/>
          <w:sz w:val="22"/>
          <w:szCs w:val="22"/>
          <w:u w:val="single"/>
        </w:rPr>
        <w:t>VOC Sampling</w:t>
      </w:r>
      <w:r w:rsidR="00BB707C" w:rsidRPr="00F64D3B">
        <w:rPr>
          <w:rFonts w:ascii="Arial" w:hAnsi="Arial" w:cs="Arial"/>
          <w:sz w:val="22"/>
          <w:szCs w:val="22"/>
          <w:u w:val="single"/>
        </w:rPr>
        <w:t xml:space="preserve"> &amp; Laboratory Analysis</w:t>
      </w:r>
    </w:p>
    <w:p w14:paraId="2CBBF9C6" w14:textId="65EB4E0F" w:rsidR="004605C1" w:rsidRPr="00F64D3B" w:rsidRDefault="004605C1" w:rsidP="00973130">
      <w:pPr>
        <w:spacing w:line="360" w:lineRule="auto"/>
        <w:jc w:val="both"/>
        <w:rPr>
          <w:rFonts w:ascii="Arial" w:hAnsi="Arial" w:cs="Arial"/>
          <w:sz w:val="22"/>
          <w:szCs w:val="22"/>
        </w:rPr>
      </w:pPr>
      <w:r w:rsidRPr="00F64D3B">
        <w:rPr>
          <w:rFonts w:ascii="Arial" w:hAnsi="Arial" w:cs="Arial"/>
          <w:sz w:val="22"/>
          <w:szCs w:val="22"/>
        </w:rPr>
        <w:t xml:space="preserve">Our field team mounted </w:t>
      </w:r>
      <w:proofErr w:type="spellStart"/>
      <w:r w:rsidR="00A65016" w:rsidRPr="00F64D3B">
        <w:rPr>
          <w:rFonts w:ascii="Arial" w:hAnsi="Arial" w:cs="Arial"/>
          <w:sz w:val="22"/>
          <w:szCs w:val="22"/>
        </w:rPr>
        <w:t>Markes</w:t>
      </w:r>
      <w:proofErr w:type="spellEnd"/>
      <w:r w:rsidR="00A65016" w:rsidRPr="00F64D3B">
        <w:rPr>
          <w:rFonts w:ascii="Arial" w:hAnsi="Arial" w:cs="Arial"/>
          <w:sz w:val="22"/>
          <w:szCs w:val="22"/>
        </w:rPr>
        <w:t xml:space="preserve"> passive thermal desorption tubes (TDTs</w:t>
      </w:r>
      <w:r w:rsidRPr="00F64D3B">
        <w:rPr>
          <w:rFonts w:ascii="Arial" w:hAnsi="Arial" w:cs="Arial"/>
          <w:sz w:val="22"/>
          <w:szCs w:val="22"/>
        </w:rPr>
        <w:t>)</w:t>
      </w:r>
      <w:r w:rsidR="00A65016" w:rsidRPr="00F64D3B">
        <w:rPr>
          <w:rFonts w:ascii="Arial" w:hAnsi="Arial" w:cs="Arial"/>
          <w:sz w:val="22"/>
          <w:szCs w:val="22"/>
        </w:rPr>
        <w:t xml:space="preserve"> 8-10 feet off the ground on telephone poles in stainless steel shelters</w:t>
      </w:r>
      <w:r w:rsidR="00320C57" w:rsidRPr="00F64D3B">
        <w:rPr>
          <w:rFonts w:ascii="Arial" w:hAnsi="Arial" w:cs="Arial"/>
          <w:sz w:val="22"/>
          <w:szCs w:val="22"/>
        </w:rPr>
        <w:t xml:space="preserve">. </w:t>
      </w:r>
      <w:r w:rsidRPr="00F64D3B">
        <w:rPr>
          <w:rFonts w:ascii="Arial" w:hAnsi="Arial" w:cs="Arial"/>
          <w:sz w:val="22"/>
          <w:szCs w:val="22"/>
        </w:rPr>
        <w:t>TDTs were</w:t>
      </w:r>
      <w:r w:rsidR="00320C57" w:rsidRPr="00F64D3B">
        <w:rPr>
          <w:rFonts w:ascii="Arial" w:hAnsi="Arial" w:cs="Arial"/>
          <w:sz w:val="22"/>
          <w:szCs w:val="22"/>
        </w:rPr>
        <w:t xml:space="preserve"> capped and replaced once per week</w:t>
      </w:r>
      <w:r w:rsidRPr="00F64D3B">
        <w:rPr>
          <w:rFonts w:ascii="Arial" w:hAnsi="Arial" w:cs="Arial"/>
          <w:sz w:val="22"/>
          <w:szCs w:val="22"/>
        </w:rPr>
        <w:t xml:space="preserve"> and refrigerated until they were </w:t>
      </w:r>
      <w:r w:rsidR="004338C6" w:rsidRPr="00F64D3B">
        <w:rPr>
          <w:rFonts w:ascii="Arial" w:hAnsi="Arial" w:cs="Arial"/>
          <w:sz w:val="22"/>
          <w:szCs w:val="22"/>
        </w:rPr>
        <w:t xml:space="preserve">sent </w:t>
      </w:r>
      <w:r w:rsidRPr="00F64D3B">
        <w:rPr>
          <w:rFonts w:ascii="Arial" w:hAnsi="Arial" w:cs="Arial"/>
          <w:sz w:val="22"/>
          <w:szCs w:val="22"/>
        </w:rPr>
        <w:t>for laboratory analysis (biweekly). We collected one lab blank for each two-week session</w:t>
      </w:r>
      <w:r w:rsidR="000F2F30" w:rsidRPr="00F64D3B">
        <w:rPr>
          <w:rFonts w:ascii="Arial" w:hAnsi="Arial" w:cs="Arial"/>
          <w:sz w:val="22"/>
          <w:szCs w:val="22"/>
        </w:rPr>
        <w:t xml:space="preserve"> and </w:t>
      </w:r>
      <w:r w:rsidRPr="00F64D3B">
        <w:rPr>
          <w:rFonts w:ascii="Arial" w:hAnsi="Arial" w:cs="Arial"/>
          <w:sz w:val="22"/>
          <w:szCs w:val="22"/>
        </w:rPr>
        <w:t>one field blank per week</w:t>
      </w:r>
      <w:r w:rsidR="00215771">
        <w:rPr>
          <w:rFonts w:ascii="Arial" w:hAnsi="Arial" w:cs="Arial"/>
          <w:sz w:val="22"/>
          <w:szCs w:val="22"/>
        </w:rPr>
        <w:t xml:space="preserve"> and</w:t>
      </w:r>
      <w:r w:rsidR="000F2F30" w:rsidRPr="00F64D3B">
        <w:rPr>
          <w:rFonts w:ascii="Arial" w:hAnsi="Arial" w:cs="Arial"/>
          <w:sz w:val="22"/>
          <w:szCs w:val="22"/>
        </w:rPr>
        <w:t xml:space="preserve"> mounted co-located TDTs at one site per week to test </w:t>
      </w:r>
      <w:r w:rsidR="00AA4F00" w:rsidRPr="00F64D3B">
        <w:rPr>
          <w:rFonts w:ascii="Arial" w:hAnsi="Arial" w:cs="Arial"/>
          <w:sz w:val="22"/>
          <w:szCs w:val="22"/>
        </w:rPr>
        <w:t>reliability</w:t>
      </w:r>
      <w:r w:rsidR="00215771">
        <w:rPr>
          <w:rFonts w:ascii="Arial" w:hAnsi="Arial" w:cs="Arial"/>
          <w:sz w:val="22"/>
          <w:szCs w:val="22"/>
        </w:rPr>
        <w:t>.</w:t>
      </w:r>
    </w:p>
    <w:p w14:paraId="10584DE0" w14:textId="77777777" w:rsidR="00E615D9" w:rsidRPr="00F64D3B" w:rsidRDefault="00E615D9" w:rsidP="00973130">
      <w:pPr>
        <w:spacing w:line="360" w:lineRule="auto"/>
        <w:jc w:val="both"/>
        <w:rPr>
          <w:rFonts w:ascii="Arial" w:hAnsi="Arial" w:cs="Arial"/>
          <w:sz w:val="22"/>
          <w:szCs w:val="22"/>
        </w:rPr>
      </w:pPr>
    </w:p>
    <w:p w14:paraId="6E110B94" w14:textId="491812EE" w:rsidR="00654E06" w:rsidRPr="0036365A" w:rsidRDefault="00E615D9" w:rsidP="00973130">
      <w:pPr>
        <w:spacing w:line="360" w:lineRule="auto"/>
        <w:jc w:val="both"/>
        <w:rPr>
          <w:rFonts w:ascii="Arial" w:hAnsi="Arial" w:cs="Arial"/>
          <w:sz w:val="22"/>
          <w:szCs w:val="22"/>
        </w:rPr>
      </w:pPr>
      <w:commentRangeStart w:id="6"/>
      <w:commentRangeStart w:id="7"/>
      <w:r w:rsidRPr="00F64D3B">
        <w:rPr>
          <w:rFonts w:ascii="Arial" w:hAnsi="Arial" w:cs="Arial"/>
          <w:sz w:val="22"/>
          <w:szCs w:val="22"/>
        </w:rPr>
        <w:t xml:space="preserve">We used thermal </w:t>
      </w:r>
      <w:r w:rsidR="002579A6" w:rsidRPr="00F64D3B">
        <w:rPr>
          <w:rFonts w:ascii="Arial" w:hAnsi="Arial" w:cs="Arial"/>
          <w:sz w:val="22"/>
          <w:szCs w:val="22"/>
        </w:rPr>
        <w:t>desorption</w:t>
      </w:r>
      <w:r w:rsidRPr="00F64D3B">
        <w:rPr>
          <w:rFonts w:ascii="Arial" w:hAnsi="Arial" w:cs="Arial"/>
          <w:sz w:val="22"/>
          <w:szCs w:val="22"/>
        </w:rPr>
        <w:t xml:space="preserve"> gas chromatography with paired mass spectrometry (TD-GC-MS) to </w:t>
      </w:r>
      <w:r w:rsidR="002650A6" w:rsidRPr="00F64D3B">
        <w:rPr>
          <w:rFonts w:ascii="Arial" w:hAnsi="Arial" w:cs="Arial"/>
          <w:sz w:val="22"/>
          <w:szCs w:val="22"/>
        </w:rPr>
        <w:t xml:space="preserve">analyze TDT samples. </w:t>
      </w:r>
      <w:commentRangeEnd w:id="6"/>
      <w:r w:rsidR="009936ED">
        <w:rPr>
          <w:rStyle w:val="CommentReference"/>
        </w:rPr>
        <w:commentReference w:id="6"/>
      </w:r>
      <w:commentRangeEnd w:id="7"/>
      <w:r w:rsidR="009936ED">
        <w:rPr>
          <w:rStyle w:val="CommentReference"/>
        </w:rPr>
        <w:commentReference w:id="7"/>
      </w:r>
      <w:r w:rsidR="001B3E67" w:rsidRPr="00F64D3B">
        <w:rPr>
          <w:rFonts w:ascii="Arial" w:hAnsi="Arial" w:cs="Arial"/>
          <w:sz w:val="22"/>
          <w:szCs w:val="22"/>
        </w:rPr>
        <w:t>Quality control was ensured using method blanks and a 5-point calibration for all VOC compounds, including routine standard checks using gas and liquid standards. Complete laboratory methods are published elsewhere</w:t>
      </w:r>
      <w:r w:rsidR="0028530F" w:rsidRPr="00F64D3B">
        <w:rPr>
          <w:rFonts w:ascii="Arial" w:hAnsi="Arial" w:cs="Arial"/>
          <w:sz w:val="22"/>
          <w:szCs w:val="22"/>
        </w:rPr>
        <w:t>.</w:t>
      </w:r>
      <w:r w:rsidR="0028530F" w:rsidRPr="00F64D3B">
        <w:rPr>
          <w:rFonts w:ascii="Arial" w:hAnsi="Arial" w:cs="Arial"/>
          <w:sz w:val="22"/>
          <w:szCs w:val="22"/>
        </w:rPr>
        <w:fldChar w:fldCharType="begin"/>
      </w:r>
      <w:r w:rsidR="00D85090">
        <w:rPr>
          <w:rFonts w:ascii="Arial" w:hAnsi="Arial" w:cs="Arial"/>
          <w:sz w:val="22"/>
          <w:szCs w:val="22"/>
        </w:rPr>
        <w:instrText xml:space="preserve"> ADDIN ZOTERO_ITEM CSL_CITATION {"citationID":"2of3pK7n","properties":{"formattedCitation":"\\super 23,24\\nosupersub{}","plainCitation":"23,24","noteIndex":0},"citationItems":[{"id":10764,"uris":["http://zotero.org/groups/4923232/items/SUWFGPSH"],"itemData":{"id":10764,"type":"article-journal","container-title":"Chemosphere","DOI":"10.1016/j.chemosphere.2021.131808","ISSN":"00456535","journalAbbreviation":"Chemosphere","language":"en","page":"131808","source":"DOI.org (Crossref)","title":"Diffusive uptake rates for passive air sampling: Application to volatile organic compound exposure during FIREX-AQ campaign","title-short":"Diffusive uptake rates for passive air sampling","volume":"287","author":[{"family":"Miller","given":"Dylan D."},{"family":"Bajracharya","given":"Aakriti"},{"family":"Dickinson","given":"Gabrielle N."},{"family":"Durbin","given":"Timbre A."},{"family":"McGarry","given":"John K.P."},{"family":"Moser","given":"Elijah P."},{"family":"Nuñez","given":"Laurel A."},{"family":"Pukkila","given":"Elias J."},{"family":"Scott","given":"Phillip S."},{"family":"Sutton","given":"Parke J."},{"family":"Johnston","given":"Nancy A.C."}],"issued":{"date-parts":[["2022",1]]}}},{"id":16464,"uris":["http://zotero.org/users/2067478/items/8BTK99WV"],"itemData":{"id":16464,"type":"article-journal","abstract":"Fire Influence on Regional to Global Environments and Air Quality was a NOAA/NASA collaborative campaign conducted during the summer of 2019. The objectives included identifying and quantifying wildfire composition, smoke evolution, and climate and health impacts of wildfires and agricultural fires in the United States. Ground based mobile sampling via sorbent tubes occurred at the Nethker and Williams Flats fires (2019) and Chief Timothy and Whitetail Loop fires (2020) in Idaho and Washington. Air samples were analyzed through thermal desorption-gas chromatography-mass spectrometry for a variety of volatile organic compounds to elucidate both composition and health impacts. Benzene, toluene, ethylbenzene, xylenes, butenes, phenol, isoprene and pinenes were observed in the wildfire smoke, with benzene ranging from 0.04 to 25 ppbv. Health risk was assessed for each fire by determining sub-chronic (wildfire event) and projected chronic inhalation risk exposure from benzene, a carcinogen, as well as other non-carcinogenic compounds including toluene, ethylbenzene, xylenes, and hexane. The cancer risk of benzene from sub-chronic exposure was 1 extra cancer per million people and ranged from 1 to 19 extra cancers per million people for the projected chronic scenarios, compared to a background level of 1 extra cancer per million people. The hazard index of non-carcinogenic compounds was less than one for all scenarios and wildfires sampled, which was considered low risk for non-cancer health events.","container-title":"GeoHealth","DOI":"10.1029/2021GH000546","ISSN":"2471-1403","issue":"8","language":"en","license":"© 2022 The Authors. GeoHealth published by Wiley Periodicals LLC on behalf of American Geophysical Union.","note":"_eprint: https://agupubs.onlinelibrary.wiley.com/doi/pdf/10.1029/2021GH000546\nPMID: 36017488\nPMCID: PMC9393878","page":"e2021GH000546","source":"Wiley Online Library","title":"Health Risk Implications of Volatile Organic Compounds in Wildfire Smoke During the 2019 FIREX-AQ Campaign and Beyond","volume":"6","author":[{"family":"Dickinson","given":"Gabrielle N."},{"family":"Miller","given":"Dylan D."},{"family":"Bajracharya","given":"Aakriti"},{"family":"Bruchard","given":"William"},{"family":"Durbin","given":"Timbre A."},{"family":"McGarry","given":"John K. P."},{"family":"Moser","given":"Elijah P."},{"family":"Nuñez","given":"Laurel A."},{"family":"Pukkila","given":"Elias J."},{"family":"Scott","given":"Phillip S."},{"family":"Sutton","given":"Parke J."},{"family":"Johnston","given":"Nancy A. C."}],"issued":{"date-parts":[["2022"]]}}}],"schema":"https://github.com/citation-style-language/schema/raw/master/csl-citation.json"} </w:instrText>
      </w:r>
      <w:r w:rsidR="0028530F" w:rsidRPr="00F64D3B">
        <w:rPr>
          <w:rFonts w:ascii="Arial" w:hAnsi="Arial" w:cs="Arial"/>
          <w:sz w:val="22"/>
          <w:szCs w:val="22"/>
        </w:rPr>
        <w:fldChar w:fldCharType="separate"/>
      </w:r>
      <w:r w:rsidR="00D85090" w:rsidRPr="00D85090">
        <w:rPr>
          <w:rFonts w:ascii="Arial" w:hAnsi="Arial" w:cs="Arial"/>
          <w:kern w:val="0"/>
          <w:sz w:val="22"/>
          <w:vertAlign w:val="superscript"/>
        </w:rPr>
        <w:t>23,24</w:t>
      </w:r>
      <w:r w:rsidR="0028530F" w:rsidRPr="00F64D3B">
        <w:rPr>
          <w:rFonts w:ascii="Arial" w:hAnsi="Arial" w:cs="Arial"/>
          <w:sz w:val="22"/>
          <w:szCs w:val="22"/>
        </w:rPr>
        <w:fldChar w:fldCharType="end"/>
      </w:r>
      <w:r w:rsidR="0028530F" w:rsidRPr="00F64D3B">
        <w:rPr>
          <w:rFonts w:ascii="Arial" w:hAnsi="Arial" w:cs="Arial"/>
          <w:sz w:val="22"/>
          <w:szCs w:val="22"/>
        </w:rPr>
        <w:t xml:space="preserve"> </w:t>
      </w:r>
      <w:r w:rsidR="008D6DB0" w:rsidRPr="00F64D3B">
        <w:rPr>
          <w:rFonts w:ascii="Arial" w:hAnsi="Arial" w:cs="Arial"/>
          <w:sz w:val="22"/>
          <w:szCs w:val="22"/>
        </w:rPr>
        <w:t>For each VOC the limit of detection (LOD) was calculated using 3x the standard deviation of the pea</w:t>
      </w:r>
      <w:r w:rsidR="008F387B">
        <w:rPr>
          <w:rFonts w:ascii="Arial" w:hAnsi="Arial" w:cs="Arial"/>
          <w:sz w:val="22"/>
          <w:szCs w:val="22"/>
        </w:rPr>
        <w:t xml:space="preserve">k intensity </w:t>
      </w:r>
      <w:r w:rsidR="005E1948" w:rsidRPr="00F64D3B">
        <w:rPr>
          <w:rFonts w:ascii="Arial" w:hAnsi="Arial" w:cs="Arial"/>
          <w:sz w:val="22"/>
          <w:szCs w:val="22"/>
        </w:rPr>
        <w:t xml:space="preserve">of </w:t>
      </w:r>
      <w:r w:rsidR="00AD7943">
        <w:rPr>
          <w:rFonts w:ascii="Arial" w:hAnsi="Arial" w:cs="Arial"/>
          <w:sz w:val="22"/>
          <w:szCs w:val="22"/>
        </w:rPr>
        <w:t xml:space="preserve">lab </w:t>
      </w:r>
      <w:r w:rsidR="005E1948" w:rsidRPr="00F64D3B">
        <w:rPr>
          <w:rFonts w:ascii="Arial" w:hAnsi="Arial" w:cs="Arial"/>
          <w:sz w:val="22"/>
          <w:szCs w:val="22"/>
        </w:rPr>
        <w:t xml:space="preserve">blanks </w:t>
      </w:r>
      <w:r w:rsidR="00C37777" w:rsidRPr="00F64D3B">
        <w:rPr>
          <w:rFonts w:ascii="Arial" w:hAnsi="Arial" w:cs="Arial"/>
          <w:sz w:val="22"/>
          <w:szCs w:val="22"/>
        </w:rPr>
        <w:t xml:space="preserve">and the upper limit of detection (ULOD) </w:t>
      </w:r>
      <w:r w:rsidR="00C37777" w:rsidRPr="00F64D3B">
        <w:rPr>
          <w:rFonts w:ascii="Arial" w:hAnsi="Arial" w:cs="Arial"/>
          <w:sz w:val="22"/>
          <w:szCs w:val="22"/>
          <w:highlight w:val="yellow"/>
        </w:rPr>
        <w:t>was calculated as….??</w:t>
      </w:r>
      <w:r w:rsidR="005E1948" w:rsidRPr="00F64D3B">
        <w:rPr>
          <w:rFonts w:ascii="Arial" w:hAnsi="Arial" w:cs="Arial"/>
          <w:sz w:val="22"/>
          <w:szCs w:val="22"/>
          <w:highlight w:val="yellow"/>
        </w:rPr>
        <w:t>.</w:t>
      </w:r>
      <w:r w:rsidR="005E1948" w:rsidRPr="00F64D3B">
        <w:rPr>
          <w:rFonts w:ascii="Arial" w:hAnsi="Arial" w:cs="Arial"/>
          <w:sz w:val="22"/>
          <w:szCs w:val="22"/>
        </w:rPr>
        <w:t xml:space="preserve"> GC-MS peaks </w:t>
      </w:r>
      <w:r w:rsidR="00C37777" w:rsidRPr="00F64D3B">
        <w:rPr>
          <w:rFonts w:ascii="Arial" w:hAnsi="Arial" w:cs="Arial"/>
          <w:sz w:val="22"/>
          <w:szCs w:val="22"/>
        </w:rPr>
        <w:t xml:space="preserve">below the LOD value but above zero were recorded as observations but flagged as LOD; a lack of peak was flagged as non-detect (ND) and the value was replaced with LOD/2; </w:t>
      </w:r>
      <w:r w:rsidR="005C78B1" w:rsidRPr="00F64D3B">
        <w:rPr>
          <w:rFonts w:ascii="Arial" w:hAnsi="Arial" w:cs="Arial"/>
          <w:sz w:val="22"/>
          <w:szCs w:val="22"/>
        </w:rPr>
        <w:t xml:space="preserve">values at or above the ULOD were </w:t>
      </w:r>
      <w:r w:rsidR="009936ED">
        <w:rPr>
          <w:rFonts w:ascii="Arial" w:hAnsi="Arial" w:cs="Arial"/>
          <w:sz w:val="22"/>
          <w:szCs w:val="22"/>
        </w:rPr>
        <w:t xml:space="preserve">recorded as observations but flagged as ULOD. </w:t>
      </w:r>
      <w:r w:rsidR="005C78B1" w:rsidRPr="00F64D3B">
        <w:rPr>
          <w:rFonts w:ascii="Arial" w:hAnsi="Arial" w:cs="Arial"/>
          <w:sz w:val="22"/>
          <w:szCs w:val="22"/>
        </w:rPr>
        <w:t xml:space="preserve"> </w:t>
      </w:r>
      <w:r w:rsidR="00CC48DD" w:rsidRPr="00F64D3B">
        <w:rPr>
          <w:rFonts w:ascii="Arial" w:hAnsi="Arial" w:cs="Arial"/>
          <w:sz w:val="22"/>
          <w:szCs w:val="22"/>
        </w:rPr>
        <w:t xml:space="preserve">Measurements were subsequently blank-corrected by subtracting the </w:t>
      </w:r>
      <w:r w:rsidR="00CC48DD" w:rsidRPr="009936ED">
        <w:rPr>
          <w:rFonts w:ascii="Arial" w:hAnsi="Arial" w:cs="Arial"/>
          <w:sz w:val="22"/>
          <w:szCs w:val="22"/>
          <w:highlight w:val="yellow"/>
        </w:rPr>
        <w:t>average of the field blank</w:t>
      </w:r>
      <w:r w:rsidR="00645F80">
        <w:rPr>
          <w:rFonts w:ascii="Arial" w:hAnsi="Arial" w:cs="Arial"/>
          <w:sz w:val="22"/>
          <w:szCs w:val="22"/>
        </w:rPr>
        <w:t>s</w:t>
      </w:r>
      <w:r w:rsidR="00CC48DD" w:rsidRPr="00F64D3B">
        <w:rPr>
          <w:rFonts w:ascii="Arial" w:hAnsi="Arial" w:cs="Arial"/>
          <w:sz w:val="22"/>
          <w:szCs w:val="22"/>
        </w:rPr>
        <w:t xml:space="preserve">. </w:t>
      </w:r>
      <w:r w:rsidR="00645F80">
        <w:rPr>
          <w:rFonts w:ascii="Arial" w:hAnsi="Arial" w:cs="Arial"/>
          <w:sz w:val="22"/>
          <w:szCs w:val="22"/>
        </w:rPr>
        <w:t xml:space="preserve">Peak intensities </w:t>
      </w:r>
      <w:r w:rsidR="00CC48DD" w:rsidRPr="00F64D3B">
        <w:rPr>
          <w:rFonts w:ascii="Arial" w:hAnsi="Arial" w:cs="Arial"/>
          <w:sz w:val="22"/>
          <w:szCs w:val="22"/>
        </w:rPr>
        <w:t xml:space="preserve">were converted to concentrations </w:t>
      </w:r>
      <w:r w:rsidR="00003E47" w:rsidRPr="00F64D3B">
        <w:rPr>
          <w:rFonts w:ascii="Arial" w:hAnsi="Arial" w:cs="Arial"/>
          <w:sz w:val="22"/>
          <w:szCs w:val="22"/>
        </w:rPr>
        <w:t xml:space="preserve">using the VOC-specific diffusion rate and the total time the tube was exposed to </w:t>
      </w:r>
      <w:r w:rsidR="00003E47" w:rsidRPr="00F64D3B">
        <w:rPr>
          <w:rFonts w:ascii="Arial" w:hAnsi="Arial" w:cs="Arial"/>
          <w:sz w:val="22"/>
          <w:szCs w:val="22"/>
        </w:rPr>
        <w:lastRenderedPageBreak/>
        <w:t>air.</w:t>
      </w:r>
      <w:r w:rsidR="00F248A3">
        <w:rPr>
          <w:rFonts w:ascii="Arial" w:hAnsi="Arial" w:cs="Arial"/>
          <w:sz w:val="22"/>
          <w:szCs w:val="22"/>
        </w:rPr>
        <w:t xml:space="preserve"> </w:t>
      </w:r>
      <w:r w:rsidR="0036365A">
        <w:rPr>
          <w:rFonts w:ascii="Arial" w:hAnsi="Arial" w:cs="Arial"/>
          <w:sz w:val="22"/>
          <w:szCs w:val="22"/>
        </w:rPr>
        <w:t xml:space="preserve">We excluded compounds with </w:t>
      </w:r>
      <w:r w:rsidR="0036365A">
        <w:rPr>
          <w:rFonts w:ascii="Arial" w:hAnsi="Arial" w:cs="Arial"/>
          <w:sz w:val="22"/>
          <w:szCs w:val="22"/>
          <w:u w:val="single"/>
        </w:rPr>
        <w:t>&lt;</w:t>
      </w:r>
      <w:r w:rsidR="0036365A">
        <w:rPr>
          <w:rFonts w:ascii="Arial" w:hAnsi="Arial" w:cs="Arial"/>
          <w:sz w:val="22"/>
          <w:szCs w:val="22"/>
        </w:rPr>
        <w:t xml:space="preserve"> 40% regular (LOD &lt; sample &lt; ULOD) samples and/or </w:t>
      </w:r>
      <w:r w:rsidR="0036365A">
        <w:rPr>
          <w:rFonts w:ascii="Arial" w:hAnsi="Arial" w:cs="Arial"/>
          <w:sz w:val="22"/>
          <w:szCs w:val="22"/>
          <w:u w:val="single"/>
        </w:rPr>
        <w:t>&gt;</w:t>
      </w:r>
      <w:r w:rsidR="0036365A">
        <w:rPr>
          <w:rFonts w:ascii="Arial" w:hAnsi="Arial" w:cs="Arial"/>
          <w:sz w:val="22"/>
          <w:szCs w:val="22"/>
        </w:rPr>
        <w:t xml:space="preserve"> </w:t>
      </w:r>
      <w:r w:rsidR="00E615B3">
        <w:rPr>
          <w:rFonts w:ascii="Arial" w:hAnsi="Arial" w:cs="Arial"/>
          <w:sz w:val="22"/>
          <w:szCs w:val="22"/>
        </w:rPr>
        <w:t>25% non-detects from further analysis.</w:t>
      </w:r>
    </w:p>
    <w:p w14:paraId="5F062AE0" w14:textId="77777777" w:rsidR="001B3E67" w:rsidRPr="00F64D3B" w:rsidRDefault="001B3E67" w:rsidP="00973130">
      <w:pPr>
        <w:spacing w:line="360" w:lineRule="auto"/>
        <w:jc w:val="both"/>
        <w:rPr>
          <w:rFonts w:ascii="Arial" w:hAnsi="Arial" w:cs="Arial"/>
          <w:sz w:val="22"/>
          <w:szCs w:val="22"/>
        </w:rPr>
      </w:pPr>
    </w:p>
    <w:p w14:paraId="5B8431EA" w14:textId="0F54890C" w:rsidR="000F5867" w:rsidRPr="00F64D3B" w:rsidRDefault="000F5867" w:rsidP="00973130">
      <w:pPr>
        <w:spacing w:line="360" w:lineRule="auto"/>
        <w:jc w:val="both"/>
        <w:rPr>
          <w:rFonts w:ascii="Arial" w:hAnsi="Arial" w:cs="Arial"/>
          <w:sz w:val="22"/>
          <w:szCs w:val="22"/>
        </w:rPr>
      </w:pPr>
      <w:r w:rsidRPr="00F64D3B">
        <w:rPr>
          <w:rFonts w:ascii="Arial" w:hAnsi="Arial" w:cs="Arial"/>
          <w:sz w:val="22"/>
          <w:szCs w:val="22"/>
          <w:u w:val="single"/>
        </w:rPr>
        <w:t>Statistical Analysis</w:t>
      </w:r>
    </w:p>
    <w:p w14:paraId="6FF02662" w14:textId="5A5CA47E" w:rsidR="00AB1758" w:rsidRPr="00F64D3B" w:rsidRDefault="00AB1758" w:rsidP="00973130">
      <w:pPr>
        <w:spacing w:line="360" w:lineRule="auto"/>
        <w:jc w:val="both"/>
        <w:rPr>
          <w:rFonts w:ascii="Arial" w:hAnsi="Arial" w:cs="Arial"/>
          <w:sz w:val="22"/>
          <w:szCs w:val="22"/>
        </w:rPr>
      </w:pPr>
      <w:r w:rsidRPr="00F64D3B">
        <w:rPr>
          <w:rFonts w:ascii="Arial" w:hAnsi="Arial" w:cs="Arial"/>
          <w:i/>
          <w:iCs/>
          <w:sz w:val="22"/>
          <w:szCs w:val="22"/>
        </w:rPr>
        <w:t>Summary Statistics</w:t>
      </w:r>
    </w:p>
    <w:p w14:paraId="54357480" w14:textId="366CC352" w:rsidR="009E2CEA" w:rsidRPr="00F64D3B" w:rsidRDefault="003E1D16" w:rsidP="00973130">
      <w:pPr>
        <w:spacing w:line="360" w:lineRule="auto"/>
        <w:jc w:val="both"/>
        <w:rPr>
          <w:rFonts w:ascii="Arial" w:hAnsi="Arial" w:cs="Arial"/>
          <w:sz w:val="22"/>
          <w:szCs w:val="22"/>
        </w:rPr>
      </w:pPr>
      <w:r w:rsidRPr="00F64D3B">
        <w:rPr>
          <w:rFonts w:ascii="Arial" w:hAnsi="Arial" w:cs="Arial"/>
          <w:sz w:val="22"/>
          <w:szCs w:val="22"/>
        </w:rPr>
        <w:t xml:space="preserve">For each VOC, we calculated the median and interquartile range (IQR) across all sites, within each site, and </w:t>
      </w:r>
      <w:r w:rsidR="00285EAD" w:rsidRPr="00F64D3B">
        <w:rPr>
          <w:rFonts w:ascii="Arial" w:hAnsi="Arial" w:cs="Arial"/>
          <w:sz w:val="22"/>
          <w:szCs w:val="22"/>
        </w:rPr>
        <w:t xml:space="preserve">for summer and winter sessions. </w:t>
      </w:r>
      <w:r w:rsidR="000F3604" w:rsidRPr="00F64D3B">
        <w:rPr>
          <w:rFonts w:ascii="Arial" w:hAnsi="Arial" w:cs="Arial"/>
          <w:sz w:val="22"/>
          <w:szCs w:val="22"/>
        </w:rPr>
        <w:t>We visualized VOC correlations using heatmaps of</w:t>
      </w:r>
      <w:r w:rsidR="00285EAD" w:rsidRPr="00F64D3B">
        <w:rPr>
          <w:rFonts w:ascii="Arial" w:hAnsi="Arial" w:cs="Arial"/>
          <w:sz w:val="22"/>
          <w:szCs w:val="22"/>
        </w:rPr>
        <w:t xml:space="preserve"> </w:t>
      </w:r>
      <w:r w:rsidR="000F3604" w:rsidRPr="00F64D3B">
        <w:rPr>
          <w:rFonts w:ascii="Arial" w:hAnsi="Arial" w:cs="Arial"/>
          <w:sz w:val="22"/>
          <w:szCs w:val="22"/>
        </w:rPr>
        <w:t xml:space="preserve">bivariate </w:t>
      </w:r>
      <w:r w:rsidR="00285EAD" w:rsidRPr="00F64D3B">
        <w:rPr>
          <w:rFonts w:ascii="Arial" w:hAnsi="Arial" w:cs="Arial"/>
          <w:sz w:val="22"/>
          <w:szCs w:val="22"/>
        </w:rPr>
        <w:t>Spearman rank correlation</w:t>
      </w:r>
      <w:r w:rsidR="000F3604" w:rsidRPr="00F64D3B">
        <w:rPr>
          <w:rFonts w:ascii="Arial" w:hAnsi="Arial" w:cs="Arial"/>
          <w:sz w:val="22"/>
          <w:szCs w:val="22"/>
        </w:rPr>
        <w:t>s.</w:t>
      </w:r>
    </w:p>
    <w:p w14:paraId="57709C94" w14:textId="77777777" w:rsidR="00635DD9" w:rsidRPr="00F64D3B" w:rsidRDefault="00635DD9" w:rsidP="00973130">
      <w:pPr>
        <w:spacing w:line="360" w:lineRule="auto"/>
        <w:jc w:val="both"/>
        <w:rPr>
          <w:rFonts w:ascii="Arial" w:hAnsi="Arial" w:cs="Arial"/>
          <w:sz w:val="22"/>
          <w:szCs w:val="22"/>
        </w:rPr>
      </w:pPr>
    </w:p>
    <w:p w14:paraId="58D72EF8" w14:textId="78D92489" w:rsidR="00635DD9" w:rsidRPr="003D0067" w:rsidRDefault="00635DD9" w:rsidP="00973130">
      <w:pPr>
        <w:spacing w:line="360" w:lineRule="auto"/>
        <w:jc w:val="both"/>
        <w:rPr>
          <w:rFonts w:ascii="Arial" w:hAnsi="Arial" w:cs="Arial"/>
          <w:sz w:val="22"/>
          <w:szCs w:val="22"/>
        </w:rPr>
      </w:pPr>
      <w:r w:rsidRPr="00F64D3B">
        <w:rPr>
          <w:rFonts w:ascii="Arial" w:hAnsi="Arial" w:cs="Arial"/>
          <w:sz w:val="22"/>
          <w:szCs w:val="22"/>
        </w:rPr>
        <w:t>Reliability was assessed by calculating the Intra-class correlation coefficient (ICC)</w:t>
      </w:r>
      <w:r w:rsidR="00C61EDE">
        <w:rPr>
          <w:rFonts w:ascii="Arial" w:hAnsi="Arial" w:cs="Arial"/>
          <w:sz w:val="22"/>
          <w:szCs w:val="22"/>
        </w:rPr>
        <w:t xml:space="preserve"> and mean relative percent difference for duplicate field samples.</w:t>
      </w:r>
      <w:r w:rsidR="00777BFD">
        <w:rPr>
          <w:rFonts w:ascii="Arial" w:hAnsi="Arial" w:cs="Arial"/>
          <w:sz w:val="22"/>
          <w:szCs w:val="22"/>
        </w:rPr>
        <w:fldChar w:fldCharType="begin"/>
      </w:r>
      <w:r w:rsidR="00D85090">
        <w:rPr>
          <w:rFonts w:ascii="Arial" w:hAnsi="Arial" w:cs="Arial"/>
          <w:sz w:val="22"/>
          <w:szCs w:val="22"/>
        </w:rPr>
        <w:instrText xml:space="preserve"> ADDIN ZOTERO_ITEM CSL_CITATION {"citationID":"XPt0hlAI","properties":{"formattedCitation":"\\super 25\\nosupersub{}","plainCitation":"25","noteIndex":0},"citationItems":[{"id":16844,"uris":["http://zotero.org/groups/4923232/items/S72X4YNJ"],"itemData":{"id":16844,"type":"article-journal","language":"en","source":"Zotero","title":"ASSESSMENT OF PRECISION OF A PASSIVE SAMPLER BY DUPLICATE MEASUREMENTS","author":[{"family":"Lee","given":"Kiyoung"},{"family":"Yanagisawa","given":"Yukio"},{"family":"Spengler","given":"John D"}]}}],"schema":"https://github.com/citation-style-language/schema/raw/master/csl-citation.json"} </w:instrText>
      </w:r>
      <w:r w:rsidR="00777BFD">
        <w:rPr>
          <w:rFonts w:ascii="Arial" w:hAnsi="Arial" w:cs="Arial"/>
          <w:sz w:val="22"/>
          <w:szCs w:val="22"/>
        </w:rPr>
        <w:fldChar w:fldCharType="separate"/>
      </w:r>
      <w:r w:rsidR="00D85090" w:rsidRPr="00D85090">
        <w:rPr>
          <w:rFonts w:ascii="Arial" w:hAnsi="Arial" w:cs="Arial"/>
          <w:kern w:val="0"/>
          <w:sz w:val="22"/>
          <w:vertAlign w:val="superscript"/>
        </w:rPr>
        <w:t>25</w:t>
      </w:r>
      <w:r w:rsidR="00777BFD">
        <w:rPr>
          <w:rFonts w:ascii="Arial" w:hAnsi="Arial" w:cs="Arial"/>
          <w:sz w:val="22"/>
          <w:szCs w:val="22"/>
        </w:rPr>
        <w:fldChar w:fldCharType="end"/>
      </w:r>
      <w:r w:rsidR="00571BD7" w:rsidRPr="00F64D3B">
        <w:rPr>
          <w:rFonts w:ascii="Arial" w:hAnsi="Arial" w:cs="Arial"/>
          <w:sz w:val="22"/>
          <w:szCs w:val="22"/>
        </w:rPr>
        <w:t xml:space="preserve"> </w:t>
      </w:r>
      <w:r w:rsidR="00DF1750">
        <w:rPr>
          <w:rFonts w:ascii="Arial" w:hAnsi="Arial" w:cs="Arial"/>
          <w:sz w:val="22"/>
          <w:szCs w:val="22"/>
        </w:rPr>
        <w:t xml:space="preserve">We </w:t>
      </w:r>
      <w:r w:rsidR="0083575E">
        <w:rPr>
          <w:rFonts w:ascii="Arial" w:hAnsi="Arial" w:cs="Arial"/>
          <w:sz w:val="22"/>
          <w:szCs w:val="22"/>
        </w:rPr>
        <w:t xml:space="preserve">excluded compounds with a </w:t>
      </w:r>
      <w:r w:rsidR="003D0067">
        <w:rPr>
          <w:rFonts w:ascii="Arial" w:hAnsi="Arial" w:cs="Arial"/>
          <w:sz w:val="22"/>
          <w:szCs w:val="22"/>
        </w:rPr>
        <w:t xml:space="preserve">mean RPD </w:t>
      </w:r>
      <w:r w:rsidR="003D0067" w:rsidRPr="002160B6">
        <w:rPr>
          <w:rFonts w:ascii="Arial" w:hAnsi="Arial" w:cs="Arial"/>
          <w:sz w:val="22"/>
          <w:szCs w:val="22"/>
          <w:u w:val="single"/>
        </w:rPr>
        <w:t>&gt;</w:t>
      </w:r>
      <w:r w:rsidR="003D0067">
        <w:rPr>
          <w:rFonts w:ascii="Arial" w:hAnsi="Arial" w:cs="Arial"/>
          <w:sz w:val="22"/>
          <w:szCs w:val="22"/>
        </w:rPr>
        <w:t xml:space="preserve"> </w:t>
      </w:r>
      <w:r w:rsidR="00451456">
        <w:rPr>
          <w:rFonts w:ascii="Arial" w:hAnsi="Arial" w:cs="Arial"/>
          <w:sz w:val="22"/>
          <w:szCs w:val="22"/>
        </w:rPr>
        <w:t>50</w:t>
      </w:r>
      <w:r w:rsidR="003D0067">
        <w:rPr>
          <w:rFonts w:ascii="Arial" w:hAnsi="Arial" w:cs="Arial"/>
          <w:sz w:val="22"/>
          <w:szCs w:val="22"/>
        </w:rPr>
        <w:t xml:space="preserve">% and/or ICC </w:t>
      </w:r>
      <w:r w:rsidR="003D0067" w:rsidRPr="002160B6">
        <w:rPr>
          <w:rFonts w:ascii="Arial" w:hAnsi="Arial" w:cs="Arial"/>
          <w:sz w:val="22"/>
          <w:szCs w:val="22"/>
          <w:u w:val="single"/>
        </w:rPr>
        <w:t>&lt;</w:t>
      </w:r>
      <w:r w:rsidR="003D0067">
        <w:rPr>
          <w:rFonts w:ascii="Arial" w:hAnsi="Arial" w:cs="Arial"/>
          <w:sz w:val="22"/>
          <w:szCs w:val="22"/>
        </w:rPr>
        <w:t xml:space="preserve"> </w:t>
      </w:r>
      <w:r w:rsidR="0077076D">
        <w:rPr>
          <w:rFonts w:ascii="Arial" w:hAnsi="Arial" w:cs="Arial"/>
          <w:sz w:val="22"/>
          <w:szCs w:val="22"/>
        </w:rPr>
        <w:t>0.</w:t>
      </w:r>
      <w:r w:rsidR="00B022FF">
        <w:rPr>
          <w:rFonts w:ascii="Arial" w:hAnsi="Arial" w:cs="Arial"/>
          <w:sz w:val="22"/>
          <w:szCs w:val="22"/>
        </w:rPr>
        <w:t>7</w:t>
      </w:r>
      <w:r w:rsidR="00D23CCE">
        <w:rPr>
          <w:rFonts w:ascii="Arial" w:hAnsi="Arial" w:cs="Arial"/>
          <w:sz w:val="22"/>
          <w:szCs w:val="22"/>
        </w:rPr>
        <w:t>5</w:t>
      </w:r>
      <w:r w:rsidR="003D0067">
        <w:rPr>
          <w:rFonts w:ascii="Arial" w:hAnsi="Arial" w:cs="Arial"/>
          <w:sz w:val="22"/>
          <w:szCs w:val="22"/>
        </w:rPr>
        <w:t xml:space="preserve"> </w:t>
      </w:r>
      <w:r w:rsidR="0083575E">
        <w:rPr>
          <w:rFonts w:ascii="Arial" w:hAnsi="Arial" w:cs="Arial"/>
          <w:sz w:val="22"/>
          <w:szCs w:val="22"/>
        </w:rPr>
        <w:t>from further source identification analyses.</w:t>
      </w:r>
    </w:p>
    <w:p w14:paraId="0D36AC8B" w14:textId="77777777" w:rsidR="00E87EEC" w:rsidRPr="00F64D3B" w:rsidRDefault="00E87EEC" w:rsidP="00973130">
      <w:pPr>
        <w:spacing w:line="360" w:lineRule="auto"/>
        <w:jc w:val="both"/>
        <w:rPr>
          <w:rFonts w:ascii="Arial" w:hAnsi="Arial" w:cs="Arial"/>
          <w:i/>
          <w:iCs/>
          <w:sz w:val="22"/>
          <w:szCs w:val="22"/>
        </w:rPr>
      </w:pPr>
    </w:p>
    <w:p w14:paraId="7FFA48A5" w14:textId="357A6FE0" w:rsidR="00E87EEC" w:rsidRPr="00F64D3B" w:rsidRDefault="00622D07" w:rsidP="00973130">
      <w:pPr>
        <w:spacing w:line="360" w:lineRule="auto"/>
        <w:jc w:val="both"/>
        <w:rPr>
          <w:rFonts w:ascii="Arial" w:hAnsi="Arial" w:cs="Arial"/>
          <w:sz w:val="22"/>
          <w:szCs w:val="22"/>
        </w:rPr>
      </w:pPr>
      <w:r>
        <w:rPr>
          <w:rFonts w:ascii="Arial" w:hAnsi="Arial" w:cs="Arial"/>
          <w:i/>
          <w:iCs/>
          <w:sz w:val="22"/>
          <w:szCs w:val="22"/>
        </w:rPr>
        <w:t xml:space="preserve">Source Identification: </w:t>
      </w:r>
      <w:r w:rsidR="00E87EEC" w:rsidRPr="00F64D3B">
        <w:rPr>
          <w:rFonts w:ascii="Arial" w:hAnsi="Arial" w:cs="Arial"/>
          <w:i/>
          <w:iCs/>
          <w:sz w:val="22"/>
          <w:szCs w:val="22"/>
        </w:rPr>
        <w:t>BTEX Ratios</w:t>
      </w:r>
    </w:p>
    <w:p w14:paraId="24AC3B39" w14:textId="491D0545" w:rsidR="00E87EEC" w:rsidRPr="00F64D3B" w:rsidRDefault="00F94396" w:rsidP="00973130">
      <w:pPr>
        <w:spacing w:line="360" w:lineRule="auto"/>
        <w:jc w:val="both"/>
        <w:rPr>
          <w:rFonts w:ascii="Arial" w:hAnsi="Arial" w:cs="Arial"/>
          <w:sz w:val="22"/>
          <w:szCs w:val="22"/>
        </w:rPr>
      </w:pPr>
      <w:r w:rsidRPr="00F64D3B">
        <w:rPr>
          <w:rFonts w:ascii="Arial" w:hAnsi="Arial" w:cs="Arial"/>
          <w:sz w:val="22"/>
          <w:szCs w:val="22"/>
        </w:rPr>
        <w:t>The ratio</w:t>
      </w:r>
      <w:r w:rsidR="00294967" w:rsidRPr="00F64D3B">
        <w:rPr>
          <w:rFonts w:ascii="Arial" w:hAnsi="Arial" w:cs="Arial"/>
          <w:sz w:val="22"/>
          <w:szCs w:val="22"/>
        </w:rPr>
        <w:t>s</w:t>
      </w:r>
      <w:r w:rsidRPr="00F64D3B">
        <w:rPr>
          <w:rFonts w:ascii="Arial" w:hAnsi="Arial" w:cs="Arial"/>
          <w:sz w:val="22"/>
          <w:szCs w:val="22"/>
        </w:rPr>
        <w:t xml:space="preserve"> between benzene, toluene, ethylbenzene, and xylenes (BTEX)</w:t>
      </w:r>
      <w:r w:rsidR="009906D4" w:rsidRPr="00F64D3B">
        <w:rPr>
          <w:rFonts w:ascii="Arial" w:hAnsi="Arial" w:cs="Arial"/>
          <w:sz w:val="22"/>
          <w:szCs w:val="22"/>
        </w:rPr>
        <w:t xml:space="preserve"> </w:t>
      </w:r>
      <w:r w:rsidR="00294967" w:rsidRPr="00F64D3B">
        <w:rPr>
          <w:rFonts w:ascii="Arial" w:hAnsi="Arial" w:cs="Arial"/>
          <w:sz w:val="22"/>
          <w:szCs w:val="22"/>
        </w:rPr>
        <w:t>concentrations have been commonly used to characterize emissions sources</w:t>
      </w:r>
      <w:r w:rsidR="00E33320" w:rsidRPr="00F64D3B">
        <w:rPr>
          <w:rFonts w:ascii="Arial" w:hAnsi="Arial" w:cs="Arial"/>
          <w:sz w:val="22"/>
          <w:szCs w:val="22"/>
        </w:rPr>
        <w:t xml:space="preserve"> and/or estimate photochemical age of BTEX compounds</w:t>
      </w:r>
      <w:r w:rsidR="00294967" w:rsidRPr="00F64D3B">
        <w:rPr>
          <w:rFonts w:ascii="Arial" w:hAnsi="Arial" w:cs="Arial"/>
          <w:sz w:val="22"/>
          <w:szCs w:val="22"/>
        </w:rPr>
        <w:t xml:space="preserve"> in urban settings</w:t>
      </w:r>
      <w:r w:rsidR="00603567" w:rsidRPr="00F64D3B">
        <w:rPr>
          <w:rFonts w:ascii="Arial" w:hAnsi="Arial" w:cs="Arial"/>
          <w:sz w:val="22"/>
          <w:szCs w:val="22"/>
        </w:rPr>
        <w:t>.</w:t>
      </w:r>
      <w:r w:rsidR="00603567" w:rsidRPr="00F64D3B">
        <w:rPr>
          <w:rFonts w:ascii="Arial" w:hAnsi="Arial" w:cs="Arial"/>
          <w:sz w:val="22"/>
          <w:szCs w:val="22"/>
        </w:rPr>
        <w:fldChar w:fldCharType="begin"/>
      </w:r>
      <w:r w:rsidR="00D85090">
        <w:rPr>
          <w:rFonts w:ascii="Arial" w:hAnsi="Arial" w:cs="Arial"/>
          <w:sz w:val="22"/>
          <w:szCs w:val="22"/>
        </w:rPr>
        <w:instrText xml:space="preserve"> ADDIN ZOTERO_ITEM CSL_CITATION {"citationID":"6fPrQNEm","properties":{"formattedCitation":"\\super 26\\uc0\\u8211{}31\\nosupersub{}","plainCitation":"26–31","noteIndex":0},"citationItems":[{"id":16446,"uris":["http://zotero.org/groups/4923232/items/I5W79VL5"],"itemData":{"id":16446,"type":"article-journal","abstract":"Measurement of the relative concentrations of the aromatic isomers m, p-xylenes and ethylbenzene is proposed as the basis of a technique for estimating hydrocarbon age in ambient atmospheres. These compounds are shown to be present in constant proportion in the major anthropogenic sources of hydrocarbon emission in Sydney and this is probably also the case in at least some other urbanized regions. Differences in photochemical reactivity cause the isomers to disappear from the atmosphere at notably different rates, a fact which is confirmed by experiments with large outdoor smog chambers. Application of the technique is illustrated by field measurements designed to clarify the importance of recirculation of previous day's emissions on the formation of photochemical smog in the Sydney area.","container-title":"Atmospheric Environment (1967)","DOI":"10.1016/0004-6981(83)90141-5","ISSN":"0004-6981","issue":"3","journalAbbreviation":"Atmospheric Environment (1967)","page":"659-662","source":"ScienceDirect","title":"The m,p-xylenes:ethylbenzene ratio. A technique for estimating hydrocarbon age in ambient atmospheres","title-short":"The m&lt;math&gt;&lt;mtext&gt;m&lt;/mtext&gt;&lt;/math&gt;,p-xylenes","volume":"17","author":[{"family":"Nelson","given":"P. F."},{"family":"Quigley","given":"S. M."}],"issued":{"date-parts":[["1983",1,1]]}}},{"id":16454,"uris":["http://zotero.org/groups/4923232/items/IYAKJ36S"],"itemData":{"id":16454,"type":"article-journal","abstract":"Benzene, toluene, ethylbenzene, p-xylene, O3, NOx, CO, PM2.5 and meteorological parameters were measured in urban air of two sites in Merida, Yucatan, Mexico during 2016–2017. Samples were collected using 1.5 h time intervals at three different sampling periods before being analyzed by gas chromatography with flame ionization detection. The highest concentrations of BTEX occurred during midday and afternoon in spring and summer seasons. Mean concentrations of, BTEX for the Cholul and SEDUMA sites, respectively, were 40.91 μg/m3 and 32.86 μg/m3 for benzene; 6.87 μg/m3 and 3.29 μg/m3 for toluene; 13.87 μg/m3 and 8.29 μg/m3 for p-xylene; and 6.23 μg/m3 and 4.48 μg/m3 for ethylbenzene. The toluene/benzene and xylene/ethylbenzene concentration ratios indicated that BTEX levels at both sites were influenced by local and fresh emissions (vehicular traffic). Bivariate and multivariate analyses were performed in order to correlate BTEX concentrations with criteria air pollutants to infer their possible sources. Health risk assessment revealed that exposure to benzene exceeded the recommended value for the integrated lifetime cancer risk. These results suggest that Merida’s population is exposed to cancer risk, and changes in the existing environmental policies should therefore be applied to improve air quality.","container-title":"Atmosphere","DOI":"10.3390/atmos8060107","ISSN":"2073-4433","issue":"6","language":"en","license":"http://creativecommons.org/licenses/by/3.0/","note":"publisher: Multidisciplinary Digital Publishing Institute","page":"107","source":"www.mdpi.com","title":"Characterization and Sources of Aromatic Hydrocarbons (BTEX) in the Atmosphere of Two Urban Sites Located in Yucatan Peninsula in Mexico","volume":"8","author":[{"family":"Bretón","given":"Julia Griselda Cerón"},{"family":"Bretón","given":"Rosa María Cerón"},{"family":"Ucan","given":"Francisco Vivas"},{"family":"Baeza","given":"Cynthia Barceló"},{"family":"Fuentes","given":"María de la Luz Espinosa"},{"family":"Lara","given":"Evangelina Ramírez"},{"family":"Marrón","given":"Marcela Rangel"},{"family":"Pacheco","given":"Jorge Alfredo Montero"},{"family":"Guzmán","given":"Abril Rodríguez"},{"family":"Chi","given":"Martha Patricia Uc"}],"issued":{"date-parts":[["2017",6]]}}},{"id":16450,"uris":["http://zotero.org/groups/4923232/items/SVYF4XGU"],"itemData":{"id":16450,"type":"article-journal","abstract":"The study presents the levels of air pollution by aromatic organic compounds BTEX (benzene, toluene, ethylbenzene, o-, m-, and p-xylenes) in the city of Algiers. The sampling was carried out using Radiello passive sampler. Three sampling campaigns were carried out in roadside, tunnel, urban background, and semirural sites in Algiers. In order to determine the diurnal mean levels of air pollution by BTEX to which people are exposed, a modified passive sampler was used for the first time. In addition, monitoring of pollution inside vehicles was also made. In the spring of 2009, more than 27 samplings were carried out. In the background and road traffic sites the Radiello sampler was exposed for 7 days, whereas the time exposure was reduced to 1 day in the case of the vehicle as well as the tunnel. The results indicate that average benzene concentrations in the roadside and inside vehicle exceed largely the limit value of 5 μg m−3 established by the European Community (EC). On the other hand, it has been noticed that the concentration levels of other BTEX are relatively high. Also, in order to identify the origin of emission sources, ratios and correlations between the BTEX species have been highlighted. This study shows that road traffic remains the main source of many local emission in Algiers. The vehicle fleet in Algeria is growing rapidly since the 1990s following economic growth and is responsible for the increasing air pollution in large cities. Because there are no data collection of BTEX carried out by national air quality network, all environmental and transportation policies are based on European emissions standards, but national emission standards are currently not in place. This work will contribute to the analysis of real emissions of BTEX in Algiers, for the development of management and for assessment of population exposure variation depending on the location in the city of Algiers.","container-title":"Journal of the Air &amp; Waste Management Association","DOI":"10.1080/10962247.2012.712606","ISSN":"1096-2247","issue":"12","note":"publisher: Taylor &amp; Francis\n_eprint: https://doi.org/10.1080/10962247.2012.712606\nPMID: 28097964","page":"1370-1379","source":"Taylor and Francis+NEJM","title":"Measurement of BTEX (benzene, toluene, ethybenzene, and xylene) levels at urban and semirural areas of Algiers City using passive air samplers","volume":"62","author":[{"family":"Kerchich","given":"Yacine"},{"family":"Kerbachi","given":"Rabah"}],"issued":{"date-parts":[["2012",12,1]]}}},{"id":15546,"uris":["http://zotero.org/groups/4923232/items/ZN3C63NB"],"itemData":{"id":15546,"type":"article-journal","abstract":"The characteristics and concentrations of volatile organic compounds (VOCs) in the roadside microenvironments of metropolitan Hong Kong were investigated. The VOC concentrations, especially toluene, benzene and chlorinated VOCs in Hong Kong were high when compared with those in most developed cities. The average and maximum concentration of toluene was 74.9 and 320.0 mg mÀ3, respectively. The respective values for benzene were 25.9 and 128.6 mg mÀ3. The chlorinated VOCs were dominated by trichloroethylene and tetrachloroethylene. The maximum concentrations of these two species reached 248.2 and 144.0 mg mÀ3, respectively. There were strong variations in the spatial ﬂuctuation and characteristic of VOC concentrations. The highest VOC concentrations were found in the industrial district, which were followed by those in the commercial district, the central business district and ﬁnally the residential district. The highest concentrations of most VOC species, especially chlorinated VOC were found in the industrial and commercial districts. The average benzene/toluene ratio in Hong Kong was 0.5 suggesting that vehicular emission was the dominant VOC source in most areas of Hong Kong. There were strong deviations in benzene/toluene, benzene/ethylbenzene and benzene/(m+p-xylene) ratios in the commercial district, and highly chlorinated VOC in the industrial and commercial districts. These suggest that there were other benzene and VOC sources overlying on the high background VOC concentrations in these districts. The common usage of organic solvents in the building and construction industries, and in the small industries in the industrial and commercial districts were believed to be important sources of VOC in Hong Kong. r 2002 Elsevier Science Ltd. All rights reserved.","container-title":"Atmospheric Environment","DOI":"10.1016/S1352-2310(02)00097-3","ISSN":"13522310","issue":"12","journalAbbreviation":"Atmospheric Environment","language":"en","license":"https://www.elsevier.com/tdm/userlicense/1.0/","page":"2039-2047","source":"DOI.org (Crossref)","title":"Volatile organic compounds in roadside microenvironments of metropolitan Hong Kong","volume":"36","author":[{"family":"Chan","given":"C.Y"},{"family":"Chan","given":"L.Y"},{"family":"Wang","given":"X.M"},{"family":"Liu","given":"Y.M"},{"family":"Lee","given":"S.C"},{"family":"Zou","given":"S.C"},{"family":"Sheng","given":"G.Y"},{"family":"Fu","given":"J.M"}],"issued":{"date-parts":[["2002",4]]}}},{"id":16468,"uris":["http://zotero.org/groups/4923232/items/T2CBINWF"],"itemData":{"id":16468,"type":"article-journal","abstract":"Spatial monitoring campaigns of volatile organic compounds were carried out in two similarly sized urban industrial cities, Windsor and Sarnia, ON, Canada. For Windsor, data were obtained for all four seasons at approximately 50 sites in each season (winter, spring, summer, and fall) over a three-year period (2004, 2005, and 2006) for a total of 12 sampling sessions. Sampling in Sarnia took place at 37 monitoring sites in fall 2005. In both cities, passive sampling was done using 3M 3500 organic vapor samplers. This paper characterizes benzene, toluene, ethylbenzene, o, and (m + p)-xylene (BTEX) concentrations and relationships among BTEX species in the two cities during the fall sampling periods. BTEX concentration levels and rank order among the species were similar between the two cities. In Sarnia, the relationships between the BTEX species varied depending on location. Correlation analysis between land use and concentration ratios showed a strong influence from local industries. Use one of the ratios between the BTEX species to diagnose photochemical age may be biased due to point source emissions, for example, 53 tonnes of benzene and 86 tonnes of toluene in Sarnia. However, considering multiple ratios leads to better conclusions regarding photochemical aging. Ratios obtained in the sampling campaigns showed significant deviation from those obtained at central monitoring stations, with less difference in the (m + p)/E ratio but better overall agreement in Windsor than in Sarnia.","container-title":"The Scientific World Journal","DOI":"10.1100/2011/167973","ISSN":"2356-6140","journalAbbreviation":"ScientificWorldJournal","note":"PMID: 22235184\nPMCID: PMC3253549","page":"2536-2549","source":"PubMed Central","title":"Spatial Variability and Application of Ratios between BTEX in Two Canadian Cities","volume":"11","author":[{"family":"Miller","given":"Lindsay"},{"family":"Xu","given":"Xiaohong"},{"family":"Wheeler","given":"Amanda"},{"family":"Atari","given":"Dominic Odwa"},{"family":"Grgicak-Mannion","given":"Alice"},{"family":"Luginaah","given":"Isaac"}],"issued":{"date-parts":[["2011",12,29]]}}},{"id":16868,"uris":["http://zotero.org/groups/4923232/items/LENDBWHI"],"itemData":{"id":16868,"type":"article-journal","abstract":"Management of ambient concentrations of Volatile Organic Compounds (VOCs) is essential for maintaining low ozone levels in urban areas where its formation is under a VOC-limited regime. The significant decrease in traffic-induced VOC emissions in many developed countries resulted in relatively comparable shares of traffic and non-traffic VOC emissions in urban airsheds. A key step for urban air quality management is allocating ambient VOC concentrations to their pertinent sources. This study presents an approach that can aid in identifying sources that contribute to observed BTEX concentrations in areas characterized by low BTEX concentrations, where traditional source apportionment techniques are not useful. Analysis of seasonal and diurnal variations of ambient BTEX concentrations from two monitoring stations located in distinct areas reveal the possibility to identify source categories. Specifically, the varying oxidation rates of airborne BTEX compounds are used to allocate contributions of traffic emissions and evaporative sources to observed BTEX concentrations.","container-title":"Environmental Pollution","DOI":"10.1016/j.envpol.2008.01.016","ISSN":"0269-7491","issue":"2","journalAbbreviation":"Environmental Pollution","page":"553-562","source":"ScienceDirect","title":"Revealing source signatures in ambient BTEX concentrations","volume":"156","author":[{"family":"Zalel","given":"Amir"},{"literal":"Yuval"},{"family":"Broday","given":"David M."}],"issued":{"date-parts":[["2008",11,1]]}}}],"schema":"https://github.com/citation-style-language/schema/raw/master/csl-citation.json"} </w:instrText>
      </w:r>
      <w:r w:rsidR="00603567" w:rsidRPr="00F64D3B">
        <w:rPr>
          <w:rFonts w:ascii="Arial" w:hAnsi="Arial" w:cs="Arial"/>
          <w:sz w:val="22"/>
          <w:szCs w:val="22"/>
        </w:rPr>
        <w:fldChar w:fldCharType="separate"/>
      </w:r>
      <w:r w:rsidR="00D85090" w:rsidRPr="00D85090">
        <w:rPr>
          <w:rFonts w:ascii="Arial" w:hAnsi="Arial" w:cs="Arial"/>
          <w:kern w:val="0"/>
          <w:sz w:val="22"/>
          <w:vertAlign w:val="superscript"/>
        </w:rPr>
        <w:t>26–31</w:t>
      </w:r>
      <w:r w:rsidR="00603567" w:rsidRPr="00F64D3B">
        <w:rPr>
          <w:rFonts w:ascii="Arial" w:hAnsi="Arial" w:cs="Arial"/>
          <w:sz w:val="22"/>
          <w:szCs w:val="22"/>
        </w:rPr>
        <w:fldChar w:fldCharType="end"/>
      </w:r>
      <w:r w:rsidR="008B101A" w:rsidRPr="00F64D3B">
        <w:rPr>
          <w:rFonts w:ascii="Arial" w:hAnsi="Arial" w:cs="Arial"/>
          <w:sz w:val="22"/>
          <w:szCs w:val="22"/>
        </w:rPr>
        <w:t xml:space="preserve"> Briefly, BTEX ratios can be used to estimate photochemical age of a BTEX compound</w:t>
      </w:r>
      <w:r w:rsidR="00752ABD" w:rsidRPr="00F64D3B">
        <w:rPr>
          <w:rFonts w:ascii="Arial" w:hAnsi="Arial" w:cs="Arial"/>
          <w:sz w:val="22"/>
          <w:szCs w:val="22"/>
        </w:rPr>
        <w:t>, as each species has different reactivity with hydroxyl (OH) radicals</w:t>
      </w:r>
      <w:r w:rsidR="008F39EA" w:rsidRPr="00F64D3B">
        <w:rPr>
          <w:rFonts w:ascii="Arial" w:hAnsi="Arial" w:cs="Arial"/>
          <w:sz w:val="22"/>
          <w:szCs w:val="22"/>
        </w:rPr>
        <w:t xml:space="preserve"> (</w:t>
      </w:r>
      <w:r w:rsidR="00AE1F14" w:rsidRPr="00F64D3B">
        <w:rPr>
          <w:rFonts w:ascii="Arial" w:hAnsi="Arial" w:cs="Arial"/>
          <w:sz w:val="22"/>
          <w:szCs w:val="22"/>
        </w:rPr>
        <w:t xml:space="preserve">rate </w:t>
      </w:r>
      <w:r w:rsidR="00E20A77" w:rsidRPr="00F64D3B">
        <w:rPr>
          <w:rFonts w:ascii="Arial" w:hAnsi="Arial" w:cs="Arial"/>
          <w:sz w:val="22"/>
          <w:szCs w:val="22"/>
        </w:rPr>
        <w:t>constants</w:t>
      </w:r>
      <w:r w:rsidR="008B101A" w:rsidRPr="00F64D3B">
        <w:rPr>
          <w:rFonts w:ascii="Arial" w:hAnsi="Arial" w:cs="Arial"/>
          <w:sz w:val="22"/>
          <w:szCs w:val="22"/>
        </w:rPr>
        <w:t>:</w:t>
      </w:r>
      <w:r w:rsidR="007D2873" w:rsidRPr="00F64D3B">
        <w:rPr>
          <w:rFonts w:ascii="Arial" w:hAnsi="Arial" w:cs="Arial"/>
          <w:sz w:val="22"/>
          <w:szCs w:val="22"/>
        </w:rPr>
        <w:t xml:space="preserve"> benzene &lt; toluene</w:t>
      </w:r>
      <w:r w:rsidR="00AE1F14" w:rsidRPr="00F64D3B">
        <w:rPr>
          <w:rFonts w:ascii="Arial" w:hAnsi="Arial" w:cs="Arial"/>
          <w:sz w:val="22"/>
          <w:szCs w:val="22"/>
        </w:rPr>
        <w:t xml:space="preserve"> &lt; ethylbenzene &lt; </w:t>
      </w:r>
      <w:r w:rsidR="00AE1F14" w:rsidRPr="00F64D3B">
        <w:rPr>
          <w:rFonts w:ascii="Arial" w:hAnsi="Arial" w:cs="Arial"/>
          <w:i/>
          <w:iCs/>
          <w:sz w:val="22"/>
          <w:szCs w:val="22"/>
        </w:rPr>
        <w:t>o</w:t>
      </w:r>
      <w:r w:rsidR="00AE1F14" w:rsidRPr="00F64D3B">
        <w:rPr>
          <w:rFonts w:ascii="Arial" w:hAnsi="Arial" w:cs="Arial"/>
          <w:sz w:val="22"/>
          <w:szCs w:val="22"/>
        </w:rPr>
        <w:t>-xylene</w:t>
      </w:r>
      <w:r w:rsidR="00752ABD" w:rsidRPr="00F64D3B">
        <w:rPr>
          <w:rFonts w:ascii="Arial" w:hAnsi="Arial" w:cs="Arial"/>
          <w:sz w:val="22"/>
          <w:szCs w:val="22"/>
        </w:rPr>
        <w:t xml:space="preserve"> </w:t>
      </w:r>
      <w:r w:rsidR="00AE1F14" w:rsidRPr="00F64D3B">
        <w:rPr>
          <w:rFonts w:ascii="Arial" w:hAnsi="Arial" w:cs="Arial"/>
          <w:sz w:val="22"/>
          <w:szCs w:val="22"/>
        </w:rPr>
        <w:t xml:space="preserve">&lt; </w:t>
      </w:r>
      <w:r w:rsidR="00AE1F14" w:rsidRPr="00F64D3B">
        <w:rPr>
          <w:rFonts w:ascii="Arial" w:hAnsi="Arial" w:cs="Arial"/>
          <w:i/>
          <w:iCs/>
          <w:sz w:val="22"/>
          <w:szCs w:val="22"/>
        </w:rPr>
        <w:t>p</w:t>
      </w:r>
      <w:r w:rsidR="00AE1F14" w:rsidRPr="00F64D3B">
        <w:rPr>
          <w:rFonts w:ascii="Arial" w:hAnsi="Arial" w:cs="Arial"/>
          <w:sz w:val="22"/>
          <w:szCs w:val="22"/>
        </w:rPr>
        <w:t xml:space="preserve">-xylene &lt; </w:t>
      </w:r>
      <w:r w:rsidR="00752ABD" w:rsidRPr="00F64D3B">
        <w:rPr>
          <w:rFonts w:ascii="Arial" w:hAnsi="Arial" w:cs="Arial"/>
          <w:i/>
          <w:iCs/>
          <w:sz w:val="22"/>
          <w:szCs w:val="22"/>
        </w:rPr>
        <w:t>m</w:t>
      </w:r>
      <w:r w:rsidR="00752ABD" w:rsidRPr="00F64D3B">
        <w:rPr>
          <w:rFonts w:ascii="Arial" w:hAnsi="Arial" w:cs="Arial"/>
          <w:sz w:val="22"/>
          <w:szCs w:val="22"/>
        </w:rPr>
        <w:t>-xylene</w:t>
      </w:r>
      <w:r w:rsidR="008B101A" w:rsidRPr="00F64D3B">
        <w:rPr>
          <w:rFonts w:ascii="Arial" w:hAnsi="Arial" w:cs="Arial"/>
          <w:sz w:val="22"/>
          <w:szCs w:val="22"/>
        </w:rPr>
        <w:t>)</w:t>
      </w:r>
      <w:r w:rsidR="008F39EA" w:rsidRPr="00F64D3B">
        <w:rPr>
          <w:rFonts w:ascii="Arial" w:hAnsi="Arial" w:cs="Arial"/>
          <w:sz w:val="22"/>
          <w:szCs w:val="22"/>
        </w:rPr>
        <w:t>.</w:t>
      </w:r>
      <w:r w:rsidR="00B548C3" w:rsidRPr="00F64D3B">
        <w:rPr>
          <w:rFonts w:ascii="Arial" w:hAnsi="Arial" w:cs="Arial"/>
          <w:sz w:val="22"/>
          <w:szCs w:val="22"/>
        </w:rPr>
        <w:fldChar w:fldCharType="begin"/>
      </w:r>
      <w:r w:rsidR="00D85090">
        <w:rPr>
          <w:rFonts w:ascii="Arial" w:hAnsi="Arial" w:cs="Arial"/>
          <w:sz w:val="22"/>
          <w:szCs w:val="22"/>
        </w:rPr>
        <w:instrText xml:space="preserve"> ADDIN ZOTERO_ITEM CSL_CITATION {"citationID":"VOK0H29t","properties":{"formattedCitation":"\\super 32\\nosupersub{}","plainCitation":"32","noteIndex":0},"citationItems":[{"id":16486,"uris":["http://zotero.org/groups/4923232/items/VSUZS2WZ"],"itemData":{"id":16486,"type":"book","collection-number":"2","collection-title":"Journal of Physical and Chemical Reference Data Monographs","note":"DOI: 10.1063/1.555960","publisher":"American Chemical Society and American Institute of Physics for the National Institute of Standards and Technology","title":"Gas phase tropospheric chemistry of organic compounds","author":[{"family":"Atkinson","given":"R"}],"issued":{"date-parts":[["1994"]]}}}],"schema":"https://github.com/citation-style-language/schema/raw/master/csl-citation.json"} </w:instrText>
      </w:r>
      <w:r w:rsidR="00B548C3" w:rsidRPr="00F64D3B">
        <w:rPr>
          <w:rFonts w:ascii="Arial" w:hAnsi="Arial" w:cs="Arial"/>
          <w:sz w:val="22"/>
          <w:szCs w:val="22"/>
        </w:rPr>
        <w:fldChar w:fldCharType="separate"/>
      </w:r>
      <w:r w:rsidR="00D85090" w:rsidRPr="00D85090">
        <w:rPr>
          <w:rFonts w:ascii="Arial" w:hAnsi="Arial" w:cs="Arial"/>
          <w:kern w:val="0"/>
          <w:sz w:val="22"/>
          <w:vertAlign w:val="superscript"/>
        </w:rPr>
        <w:t>32</w:t>
      </w:r>
      <w:r w:rsidR="00B548C3" w:rsidRPr="00F64D3B">
        <w:rPr>
          <w:rFonts w:ascii="Arial" w:hAnsi="Arial" w:cs="Arial"/>
          <w:sz w:val="22"/>
          <w:szCs w:val="22"/>
        </w:rPr>
        <w:fldChar w:fldCharType="end"/>
      </w:r>
      <w:r w:rsidR="008F39EA" w:rsidRPr="00F64D3B">
        <w:rPr>
          <w:rFonts w:ascii="Arial" w:hAnsi="Arial" w:cs="Arial"/>
          <w:sz w:val="22"/>
          <w:szCs w:val="22"/>
        </w:rPr>
        <w:t xml:space="preserve"> BTEX ratios </w:t>
      </w:r>
      <w:r w:rsidR="008B101A" w:rsidRPr="00F64D3B">
        <w:rPr>
          <w:rFonts w:ascii="Arial" w:hAnsi="Arial" w:cs="Arial"/>
          <w:sz w:val="22"/>
          <w:szCs w:val="22"/>
        </w:rPr>
        <w:t xml:space="preserve">can also be used to </w:t>
      </w:r>
      <w:r w:rsidR="008F39EA" w:rsidRPr="00F64D3B">
        <w:rPr>
          <w:rFonts w:ascii="Arial" w:hAnsi="Arial" w:cs="Arial"/>
          <w:sz w:val="22"/>
          <w:szCs w:val="22"/>
        </w:rPr>
        <w:t>differentiate</w:t>
      </w:r>
      <w:r w:rsidR="008B101A" w:rsidRPr="00F64D3B">
        <w:rPr>
          <w:rFonts w:ascii="Arial" w:hAnsi="Arial" w:cs="Arial"/>
          <w:sz w:val="22"/>
          <w:szCs w:val="22"/>
        </w:rPr>
        <w:t xml:space="preserve"> </w:t>
      </w:r>
      <w:r w:rsidR="008F39EA" w:rsidRPr="00F64D3B">
        <w:rPr>
          <w:rFonts w:ascii="Arial" w:hAnsi="Arial" w:cs="Arial"/>
          <w:sz w:val="22"/>
          <w:szCs w:val="22"/>
        </w:rPr>
        <w:t>source</w:t>
      </w:r>
      <w:r w:rsidR="00FD51C9" w:rsidRPr="00F64D3B">
        <w:rPr>
          <w:rFonts w:ascii="Arial" w:hAnsi="Arial" w:cs="Arial"/>
          <w:sz w:val="22"/>
          <w:szCs w:val="22"/>
        </w:rPr>
        <w:t>s</w:t>
      </w:r>
      <w:r w:rsidR="008F39EA" w:rsidRPr="00F64D3B">
        <w:rPr>
          <w:rFonts w:ascii="Arial" w:hAnsi="Arial" w:cs="Arial"/>
          <w:sz w:val="22"/>
          <w:szCs w:val="22"/>
        </w:rPr>
        <w:t>.</w:t>
      </w:r>
      <w:r w:rsidR="008B101A" w:rsidRPr="00F64D3B">
        <w:rPr>
          <w:rFonts w:ascii="Arial" w:hAnsi="Arial" w:cs="Arial"/>
          <w:sz w:val="22"/>
          <w:szCs w:val="22"/>
        </w:rPr>
        <w:t xml:space="preserve"> </w:t>
      </w:r>
      <w:r w:rsidR="00A1633A" w:rsidRPr="00F64D3B">
        <w:rPr>
          <w:rFonts w:ascii="Arial" w:hAnsi="Arial" w:cs="Arial"/>
          <w:sz w:val="22"/>
          <w:szCs w:val="22"/>
        </w:rPr>
        <w:t xml:space="preserve">Here, we calculate the </w:t>
      </w:r>
      <w:proofErr w:type="spellStart"/>
      <w:r w:rsidR="00A1633A" w:rsidRPr="00F64D3B">
        <w:rPr>
          <w:rFonts w:ascii="Arial" w:hAnsi="Arial" w:cs="Arial"/>
          <w:sz w:val="22"/>
          <w:szCs w:val="22"/>
        </w:rPr>
        <w:t>toluene:benzene</w:t>
      </w:r>
      <w:proofErr w:type="spellEnd"/>
      <w:r w:rsidR="00F700E3" w:rsidRPr="00F64D3B">
        <w:rPr>
          <w:rFonts w:ascii="Arial" w:hAnsi="Arial" w:cs="Arial"/>
          <w:sz w:val="22"/>
          <w:szCs w:val="22"/>
        </w:rPr>
        <w:t xml:space="preserve"> (T/B)</w:t>
      </w:r>
      <w:r w:rsidR="00A1633A" w:rsidRPr="00F64D3B">
        <w:rPr>
          <w:rFonts w:ascii="Arial" w:hAnsi="Arial" w:cs="Arial"/>
          <w:sz w:val="22"/>
          <w:szCs w:val="22"/>
        </w:rPr>
        <w:t xml:space="preserve"> ratio </w:t>
      </w:r>
      <w:r w:rsidR="005A3747" w:rsidRPr="00F64D3B">
        <w:rPr>
          <w:rFonts w:ascii="Arial" w:hAnsi="Arial" w:cs="Arial"/>
          <w:sz w:val="22"/>
          <w:szCs w:val="22"/>
        </w:rPr>
        <w:t xml:space="preserve">as a proxy for traffic vs. non-traffic emissions, </w:t>
      </w:r>
      <w:r w:rsidR="00F700E3" w:rsidRPr="00F64D3B">
        <w:rPr>
          <w:rFonts w:ascii="Arial" w:hAnsi="Arial" w:cs="Arial"/>
          <w:sz w:val="22"/>
          <w:szCs w:val="22"/>
        </w:rPr>
        <w:t>where high T</w:t>
      </w:r>
      <w:r w:rsidR="00A03DCD">
        <w:rPr>
          <w:rFonts w:ascii="Arial" w:hAnsi="Arial" w:cs="Arial"/>
          <w:sz w:val="22"/>
          <w:szCs w:val="22"/>
        </w:rPr>
        <w:t>/</w:t>
      </w:r>
      <w:r w:rsidR="00F700E3" w:rsidRPr="00F64D3B">
        <w:rPr>
          <w:rFonts w:ascii="Arial" w:hAnsi="Arial" w:cs="Arial"/>
          <w:sz w:val="22"/>
          <w:szCs w:val="22"/>
        </w:rPr>
        <w:t>B ratios</w:t>
      </w:r>
      <w:r w:rsidR="005A3747" w:rsidRPr="00F64D3B">
        <w:rPr>
          <w:rFonts w:ascii="Arial" w:hAnsi="Arial" w:cs="Arial"/>
          <w:sz w:val="22"/>
          <w:szCs w:val="22"/>
        </w:rPr>
        <w:t xml:space="preserve"> suggest non-traffic emissions</w:t>
      </w:r>
      <w:r w:rsidR="00737FCA" w:rsidRPr="00F64D3B">
        <w:rPr>
          <w:rFonts w:ascii="Arial" w:hAnsi="Arial" w:cs="Arial"/>
          <w:sz w:val="22"/>
          <w:szCs w:val="22"/>
        </w:rPr>
        <w:t>.</w:t>
      </w:r>
      <w:r w:rsidR="00737FCA" w:rsidRPr="00F64D3B">
        <w:rPr>
          <w:rFonts w:ascii="Arial" w:hAnsi="Arial" w:cs="Arial"/>
          <w:sz w:val="22"/>
          <w:szCs w:val="22"/>
        </w:rPr>
        <w:fldChar w:fldCharType="begin"/>
      </w:r>
      <w:r w:rsidR="00D85090">
        <w:rPr>
          <w:rFonts w:ascii="Arial" w:hAnsi="Arial" w:cs="Arial"/>
          <w:sz w:val="22"/>
          <w:szCs w:val="22"/>
        </w:rPr>
        <w:instrText xml:space="preserve"> ADDIN ZOTERO_ITEM CSL_CITATION {"citationID":"1NQKTXWx","properties":{"formattedCitation":"\\super 30\\nosupersub{}","plainCitation":"30","noteIndex":0},"citationItems":[{"id":16468,"uris":["http://zotero.org/groups/4923232/items/T2CBINWF"],"itemData":{"id":16468,"type":"article-journal","abstract":"Spatial monitoring campaigns of volatile organic compounds were carried out in two similarly sized urban industrial cities, Windsor and Sarnia, ON, Canada. For Windsor, data were obtained for all four seasons at approximately 50 sites in each season (winter, spring, summer, and fall) over a three-year period (2004, 2005, and 2006) for a total of 12 sampling sessions. Sampling in Sarnia took place at 37 monitoring sites in fall 2005. In both cities, passive sampling was done using 3M 3500 organic vapor samplers. This paper characterizes benzene, toluene, ethylbenzene, o, and (m + p)-xylene (BTEX) concentrations and relationships among BTEX species in the two cities during the fall sampling periods. BTEX concentration levels and rank order among the species were similar between the two cities. In Sarnia, the relationships between the BTEX species varied depending on location. Correlation analysis between land use and concentration ratios showed a strong influence from local industries. Use one of the ratios between the BTEX species to diagnose photochemical age may be biased due to point source emissions, for example, 53 tonnes of benzene and 86 tonnes of toluene in Sarnia. However, considering multiple ratios leads to better conclusions regarding photochemical aging. Ratios obtained in the sampling campaigns showed significant deviation from those obtained at central monitoring stations, with less difference in the (m + p)/E ratio but better overall agreement in Windsor than in Sarnia.","container-title":"The Scientific World Journal","DOI":"10.1100/2011/167973","ISSN":"2356-6140","journalAbbreviation":"ScientificWorldJournal","note":"PMID: 22235184\nPMCID: PMC3253549","page":"2536-2549","source":"PubMed Central","title":"Spatial Variability and Application of Ratios between BTEX in Two Canadian Cities","volume":"11","author":[{"family":"Miller","given":"Lindsay"},{"family":"Xu","given":"Xiaohong"},{"family":"Wheeler","given":"Amanda"},{"family":"Atari","given":"Dominic Odwa"},{"family":"Grgicak-Mannion","given":"Alice"},{"family":"Luginaah","given":"Isaac"}],"issued":{"date-parts":[["2011",12,29]]}}}],"schema":"https://github.com/citation-style-language/schema/raw/master/csl-citation.json"} </w:instrText>
      </w:r>
      <w:r w:rsidR="00737FCA" w:rsidRPr="00F64D3B">
        <w:rPr>
          <w:rFonts w:ascii="Arial" w:hAnsi="Arial" w:cs="Arial"/>
          <w:sz w:val="22"/>
          <w:szCs w:val="22"/>
        </w:rPr>
        <w:fldChar w:fldCharType="separate"/>
      </w:r>
      <w:r w:rsidR="00D85090" w:rsidRPr="00D85090">
        <w:rPr>
          <w:rFonts w:ascii="Arial" w:hAnsi="Arial" w:cs="Arial"/>
          <w:kern w:val="0"/>
          <w:sz w:val="22"/>
          <w:vertAlign w:val="superscript"/>
        </w:rPr>
        <w:t>30</w:t>
      </w:r>
      <w:r w:rsidR="00737FCA" w:rsidRPr="00F64D3B">
        <w:rPr>
          <w:rFonts w:ascii="Arial" w:hAnsi="Arial" w:cs="Arial"/>
          <w:sz w:val="22"/>
          <w:szCs w:val="22"/>
        </w:rPr>
        <w:fldChar w:fldCharType="end"/>
      </w:r>
      <w:r w:rsidR="00B24634" w:rsidRPr="00F64D3B">
        <w:rPr>
          <w:rFonts w:ascii="Arial" w:hAnsi="Arial" w:cs="Arial"/>
          <w:sz w:val="22"/>
          <w:szCs w:val="22"/>
        </w:rPr>
        <w:t xml:space="preserve"> </w:t>
      </w:r>
      <w:r w:rsidR="00FD51C9" w:rsidRPr="00F64D3B">
        <w:rPr>
          <w:rFonts w:ascii="Arial" w:hAnsi="Arial" w:cs="Arial"/>
          <w:sz w:val="22"/>
          <w:szCs w:val="22"/>
        </w:rPr>
        <w:t xml:space="preserve">We additionally report the ratio of </w:t>
      </w:r>
      <w:r w:rsidR="00F700E3" w:rsidRPr="00F64D3B">
        <w:rPr>
          <w:rFonts w:ascii="Arial" w:hAnsi="Arial" w:cs="Arial"/>
          <w:i/>
          <w:iCs/>
          <w:sz w:val="22"/>
          <w:szCs w:val="22"/>
        </w:rPr>
        <w:t>(</w:t>
      </w:r>
      <w:proofErr w:type="spellStart"/>
      <w:r w:rsidR="00F700E3" w:rsidRPr="00F64D3B">
        <w:rPr>
          <w:rFonts w:ascii="Arial" w:hAnsi="Arial" w:cs="Arial"/>
          <w:i/>
          <w:iCs/>
          <w:sz w:val="22"/>
          <w:szCs w:val="22"/>
        </w:rPr>
        <w:t>m+p</w:t>
      </w:r>
      <w:proofErr w:type="spellEnd"/>
      <w:r w:rsidR="00F700E3" w:rsidRPr="00F64D3B">
        <w:rPr>
          <w:rFonts w:ascii="Arial" w:hAnsi="Arial" w:cs="Arial"/>
          <w:i/>
          <w:iCs/>
          <w:sz w:val="22"/>
          <w:szCs w:val="22"/>
        </w:rPr>
        <w:t>)</w:t>
      </w:r>
      <w:r w:rsidR="00F700E3" w:rsidRPr="00F64D3B">
        <w:rPr>
          <w:rFonts w:ascii="Arial" w:hAnsi="Arial" w:cs="Arial"/>
          <w:sz w:val="22"/>
          <w:szCs w:val="22"/>
        </w:rPr>
        <w:t>-</w:t>
      </w:r>
      <w:proofErr w:type="spellStart"/>
      <w:r w:rsidR="00F700E3" w:rsidRPr="00F64D3B">
        <w:rPr>
          <w:rFonts w:ascii="Arial" w:hAnsi="Arial" w:cs="Arial"/>
          <w:sz w:val="22"/>
          <w:szCs w:val="22"/>
        </w:rPr>
        <w:t>xylenes:ethylbenzene</w:t>
      </w:r>
      <w:proofErr w:type="spellEnd"/>
      <w:r w:rsidR="00F700E3" w:rsidRPr="00F64D3B">
        <w:rPr>
          <w:rFonts w:ascii="Arial" w:hAnsi="Arial" w:cs="Arial"/>
          <w:sz w:val="22"/>
          <w:szCs w:val="22"/>
        </w:rPr>
        <w:t xml:space="preserve"> (M/</w:t>
      </w:r>
      <w:r w:rsidR="00B24634" w:rsidRPr="00F64D3B">
        <w:rPr>
          <w:rFonts w:ascii="Arial" w:hAnsi="Arial" w:cs="Arial"/>
          <w:sz w:val="22"/>
          <w:szCs w:val="22"/>
        </w:rPr>
        <w:t>E</w:t>
      </w:r>
      <w:r w:rsidR="00F700E3" w:rsidRPr="00F64D3B">
        <w:rPr>
          <w:rFonts w:ascii="Arial" w:hAnsi="Arial" w:cs="Arial"/>
          <w:sz w:val="22"/>
          <w:szCs w:val="22"/>
        </w:rPr>
        <w:t xml:space="preserve">) as a marker of photochemical age, where high </w:t>
      </w:r>
      <w:r w:rsidR="00A03DCD">
        <w:rPr>
          <w:rFonts w:ascii="Arial" w:hAnsi="Arial" w:cs="Arial"/>
          <w:sz w:val="22"/>
          <w:szCs w:val="22"/>
        </w:rPr>
        <w:t>X</w:t>
      </w:r>
      <w:r w:rsidR="00F700E3" w:rsidRPr="00F64D3B">
        <w:rPr>
          <w:rFonts w:ascii="Arial" w:hAnsi="Arial" w:cs="Arial"/>
          <w:sz w:val="22"/>
          <w:szCs w:val="22"/>
        </w:rPr>
        <w:t>/</w:t>
      </w:r>
      <w:r w:rsidR="00B24634" w:rsidRPr="00F64D3B">
        <w:rPr>
          <w:rFonts w:ascii="Arial" w:hAnsi="Arial" w:cs="Arial"/>
          <w:sz w:val="22"/>
          <w:szCs w:val="22"/>
        </w:rPr>
        <w:t>E</w:t>
      </w:r>
      <w:r w:rsidR="00F700E3" w:rsidRPr="00F64D3B">
        <w:rPr>
          <w:rFonts w:ascii="Arial" w:hAnsi="Arial" w:cs="Arial"/>
          <w:sz w:val="22"/>
          <w:szCs w:val="22"/>
        </w:rPr>
        <w:t xml:space="preserve"> ratios suggest a local effect, and smaller ratios sug</w:t>
      </w:r>
      <w:r w:rsidR="00447165" w:rsidRPr="00F64D3B">
        <w:rPr>
          <w:rFonts w:ascii="Arial" w:hAnsi="Arial" w:cs="Arial"/>
          <w:sz w:val="22"/>
          <w:szCs w:val="22"/>
        </w:rPr>
        <w:t xml:space="preserve">gest chemical transport subject to more photochemical </w:t>
      </w:r>
      <w:r w:rsidR="00B24634" w:rsidRPr="00F64D3B">
        <w:rPr>
          <w:rFonts w:ascii="Arial" w:hAnsi="Arial" w:cs="Arial"/>
          <w:sz w:val="22"/>
          <w:szCs w:val="22"/>
        </w:rPr>
        <w:t>degradation</w:t>
      </w:r>
      <w:r w:rsidR="007E7149" w:rsidRPr="00F64D3B">
        <w:rPr>
          <w:rFonts w:ascii="Arial" w:hAnsi="Arial" w:cs="Arial"/>
          <w:sz w:val="22"/>
          <w:szCs w:val="22"/>
        </w:rPr>
        <w:t>.</w:t>
      </w:r>
      <w:r w:rsidR="007E7149" w:rsidRPr="00F64D3B">
        <w:rPr>
          <w:rFonts w:ascii="Arial" w:hAnsi="Arial" w:cs="Arial"/>
          <w:sz w:val="22"/>
          <w:szCs w:val="22"/>
        </w:rPr>
        <w:fldChar w:fldCharType="begin"/>
      </w:r>
      <w:r w:rsidR="00D85090">
        <w:rPr>
          <w:rFonts w:ascii="Arial" w:hAnsi="Arial" w:cs="Arial"/>
          <w:sz w:val="22"/>
          <w:szCs w:val="22"/>
        </w:rPr>
        <w:instrText xml:space="preserve"> ADDIN ZOTERO_ITEM CSL_CITATION {"citationID":"N7uFWloj","properties":{"formattedCitation":"\\super 26\\nosupersub{}","plainCitation":"26","noteIndex":0},"citationItems":[{"id":16446,"uris":["http://zotero.org/groups/4923232/items/I5W79VL5"],"itemData":{"id":16446,"type":"article-journal","abstract":"Measurement of the relative concentrations of the aromatic isomers m, p-xylenes and ethylbenzene is proposed as the basis of a technique for estimating hydrocarbon age in ambient atmospheres. These compounds are shown to be present in constant proportion in the major anthropogenic sources of hydrocarbon emission in Sydney and this is probably also the case in at least some other urbanized regions. Differences in photochemical reactivity cause the isomers to disappear from the atmosphere at notably different rates, a fact which is confirmed by experiments with large outdoor smog chambers. Application of the technique is illustrated by field measurements designed to clarify the importance of recirculation of previous day's emissions on the formation of photochemical smog in the Sydney area.","container-title":"Atmospheric Environment (1967)","DOI":"10.1016/0004-6981(83)90141-5","ISSN":"0004-6981","issue":"3","journalAbbreviation":"Atmospheric Environment (1967)","page":"659-662","source":"ScienceDirect","title":"The m,p-xylenes:ethylbenzene ratio. A technique for estimating hydrocarbon age in ambient atmospheres","title-short":"The m&lt;math&gt;&lt;mtext&gt;m&lt;/mtext&gt;&lt;/math&gt;,p-xylenes","volume":"17","author":[{"family":"Nelson","given":"P. F."},{"family":"Quigley","given":"S. M."}],"issued":{"date-parts":[["1983",1,1]]}}}],"schema":"https://github.com/citation-style-language/schema/raw/master/csl-citation.json"} </w:instrText>
      </w:r>
      <w:r w:rsidR="007E7149" w:rsidRPr="00F64D3B">
        <w:rPr>
          <w:rFonts w:ascii="Arial" w:hAnsi="Arial" w:cs="Arial"/>
          <w:sz w:val="22"/>
          <w:szCs w:val="22"/>
        </w:rPr>
        <w:fldChar w:fldCharType="separate"/>
      </w:r>
      <w:r w:rsidR="00D85090" w:rsidRPr="00D85090">
        <w:rPr>
          <w:rFonts w:ascii="Arial" w:hAnsi="Arial" w:cs="Arial"/>
          <w:kern w:val="0"/>
          <w:sz w:val="22"/>
          <w:vertAlign w:val="superscript"/>
        </w:rPr>
        <w:t>26</w:t>
      </w:r>
      <w:r w:rsidR="007E7149" w:rsidRPr="00F64D3B">
        <w:rPr>
          <w:rFonts w:ascii="Arial" w:hAnsi="Arial" w:cs="Arial"/>
          <w:sz w:val="22"/>
          <w:szCs w:val="22"/>
        </w:rPr>
        <w:fldChar w:fldCharType="end"/>
      </w:r>
      <w:r w:rsidR="00025EF9" w:rsidRPr="00F64D3B">
        <w:rPr>
          <w:rFonts w:ascii="Arial" w:hAnsi="Arial" w:cs="Arial"/>
          <w:sz w:val="22"/>
          <w:szCs w:val="22"/>
        </w:rPr>
        <w:t xml:space="preserve"> We comput</w:t>
      </w:r>
      <w:r w:rsidR="008A4D2B" w:rsidRPr="00F64D3B">
        <w:rPr>
          <w:rFonts w:ascii="Arial" w:hAnsi="Arial" w:cs="Arial"/>
          <w:sz w:val="22"/>
          <w:szCs w:val="22"/>
        </w:rPr>
        <w:t>ed these ratios for each site, and within land use and traffic classe</w:t>
      </w:r>
      <w:r w:rsidR="00062AC4" w:rsidRPr="00F64D3B">
        <w:rPr>
          <w:rFonts w:ascii="Arial" w:hAnsi="Arial" w:cs="Arial"/>
          <w:sz w:val="22"/>
          <w:szCs w:val="22"/>
        </w:rPr>
        <w:t xml:space="preserve">s. </w:t>
      </w:r>
      <w:r w:rsidR="00C15BD0" w:rsidRPr="00F64D3B">
        <w:rPr>
          <w:rFonts w:ascii="Arial" w:hAnsi="Arial" w:cs="Arial"/>
          <w:sz w:val="22"/>
          <w:szCs w:val="22"/>
        </w:rPr>
        <w:t>We used a</w:t>
      </w:r>
      <w:r w:rsidR="00062AC4" w:rsidRPr="00F64D3B">
        <w:rPr>
          <w:rFonts w:ascii="Arial" w:hAnsi="Arial" w:cs="Arial"/>
          <w:sz w:val="22"/>
          <w:szCs w:val="22"/>
        </w:rPr>
        <w:t xml:space="preserve"> simple linear </w:t>
      </w:r>
      <w:r w:rsidR="00C15BD0" w:rsidRPr="00F64D3B">
        <w:rPr>
          <w:rFonts w:ascii="Arial" w:hAnsi="Arial" w:cs="Arial"/>
          <w:sz w:val="22"/>
          <w:szCs w:val="22"/>
        </w:rPr>
        <w:t xml:space="preserve">mixed </w:t>
      </w:r>
      <w:r w:rsidR="00062AC4" w:rsidRPr="00F64D3B">
        <w:rPr>
          <w:rFonts w:ascii="Arial" w:hAnsi="Arial" w:cs="Arial"/>
          <w:sz w:val="22"/>
          <w:szCs w:val="22"/>
        </w:rPr>
        <w:t>model, controlling for week as a random effect</w:t>
      </w:r>
      <w:r w:rsidR="00C15BD0" w:rsidRPr="00F64D3B">
        <w:rPr>
          <w:rFonts w:ascii="Arial" w:hAnsi="Arial" w:cs="Arial"/>
          <w:sz w:val="22"/>
          <w:szCs w:val="22"/>
        </w:rPr>
        <w:t xml:space="preserve"> to quantify the association between industrial classification and each ratio, holding traffic constant.</w:t>
      </w:r>
    </w:p>
    <w:p w14:paraId="6081AC51" w14:textId="77777777" w:rsidR="000F5867" w:rsidRPr="00F64D3B" w:rsidRDefault="000F5867" w:rsidP="00973130">
      <w:pPr>
        <w:spacing w:line="360" w:lineRule="auto"/>
        <w:jc w:val="both"/>
        <w:rPr>
          <w:rFonts w:ascii="Arial" w:hAnsi="Arial" w:cs="Arial"/>
          <w:sz w:val="22"/>
          <w:szCs w:val="22"/>
        </w:rPr>
      </w:pPr>
    </w:p>
    <w:p w14:paraId="54FA6A84" w14:textId="1B24AE4A" w:rsidR="007C6836" w:rsidRPr="00F64D3B" w:rsidRDefault="00622D07" w:rsidP="00973130">
      <w:pPr>
        <w:spacing w:line="360" w:lineRule="auto"/>
        <w:jc w:val="both"/>
        <w:rPr>
          <w:rFonts w:ascii="Arial" w:hAnsi="Arial" w:cs="Arial"/>
          <w:i/>
          <w:iCs/>
          <w:sz w:val="22"/>
          <w:szCs w:val="22"/>
        </w:rPr>
      </w:pPr>
      <w:r>
        <w:rPr>
          <w:rFonts w:ascii="Arial" w:hAnsi="Arial" w:cs="Arial"/>
          <w:i/>
          <w:iCs/>
          <w:sz w:val="22"/>
          <w:szCs w:val="22"/>
        </w:rPr>
        <w:t xml:space="preserve">Source Identification: </w:t>
      </w:r>
      <w:r w:rsidR="00E87EEC" w:rsidRPr="00F64D3B">
        <w:rPr>
          <w:rFonts w:ascii="Arial" w:hAnsi="Arial" w:cs="Arial"/>
          <w:i/>
          <w:iCs/>
          <w:sz w:val="22"/>
          <w:szCs w:val="22"/>
        </w:rPr>
        <w:t>Principal Component Analysis</w:t>
      </w:r>
    </w:p>
    <w:p w14:paraId="5D298836" w14:textId="62EA36C4" w:rsidR="007C6836" w:rsidRPr="00F64D3B" w:rsidRDefault="007C6836" w:rsidP="00973130">
      <w:pPr>
        <w:spacing w:line="360" w:lineRule="auto"/>
        <w:contextualSpacing/>
        <w:jc w:val="both"/>
        <w:rPr>
          <w:rFonts w:ascii="Arial" w:hAnsi="Arial" w:cs="Arial"/>
          <w:sz w:val="22"/>
          <w:szCs w:val="22"/>
        </w:rPr>
      </w:pPr>
      <w:r w:rsidRPr="00F64D3B">
        <w:rPr>
          <w:rFonts w:ascii="Arial" w:hAnsi="Arial" w:cs="Arial"/>
          <w:sz w:val="22"/>
          <w:szCs w:val="22"/>
        </w:rPr>
        <w:t>To identify potential sources explaining variation in measured VOC concentrations, we used Principal Component Analysis (PCA), an unsupervised machine learning algorithm which reduces data dimensionality by creating new orthogonal components which are linear combinations of original variables. Notably, PCA has been used for VOC source apportionment in several previous studies in urban areas</w:t>
      </w:r>
      <w:r w:rsidR="002D3B21">
        <w:rPr>
          <w:rFonts w:ascii="Arial" w:hAnsi="Arial" w:cs="Arial"/>
          <w:sz w:val="22"/>
          <w:szCs w:val="22"/>
        </w:rPr>
        <w:t>.</w:t>
      </w:r>
      <w:r w:rsidRPr="00F64D3B">
        <w:rPr>
          <w:rFonts w:ascii="Arial" w:hAnsi="Arial" w:cs="Arial"/>
          <w:sz w:val="22"/>
          <w:szCs w:val="22"/>
        </w:rPr>
        <w:t xml:space="preserve"> </w:t>
      </w:r>
      <w:r w:rsidRPr="00F64D3B">
        <w:rPr>
          <w:rFonts w:ascii="Arial" w:hAnsi="Arial" w:cs="Arial"/>
          <w:sz w:val="22"/>
          <w:szCs w:val="22"/>
        </w:rPr>
        <w:fldChar w:fldCharType="begin"/>
      </w:r>
      <w:r w:rsidR="00D85090">
        <w:rPr>
          <w:rFonts w:ascii="Arial" w:hAnsi="Arial" w:cs="Arial"/>
          <w:sz w:val="22"/>
          <w:szCs w:val="22"/>
        </w:rPr>
        <w:instrText xml:space="preserve"> ADDIN ZOTERO_ITEM CSL_CITATION {"citationID":"mWctJyFU","properties":{"formattedCitation":"\\super e.g., 33\\uc0\\u8211{}36\\nosupersub{}","plainCitation":"e.g., 33–36","noteIndex":0},"citationItems":[{"id":16230,"uris":["http://zotero.org/groups/4923232/items/JAYJG499"],"itemData":{"id":16230,"type":"article-journal","abstract":"ABSTRACT The petrochemical industry generates a notorious amount of VOC pollution. Given the vastness and complexity of this particular industry as well as dissimilarities between the sectors and companies, comprehensively understanding and controlling these VOC emissions is a challenge in many countries. This study demonstrates an approach of characterizing and identifying critical sources by using multivariate analysis, including principal component analysis (PCA) and projection pursuit. A representative petrochemical industrial park in southern Taiwan comprising 20 up-, mid-, and downstream companies and 519,442 emission sources from 2012 till 2014 was selected for analysis. The results indicated that although the total emissions decreased during this period, which was attributable to controlling upstream vendors (65.5–72.1% of the total emission) and larger sources, such as equipment components (ECs; 63.5% of the total emission in 2012, which decreased to 59.3% in 2014), significant emissions were associated with the mid- and downstream companies and other sources, such as cooling towers (CTs) and storage tanks. PCA revealed that the sources in 5 PCs—namely, in decreasing importance, storage tanks, CTs, ECs, wastewater treatment plants, and stacks—explained 88.7% of the data variability. Furthermore, the variance in emission exhibited stronger correlations with the mid- and downstream sectors than their upstream counterpart. In addition to the amount of emissions they produce, key sources that must be controlled in order to effectively reduce VOCs in the petrochemical industry may be indicated by the correlation among their emission variations.","container-title":"Aerosol and Air Quality Research","DOI":"10.4209/aaqr.2019.07.0365","ISSN":"2071-1409","issue":"3","journalAbbreviation":"Aerosol Air Qual. Res.","language":"en","note":"publisher: Taiwan Association for Aerosol Research","page":"465-476","source":"aaqr.org","title":"Principal Component Analysis and Mapping to Characterize the Emission of Volatile Organic Compounds in a Typical Petrochemical Industrial Park","volume":"20","author":[{"family":"Chen","given":"Guan-Fu"},{"family":"Lai","given":"Chin-Hsing"},{"family":"Chen","given":"Wei-Hsiang"}],"issued":{"date-parts":[["2020"]]}},"prefix":"e.g., "},{"id":16232,"uris":["http://zotero.org/groups/4923232/items/9WXNPAGL"],"itemData":{"id":16232,"type":"article-journal","abstract":"Data sets obtained from the quantitative analysis of 43 volatile organic compounds in air samples acquired every hour in 50 different sampling days (covering the different seasons) during the years 2005 and 2006 in a suburban area of the NW Spain have been investigated by different chemometric methods including matrix augmentation principal component analysis (MA-PCA) and parallel factor analysis (PARAFAC). The application of these two chemometric methods allowed the estimation of the chemical profiles of the main pollution sources operating over the investigated location and also unravelling their main temporal patterns. Using PCA, it was possible to identify four main different sources related to different VOC families (aromatic, aliphatic, halogenated and biogenic). However, the temporal emission patterns could not be properly resolved when the data of each individual sampling day were considered separately. When VOC emissions during the same week and for the whole year (50 sampling days) were simultaneously analysed by a new matrix augmentation PCA (MA-PCA) strategy and by PARAFAC, a better recovery and description of the daily and hourly temporal trends were achieved. In fact, the combination of MA-PCA with the score rearrangement followed by the first singular value decomposition allowed the extraction of daily cyclical emission trends that were subjacent in the original non-trilinear data matrix by means of a very simple methodology facilitating the interpretation of these complex data sets.","container-title":"Atmospheric Environment","DOI":"10.1016/j.atmosenv.2010.09.005","ISSN":"1352-2310","issue":"39","journalAbbreviation":"Atmospheric Environment","page":"5122-5132","source":"ScienceDirect","title":"Investigation of the source composition and temporal distribution of volatile organic compounds (VOCs) in a suburban area of the northwest of Spain using chemometric methods","volume":"44","author":[{"family":"Pérez-Rial","given":"D."},{"family":"López-Mahía","given":"P."},{"family":"Tauler","given":"R."}],"issued":{"date-parts":[["2010",12,1]]}}},{"id":16233,"uris":["http://zotero.org/groups/4923232/items/WLSGWGE2"],"itemData":{"id":16233,"type":"article-journal","abstract":"Indoor volatile organic compound (VOC) data obtained in 100 Hong Kong homes were analyzed to investigate the nature of emission sources and their contributions to indoor concentrations. A principal component analysis (PCA) showed that off-gassing of building materials, household products, painted wood products, room freshener, mothballs and consumer products were the major sources of VOCs in Hong Kong homes. The source apportionments were then evaluated by using an absolute principal component scores (APCS) technique combined with multiple linear regressions. The results indicated that 76.5±1% (average±standard error) of the total VOC emissions in Hong Kong homes attributes to the off-gassing of building materials, followed by the room freshener (8±4%), household products (6±2%), mothballs (5±3%) and painted wood products (4±2%). Analysis on the source strength in the monitored homes revealed that although six indoor sources were identified and quantified in the Hong Kong homes, only some homes were responsible for the elevated concentrations of target VOCs emitted from these sources. The findings provide us the mechanism of reducing levels of indoor VOCs and ultimately lead to cost effective reduction in population exposures.","container-title":"Building and Environment","DOI":"10.1016/j.buildenv.2011.05.008","ISSN":"0360-1323","issue":"11","journalAbbreviation":"Building and Environment","page":"2280-2286","source":"ScienceDirect","title":"Source apportionment of volatile organic compounds in Hong Kong homes","volume":"46","author":[{"family":"Guo","given":"H."}],"issued":{"date-parts":[["2011",11,1]]}}},{"id":16231,"uris":["http://zotero.org/groups/4923232/items/WMSDNYQ2"],"itemData":{"id":16231,"type":"article-journal","abstract":"High-technology industries have grown continuously in Taiwan and elsewhere in the world. Volatile organic compounds (VOCs) comprise the highest percentage of emissions in these industries. The objectives of this study were to identify VOC sources and to apportion their contributions by using a three-step approach. These included estimating concentration distributions, performing principal component analysis (PCA), and mapping concentration contours. The results showed that the dominant compound groups were aromatic and aliphatic compounds. The PCA resolved four emission sources: vehicular traffic, industrial solvents, waste water plants, and cleaning/degreasing agents. Spatial distributions showed that concentrations of vehicular traffic-related compounds (benzene and isooctane) were highest at the entrances to the science park, and strongly related to traffic volume, and that the emissions of industry-related compounds (xylene and ethylbenzene) were closest to the associated sources. This study provided an accurate, practical and efficient method of characterizing emission sources in an industrial complex.","container-title":"Environmental Pollution","DOI":"10.1016/j.envpol.2014.06.014","ISSN":"0269-7491","journalAbbreviation":"Environmental Pollution","note":"PMID: 25025736","page":"156-164","source":"ScienceDirect","title":"Volatile organic compound identification and characterization by PCA and mapping at a high-technology science park","volume":"193","author":[{"family":"Lan","given":"Cheng-Hang"},{"family":"Huang","given":"Yu-Li"},{"family":"Ho","given":"Sheng-Huei"},{"family":"Peng","given":"Chiung-Yu"}],"issued":{"date-parts":[["2014",10,1]]}}}],"schema":"https://github.com/citation-style-language/schema/raw/master/csl-citation.json"} </w:instrText>
      </w:r>
      <w:r w:rsidRPr="00F64D3B">
        <w:rPr>
          <w:rFonts w:ascii="Arial" w:hAnsi="Arial" w:cs="Arial"/>
          <w:sz w:val="22"/>
          <w:szCs w:val="22"/>
        </w:rPr>
        <w:fldChar w:fldCharType="separate"/>
      </w:r>
      <w:r w:rsidR="00D85090" w:rsidRPr="00D85090">
        <w:rPr>
          <w:rFonts w:ascii="Arial" w:hAnsi="Arial" w:cs="Arial"/>
          <w:kern w:val="0"/>
          <w:sz w:val="22"/>
          <w:vertAlign w:val="superscript"/>
        </w:rPr>
        <w:t>e.g., 33–36</w:t>
      </w:r>
      <w:r w:rsidRPr="00F64D3B">
        <w:rPr>
          <w:rFonts w:ascii="Arial" w:hAnsi="Arial" w:cs="Arial"/>
          <w:sz w:val="22"/>
          <w:szCs w:val="22"/>
        </w:rPr>
        <w:fldChar w:fldCharType="end"/>
      </w:r>
      <w:r w:rsidRPr="00F64D3B">
        <w:rPr>
          <w:rFonts w:ascii="Arial" w:hAnsi="Arial" w:cs="Arial"/>
          <w:sz w:val="22"/>
          <w:szCs w:val="22"/>
        </w:rPr>
        <w:t xml:space="preserve"> </w:t>
      </w:r>
      <w:r w:rsidR="005055DD">
        <w:rPr>
          <w:rFonts w:ascii="Arial" w:hAnsi="Arial" w:cs="Arial"/>
          <w:sz w:val="22"/>
          <w:szCs w:val="22"/>
        </w:rPr>
        <w:t xml:space="preserve">We performed PCA, in addition to the more commonly used </w:t>
      </w:r>
      <w:r w:rsidR="005055DD">
        <w:rPr>
          <w:rFonts w:ascii="Arial" w:hAnsi="Arial" w:cs="Arial"/>
          <w:sz w:val="22"/>
          <w:szCs w:val="22"/>
        </w:rPr>
        <w:lastRenderedPageBreak/>
        <w:t xml:space="preserve">Positive Matrix Factorization (PMF) because PCA allowed some flexibility to account for our unbalanced study design (weekly and rotating sites) and within-week correlations. A key drawback of PCA is that it requires components to be independent of one another, which is </w:t>
      </w:r>
      <w:r w:rsidR="00471C23">
        <w:rPr>
          <w:rFonts w:ascii="Arial" w:hAnsi="Arial" w:cs="Arial"/>
          <w:sz w:val="22"/>
          <w:szCs w:val="22"/>
        </w:rPr>
        <w:t>unlikely to be true in an urban environment with mixed sources.</w:t>
      </w:r>
    </w:p>
    <w:p w14:paraId="1D5B70E9" w14:textId="77777777" w:rsidR="007C6836" w:rsidRPr="00F64D3B" w:rsidRDefault="007C6836" w:rsidP="00973130">
      <w:pPr>
        <w:spacing w:line="360" w:lineRule="auto"/>
        <w:contextualSpacing/>
        <w:jc w:val="both"/>
        <w:rPr>
          <w:rFonts w:ascii="Arial" w:hAnsi="Arial" w:cs="Arial"/>
          <w:sz w:val="22"/>
          <w:szCs w:val="22"/>
        </w:rPr>
      </w:pPr>
    </w:p>
    <w:p w14:paraId="2C546C29" w14:textId="373E04B6" w:rsidR="00E52D56" w:rsidRDefault="00B5260D" w:rsidP="00973130">
      <w:pPr>
        <w:spacing w:line="360" w:lineRule="auto"/>
        <w:contextualSpacing/>
        <w:jc w:val="both"/>
        <w:rPr>
          <w:rFonts w:ascii="Arial" w:hAnsi="Arial" w:cs="Arial"/>
          <w:sz w:val="22"/>
          <w:szCs w:val="22"/>
        </w:rPr>
      </w:pPr>
      <w:r w:rsidRPr="00F64D3B">
        <w:rPr>
          <w:rFonts w:ascii="Arial" w:hAnsi="Arial" w:cs="Arial"/>
          <w:sz w:val="22"/>
          <w:szCs w:val="22"/>
        </w:rPr>
        <w:t>In our primary analysis, we were interested in spatial source variation—be</w:t>
      </w:r>
      <w:r w:rsidR="0051436E" w:rsidRPr="00F64D3B">
        <w:rPr>
          <w:rFonts w:ascii="Arial" w:hAnsi="Arial" w:cs="Arial"/>
          <w:sz w:val="22"/>
          <w:szCs w:val="22"/>
        </w:rPr>
        <w:t>cause our sampling strategy resulted in an unbalanced number of samples per site over the year</w:t>
      </w:r>
      <w:r w:rsidRPr="00F64D3B">
        <w:rPr>
          <w:rFonts w:ascii="Arial" w:hAnsi="Arial" w:cs="Arial"/>
          <w:sz w:val="22"/>
          <w:szCs w:val="22"/>
        </w:rPr>
        <w:t xml:space="preserve">, and we expect some within-week correlation across sites, </w:t>
      </w:r>
      <w:r w:rsidR="00AF0E0A" w:rsidRPr="00F64D3B">
        <w:rPr>
          <w:rFonts w:ascii="Arial" w:hAnsi="Arial" w:cs="Arial"/>
          <w:sz w:val="22"/>
          <w:szCs w:val="22"/>
        </w:rPr>
        <w:t xml:space="preserve">we first accounted for within-week correlations using a multilevel </w:t>
      </w:r>
      <w:r w:rsidR="005C5063">
        <w:rPr>
          <w:rFonts w:ascii="Arial" w:hAnsi="Arial" w:cs="Arial"/>
          <w:sz w:val="22"/>
          <w:szCs w:val="22"/>
        </w:rPr>
        <w:t>model using</w:t>
      </w:r>
      <w:r w:rsidR="00AF0E0A" w:rsidRPr="00F64D3B">
        <w:rPr>
          <w:rFonts w:ascii="Arial" w:hAnsi="Arial" w:cs="Arial"/>
          <w:sz w:val="22"/>
          <w:szCs w:val="22"/>
        </w:rPr>
        <w:t xml:space="preserve"> week as a single predictor of VOC concentration for each compound and extracting residuals. Residuals from this model can be interpreted as the remaining variation in VOC concentrations after accounting for within-week clustering, and these residuals were used in PCA analysis. </w:t>
      </w:r>
      <w:r w:rsidR="003403BF" w:rsidRPr="00F64D3B">
        <w:rPr>
          <w:rFonts w:ascii="Arial" w:hAnsi="Arial" w:cs="Arial"/>
          <w:sz w:val="22"/>
          <w:szCs w:val="22"/>
        </w:rPr>
        <w:t xml:space="preserve">The PCA model was weighted by the total number of </w:t>
      </w:r>
      <w:r w:rsidR="00E51265" w:rsidRPr="00F64D3B">
        <w:rPr>
          <w:rFonts w:ascii="Arial" w:hAnsi="Arial" w:cs="Arial"/>
          <w:sz w:val="22"/>
          <w:szCs w:val="22"/>
        </w:rPr>
        <w:t xml:space="preserve">observations at each site, to upweight stationary sites that were sampled throughout the entire year. </w:t>
      </w:r>
      <w:r w:rsidR="00E52D56" w:rsidRPr="00F64D3B">
        <w:rPr>
          <w:rFonts w:ascii="Arial" w:hAnsi="Arial" w:cs="Arial"/>
          <w:sz w:val="22"/>
          <w:szCs w:val="22"/>
        </w:rPr>
        <w:t xml:space="preserve">Components with an eigenvalue </w:t>
      </w:r>
      <w:r w:rsidR="00E52D56" w:rsidRPr="00F64D3B">
        <w:rPr>
          <w:rFonts w:ascii="Arial" w:hAnsi="Arial" w:cs="Arial"/>
          <w:sz w:val="22"/>
          <w:szCs w:val="22"/>
          <w:u w:val="single"/>
        </w:rPr>
        <w:t>&gt;</w:t>
      </w:r>
      <w:r w:rsidR="00E52D56" w:rsidRPr="00F64D3B">
        <w:rPr>
          <w:rFonts w:ascii="Arial" w:hAnsi="Arial" w:cs="Arial"/>
          <w:sz w:val="22"/>
          <w:szCs w:val="22"/>
        </w:rPr>
        <w:t xml:space="preserve"> 1 were retained</w:t>
      </w:r>
      <w:r w:rsidR="00CB7257" w:rsidRPr="00F64D3B">
        <w:rPr>
          <w:rFonts w:ascii="Arial" w:hAnsi="Arial" w:cs="Arial"/>
          <w:sz w:val="22"/>
          <w:szCs w:val="22"/>
        </w:rPr>
        <w:t xml:space="preserve">. </w:t>
      </w:r>
      <w:r w:rsidR="00E52D56" w:rsidRPr="00F64D3B">
        <w:rPr>
          <w:rFonts w:ascii="Arial" w:hAnsi="Arial" w:cs="Arial"/>
          <w:sz w:val="22"/>
          <w:szCs w:val="22"/>
        </w:rPr>
        <w:t xml:space="preserve">We used varimax rotation to improve interpretability of PCA components while retaining orthogonality of the components. Component scores for each site were calculated using the residuals from the multilevel model at each site and using a weighted sum of component loadings. </w:t>
      </w:r>
    </w:p>
    <w:p w14:paraId="2430B803" w14:textId="77777777" w:rsidR="00860235" w:rsidRDefault="00860235" w:rsidP="00973130">
      <w:pPr>
        <w:spacing w:line="360" w:lineRule="auto"/>
        <w:contextualSpacing/>
        <w:jc w:val="both"/>
        <w:rPr>
          <w:rFonts w:ascii="Arial" w:hAnsi="Arial" w:cs="Arial"/>
          <w:sz w:val="22"/>
          <w:szCs w:val="22"/>
        </w:rPr>
      </w:pPr>
    </w:p>
    <w:p w14:paraId="1106DFEA" w14:textId="32313ACB" w:rsidR="00860235" w:rsidRPr="00F64D3B" w:rsidRDefault="00860235" w:rsidP="00973130">
      <w:pPr>
        <w:spacing w:line="360" w:lineRule="auto"/>
        <w:contextualSpacing/>
        <w:jc w:val="both"/>
        <w:rPr>
          <w:rFonts w:ascii="Arial" w:hAnsi="Arial" w:cs="Arial"/>
          <w:sz w:val="22"/>
          <w:szCs w:val="22"/>
        </w:rPr>
      </w:pPr>
      <w:r>
        <w:rPr>
          <w:rFonts w:ascii="Arial" w:hAnsi="Arial" w:cs="Arial"/>
          <w:sz w:val="22"/>
          <w:szCs w:val="22"/>
        </w:rPr>
        <w:t xml:space="preserve">In sensitivity analyses, we explored: (1) ignoring clustering by week and running PCA on raw values, both (1ai) </w:t>
      </w:r>
      <w:r w:rsidR="00C3613F">
        <w:rPr>
          <w:rFonts w:ascii="Arial" w:hAnsi="Arial" w:cs="Arial"/>
          <w:sz w:val="22"/>
          <w:szCs w:val="22"/>
        </w:rPr>
        <w:t xml:space="preserve">weighted by total weeks measured at that site, (1aii) unweighted, and (2b) on weekly sites only. We also tested the robustness of the </w:t>
      </w:r>
      <w:r w:rsidR="005C5063">
        <w:rPr>
          <w:rFonts w:ascii="Arial" w:hAnsi="Arial" w:cs="Arial"/>
          <w:sz w:val="22"/>
          <w:szCs w:val="22"/>
        </w:rPr>
        <w:t>primary analysis by (2a) not weighting by total weeks, (2b) using a gamma distribution with a log link for multilevel modeling (rather than gaussian), and (2c) including weekly sites only.</w:t>
      </w:r>
    </w:p>
    <w:p w14:paraId="3DDF62A9" w14:textId="77777777" w:rsidR="00267B8C" w:rsidRDefault="00267B8C" w:rsidP="00973130">
      <w:pPr>
        <w:spacing w:line="360" w:lineRule="auto"/>
        <w:contextualSpacing/>
        <w:jc w:val="both"/>
        <w:rPr>
          <w:rFonts w:ascii="Arial" w:hAnsi="Arial" w:cs="Arial"/>
          <w:sz w:val="22"/>
          <w:szCs w:val="22"/>
        </w:rPr>
      </w:pPr>
    </w:p>
    <w:p w14:paraId="426E22CD" w14:textId="2F181D3A" w:rsidR="00267B8C" w:rsidRPr="00267B8C" w:rsidRDefault="00622D07" w:rsidP="00973130">
      <w:pPr>
        <w:spacing w:line="360" w:lineRule="auto"/>
        <w:contextualSpacing/>
        <w:jc w:val="both"/>
        <w:rPr>
          <w:rFonts w:ascii="Arial" w:hAnsi="Arial" w:cs="Arial"/>
          <w:sz w:val="22"/>
          <w:szCs w:val="22"/>
        </w:rPr>
      </w:pPr>
      <w:r w:rsidRPr="00A65944">
        <w:rPr>
          <w:rFonts w:ascii="Arial" w:hAnsi="Arial" w:cs="Arial"/>
          <w:i/>
          <w:iCs/>
          <w:sz w:val="22"/>
          <w:szCs w:val="22"/>
        </w:rPr>
        <w:t xml:space="preserve">Source Apportionment: </w:t>
      </w:r>
      <w:r w:rsidR="00267B8C" w:rsidRPr="00A65944">
        <w:rPr>
          <w:rFonts w:ascii="Arial" w:hAnsi="Arial" w:cs="Arial"/>
          <w:i/>
          <w:iCs/>
          <w:sz w:val="22"/>
          <w:szCs w:val="22"/>
        </w:rPr>
        <w:t>Positive Matrix Factorization</w:t>
      </w:r>
    </w:p>
    <w:p w14:paraId="1FEC7047" w14:textId="385C811F" w:rsidR="00C07D39" w:rsidRDefault="00E76109" w:rsidP="004E4A6F">
      <w:pPr>
        <w:spacing w:line="360" w:lineRule="auto"/>
        <w:jc w:val="both"/>
        <w:rPr>
          <w:rFonts w:ascii="Arial" w:hAnsi="Arial" w:cs="Arial"/>
          <w:sz w:val="22"/>
          <w:szCs w:val="22"/>
        </w:rPr>
      </w:pPr>
      <w:r>
        <w:rPr>
          <w:rFonts w:ascii="Arial" w:hAnsi="Arial" w:cs="Arial"/>
          <w:sz w:val="22"/>
          <w:szCs w:val="22"/>
        </w:rPr>
        <w:t>To estimate</w:t>
      </w:r>
      <w:r w:rsidR="00452EBD">
        <w:rPr>
          <w:rFonts w:ascii="Arial" w:hAnsi="Arial" w:cs="Arial"/>
          <w:sz w:val="22"/>
          <w:szCs w:val="22"/>
        </w:rPr>
        <w:t xml:space="preserve"> </w:t>
      </w:r>
      <w:r w:rsidR="00EF213D">
        <w:rPr>
          <w:rFonts w:ascii="Arial" w:hAnsi="Arial" w:cs="Arial"/>
          <w:sz w:val="22"/>
          <w:szCs w:val="22"/>
        </w:rPr>
        <w:t xml:space="preserve">the amount that </w:t>
      </w:r>
      <w:r w:rsidR="00A65944">
        <w:rPr>
          <w:rFonts w:ascii="Arial" w:hAnsi="Arial" w:cs="Arial"/>
          <w:sz w:val="22"/>
          <w:szCs w:val="22"/>
        </w:rPr>
        <w:t>each pollutant contributes to sources</w:t>
      </w:r>
      <w:r>
        <w:rPr>
          <w:rFonts w:ascii="Arial" w:hAnsi="Arial" w:cs="Arial"/>
          <w:sz w:val="22"/>
          <w:szCs w:val="22"/>
        </w:rPr>
        <w:t>, we performed</w:t>
      </w:r>
      <w:r w:rsidR="00EF213D">
        <w:rPr>
          <w:rFonts w:ascii="Arial" w:hAnsi="Arial" w:cs="Arial"/>
          <w:sz w:val="22"/>
          <w:szCs w:val="22"/>
        </w:rPr>
        <w:t xml:space="preserve"> Positive</w:t>
      </w:r>
      <w:r w:rsidR="00412300">
        <w:rPr>
          <w:rFonts w:ascii="Arial" w:hAnsi="Arial" w:cs="Arial"/>
          <w:sz w:val="22"/>
          <w:szCs w:val="22"/>
        </w:rPr>
        <w:t xml:space="preserve"> Matrix Factorization (PMF)</w:t>
      </w:r>
      <w:r w:rsidR="00EF213D">
        <w:rPr>
          <w:rFonts w:ascii="Arial" w:hAnsi="Arial" w:cs="Arial"/>
          <w:sz w:val="22"/>
          <w:szCs w:val="22"/>
        </w:rPr>
        <w:t xml:space="preserve"> </w:t>
      </w:r>
      <w:r>
        <w:rPr>
          <w:rFonts w:ascii="Arial" w:hAnsi="Arial" w:cs="Arial"/>
          <w:sz w:val="22"/>
          <w:szCs w:val="22"/>
        </w:rPr>
        <w:t xml:space="preserve">using the </w:t>
      </w:r>
      <w:r w:rsidR="0073060C">
        <w:rPr>
          <w:rFonts w:ascii="Arial" w:hAnsi="Arial" w:cs="Arial"/>
          <w:sz w:val="22"/>
          <w:szCs w:val="22"/>
        </w:rPr>
        <w:t>EPA PMF 5.0</w:t>
      </w:r>
      <w:r>
        <w:rPr>
          <w:rFonts w:ascii="Arial" w:hAnsi="Arial" w:cs="Arial"/>
          <w:sz w:val="22"/>
          <w:szCs w:val="22"/>
        </w:rPr>
        <w:t xml:space="preserve"> program, which is widely used for source apportionment.</w:t>
      </w:r>
      <w:r w:rsidR="00BB7D4E">
        <w:rPr>
          <w:rFonts w:ascii="Arial" w:hAnsi="Arial" w:cs="Arial"/>
          <w:sz w:val="22"/>
          <w:szCs w:val="22"/>
        </w:rPr>
        <w:fldChar w:fldCharType="begin"/>
      </w:r>
      <w:r w:rsidR="006A4415">
        <w:rPr>
          <w:rFonts w:ascii="Arial" w:hAnsi="Arial" w:cs="Arial"/>
          <w:sz w:val="22"/>
          <w:szCs w:val="22"/>
        </w:rPr>
        <w:instrText xml:space="preserve"> ADDIN ZOTERO_ITEM CSL_CITATION {"citationID":"fhed8mp1","properties":{"formattedCitation":"\\super 37\\nosupersub{}","plainCitation":"37","noteIndex":0},"citationItems":[{"id":16870,"uris":["http://zotero.org/groups/4923232/items/T2SQNDX2"],"itemData":{"id":16870,"type":"article-journal","container-title":"Journal of the Air &amp; Waste Management Association","DOI":"10.1080/10962247.2016.1140693","ISSN":"1096-2247","issue":"3","note":"publisher: Taylor &amp; Francis","page":"237-259","source":"www-tandfonline-com.ezproxy2.library.drexel.edu (Atypon)","title":"Review of receptor modeling methods for source apportionment","volume":"66","author":[{"family":"Hopke","given":"Philip K."}],"issued":{"date-parts":[["2016",3,3]]}}}],"schema":"https://github.com/citation-style-language/schema/raw/master/csl-citation.json"} </w:instrText>
      </w:r>
      <w:r w:rsidR="00BB7D4E">
        <w:rPr>
          <w:rFonts w:ascii="Arial" w:hAnsi="Arial" w:cs="Arial"/>
          <w:sz w:val="22"/>
          <w:szCs w:val="22"/>
        </w:rPr>
        <w:fldChar w:fldCharType="separate"/>
      </w:r>
      <w:r w:rsidR="006A4415" w:rsidRPr="006A4415">
        <w:rPr>
          <w:rFonts w:ascii="Arial" w:hAnsi="Arial" w:cs="Arial"/>
          <w:kern w:val="0"/>
          <w:sz w:val="22"/>
          <w:vertAlign w:val="superscript"/>
        </w:rPr>
        <w:t>37</w:t>
      </w:r>
      <w:r w:rsidR="00BB7D4E">
        <w:rPr>
          <w:rFonts w:ascii="Arial" w:hAnsi="Arial" w:cs="Arial"/>
          <w:sz w:val="22"/>
          <w:szCs w:val="22"/>
        </w:rPr>
        <w:fldChar w:fldCharType="end"/>
      </w:r>
      <w:r>
        <w:rPr>
          <w:rFonts w:ascii="Arial" w:hAnsi="Arial" w:cs="Arial"/>
          <w:sz w:val="22"/>
          <w:szCs w:val="22"/>
        </w:rPr>
        <w:t xml:space="preserve"> Details about the PMF program are available in the EPA user manual</w:t>
      </w:r>
      <w:r w:rsidR="009F380F">
        <w:rPr>
          <w:rFonts w:ascii="Arial" w:hAnsi="Arial" w:cs="Arial"/>
          <w:sz w:val="22"/>
          <w:szCs w:val="22"/>
        </w:rPr>
        <w:t>.</w:t>
      </w:r>
      <w:r w:rsidR="009F380F">
        <w:rPr>
          <w:rFonts w:ascii="Arial" w:hAnsi="Arial" w:cs="Arial"/>
          <w:sz w:val="22"/>
          <w:szCs w:val="22"/>
        </w:rPr>
        <w:fldChar w:fldCharType="begin"/>
      </w:r>
      <w:r w:rsidR="00BA6BE0">
        <w:rPr>
          <w:rFonts w:ascii="Arial" w:hAnsi="Arial" w:cs="Arial"/>
          <w:sz w:val="22"/>
          <w:szCs w:val="22"/>
        </w:rPr>
        <w:instrText xml:space="preserve"> ADDIN ZOTERO_ITEM CSL_CITATION {"citationID":"gnur8Zyq","properties":{"formattedCitation":"\\super 38,39\\nosupersub{}","plainCitation":"38,39","noteIndex":0},"citationItems":[{"id":16865,"uris":["http://zotero.org/groups/4923232/items/294VP7NC"],"itemData":{"id":16865,"type":"article-journal","abstract":"A new variant ‘PMF’ of factor analysis is described. It is assumed that X is a matrix of observed data and σ is the known matrix of standard deviations of elements of X. Both X and σ are of dimensions n × m. The method solves the bilinear matrix problem X = GF + E where G is the unknown left hand factor matrix (scores) of dimensions n × p, F is the unknown right hand factor matrix (loadings) of dimensions p × m, and E is the matrix of residuals. The problem is solved in the weighted least squares sense: G and F are determined so that the Frobenius norm of E divided (element-by-element) by σ is minimized. Furthermore, the solution is constrained so that all the elements of G and F are required to be non-negative. It is shown that the solutions by PMF are usually different from any solutions produced by the customary factor analysis (FA, i.e. principal component analysis (PCA) followed by rotations). Usually PMF produces a better fit to the data than FA. Also, the result of PF is guaranteed to be non-negative, while the result of FA often cannot be rotated so that all negative entries would be eliminated. Different possible application areas of the new method are briefly discussed. In environmental data, the error estimates of data can be widely varying and non-negativity is often an essential feature of the underlying models. Thus it is concluded that PMF is better suited than FA or PCA in many environmental applications. Examples of successful applications of PMF are shown in companion papers.","container-title":"Environmetrics","DOI":"10.1002/env.3170050203","ISSN":"1099-095X","issue":"2","language":"en","license":"Copyright © 1994 John Wiley &amp; Sons, Ltd","note":"_eprint: https://onlinelibrary.wiley.com/doi/pdf/10.1002/env.3170050203","page":"111-126","source":"Wiley Online Library","title":"Positive matrix factorization: A non-negative factor model with optimal utilization of error estimates of data values","title-short":"Positive matrix factorization","volume":"5","author":[{"family":"Paatero","given":"Pentti"},{"family":"Tapper","given":"Unto"}],"issued":{"date-parts":[["1994"]]}}},{"id":16864,"uris":["http://zotero.org/groups/4923232/items/6DFLYH9Z"],"itemData":{"id":16864,"type":"document","language":"en","publisher":"US Environmental Protection Agency","source":"Zotero","title":"Positive Matrix Factorization (PMF) 5.0 Fundamentals and User Guide","URL":"https://www.epa.gov/sites/default/files/2015-02/documents/pmf_5.0_user_guide.pdf","author":[{"family":"Norris","given":"Gary"},{"family":"Duvall","given":"Rachelle"},{"family":"Brown","given":"Steve"},{"family":"Bai","given":"Song"}],"issued":{"date-parts":[["2014",4]]}}}],"schema":"https://github.com/citation-style-language/schema/raw/master/csl-citation.json"} </w:instrText>
      </w:r>
      <w:r w:rsidR="009F380F">
        <w:rPr>
          <w:rFonts w:ascii="Arial" w:hAnsi="Arial" w:cs="Arial"/>
          <w:sz w:val="22"/>
          <w:szCs w:val="22"/>
        </w:rPr>
        <w:fldChar w:fldCharType="separate"/>
      </w:r>
      <w:r w:rsidR="00BA6BE0" w:rsidRPr="00BA6BE0">
        <w:rPr>
          <w:rFonts w:ascii="Arial" w:hAnsi="Arial" w:cs="Arial"/>
          <w:kern w:val="0"/>
          <w:sz w:val="22"/>
          <w:vertAlign w:val="superscript"/>
        </w:rPr>
        <w:t>38,39</w:t>
      </w:r>
      <w:r w:rsidR="009F380F">
        <w:rPr>
          <w:rFonts w:ascii="Arial" w:hAnsi="Arial" w:cs="Arial"/>
          <w:sz w:val="22"/>
          <w:szCs w:val="22"/>
        </w:rPr>
        <w:fldChar w:fldCharType="end"/>
      </w:r>
      <w:r w:rsidR="009F380F">
        <w:rPr>
          <w:rFonts w:ascii="Arial" w:hAnsi="Arial" w:cs="Arial"/>
          <w:sz w:val="22"/>
          <w:szCs w:val="22"/>
        </w:rPr>
        <w:t xml:space="preserve"> </w:t>
      </w:r>
      <w:r w:rsidR="00B91FEB">
        <w:rPr>
          <w:rFonts w:ascii="Arial" w:hAnsi="Arial" w:cs="Arial"/>
          <w:sz w:val="22"/>
          <w:szCs w:val="22"/>
        </w:rPr>
        <w:t>We</w:t>
      </w:r>
      <w:r w:rsidR="00E25091">
        <w:rPr>
          <w:rFonts w:ascii="Arial" w:hAnsi="Arial" w:cs="Arial"/>
          <w:sz w:val="22"/>
          <w:szCs w:val="22"/>
        </w:rPr>
        <w:t xml:space="preserve"> </w:t>
      </w:r>
      <w:r w:rsidR="00C07D39">
        <w:rPr>
          <w:rFonts w:ascii="Arial" w:hAnsi="Arial" w:cs="Arial"/>
          <w:sz w:val="22"/>
          <w:szCs w:val="22"/>
        </w:rPr>
        <w:t xml:space="preserve">calculated uncertainty for each </w:t>
      </w:r>
      <w:r w:rsidR="008608E4">
        <w:rPr>
          <w:rFonts w:ascii="Arial" w:hAnsi="Arial" w:cs="Arial"/>
          <w:sz w:val="22"/>
          <w:szCs w:val="22"/>
        </w:rPr>
        <w:t xml:space="preserve">blank-corrected </w:t>
      </w:r>
      <w:r w:rsidR="00C07D39">
        <w:rPr>
          <w:rFonts w:ascii="Arial" w:hAnsi="Arial" w:cs="Arial"/>
          <w:sz w:val="22"/>
          <w:szCs w:val="22"/>
        </w:rPr>
        <w:t xml:space="preserve">measurement </w:t>
      </w:r>
      <w:r w:rsidR="008608E4">
        <w:rPr>
          <w:rFonts w:ascii="Arial" w:hAnsi="Arial" w:cs="Arial"/>
          <w:sz w:val="22"/>
          <w:szCs w:val="22"/>
        </w:rPr>
        <w:t>using relative standard error from field duplicates, uptake rates, and an additional 10% for estimated calibration uncertainty. Measurements flagged as non-detects were assigned an uncertainty of (5/</w:t>
      </w:r>
      <w:proofErr w:type="gramStart"/>
      <w:r w:rsidR="008608E4">
        <w:rPr>
          <w:rFonts w:ascii="Arial" w:hAnsi="Arial" w:cs="Arial"/>
          <w:sz w:val="22"/>
          <w:szCs w:val="22"/>
        </w:rPr>
        <w:t>6)*</w:t>
      </w:r>
      <w:proofErr w:type="gramEnd"/>
      <w:r w:rsidR="008608E4">
        <w:rPr>
          <w:rFonts w:ascii="Arial" w:hAnsi="Arial" w:cs="Arial"/>
          <w:sz w:val="22"/>
          <w:szCs w:val="22"/>
        </w:rPr>
        <w:t>LOD.</w:t>
      </w:r>
    </w:p>
    <w:p w14:paraId="6A88D4A7" w14:textId="77777777" w:rsidR="008608E4" w:rsidRDefault="008608E4" w:rsidP="008A1E68">
      <w:pPr>
        <w:spacing w:line="360" w:lineRule="auto"/>
        <w:jc w:val="both"/>
        <w:rPr>
          <w:rFonts w:ascii="Arial" w:hAnsi="Arial" w:cs="Arial"/>
          <w:sz w:val="22"/>
          <w:szCs w:val="22"/>
        </w:rPr>
      </w:pPr>
    </w:p>
    <w:p w14:paraId="780148F3" w14:textId="5AB4F0DA" w:rsidR="00E76109" w:rsidRPr="00D61D74" w:rsidRDefault="0000344A" w:rsidP="008A1E68">
      <w:pPr>
        <w:spacing w:line="360" w:lineRule="auto"/>
        <w:jc w:val="both"/>
        <w:rPr>
          <w:rFonts w:ascii="Arial" w:hAnsi="Arial" w:cs="Arial"/>
          <w:sz w:val="22"/>
          <w:szCs w:val="22"/>
        </w:rPr>
      </w:pPr>
      <w:r>
        <w:rPr>
          <w:rFonts w:ascii="Arial" w:hAnsi="Arial" w:cs="Arial"/>
          <w:sz w:val="22"/>
          <w:szCs w:val="22"/>
        </w:rPr>
        <w:t xml:space="preserve">In </w:t>
      </w:r>
      <w:r w:rsidR="00F95BC9">
        <w:rPr>
          <w:rFonts w:ascii="Arial" w:hAnsi="Arial" w:cs="Arial"/>
          <w:sz w:val="22"/>
          <w:szCs w:val="22"/>
        </w:rPr>
        <w:t xml:space="preserve">the main analysis, </w:t>
      </w:r>
      <w:r w:rsidR="001C6A1D">
        <w:rPr>
          <w:rFonts w:ascii="Arial" w:hAnsi="Arial" w:cs="Arial"/>
          <w:sz w:val="22"/>
          <w:szCs w:val="22"/>
        </w:rPr>
        <w:t xml:space="preserve">we included all monitoring sites. </w:t>
      </w:r>
      <w:r w:rsidR="00B078EA">
        <w:rPr>
          <w:rFonts w:ascii="Arial" w:hAnsi="Arial" w:cs="Arial"/>
          <w:sz w:val="22"/>
          <w:szCs w:val="22"/>
        </w:rPr>
        <w:t xml:space="preserve">In a sensitivity analysis, we included weekly </w:t>
      </w:r>
      <w:r w:rsidR="001C6A1D">
        <w:rPr>
          <w:rFonts w:ascii="Arial" w:hAnsi="Arial" w:cs="Arial"/>
          <w:sz w:val="22"/>
          <w:szCs w:val="22"/>
        </w:rPr>
        <w:t>sites only</w:t>
      </w:r>
      <w:r w:rsidR="00B078EA">
        <w:rPr>
          <w:rFonts w:ascii="Arial" w:hAnsi="Arial" w:cs="Arial"/>
          <w:sz w:val="22"/>
          <w:szCs w:val="22"/>
        </w:rPr>
        <w:t xml:space="preserve">. </w:t>
      </w:r>
      <w:r w:rsidR="00B91FEB">
        <w:rPr>
          <w:rFonts w:ascii="Arial" w:hAnsi="Arial" w:cs="Arial"/>
          <w:sz w:val="22"/>
          <w:szCs w:val="22"/>
        </w:rPr>
        <w:t>We excluded compounds from PMF analysis if they met any of</w:t>
      </w:r>
      <w:r w:rsidR="00615183">
        <w:rPr>
          <w:rFonts w:ascii="Arial" w:hAnsi="Arial" w:cs="Arial"/>
          <w:sz w:val="22"/>
          <w:szCs w:val="22"/>
        </w:rPr>
        <w:t xml:space="preserve"> the following criteria</w:t>
      </w:r>
      <w:r w:rsidR="00B91FEB">
        <w:rPr>
          <w:rFonts w:ascii="Arial" w:hAnsi="Arial" w:cs="Arial"/>
          <w:sz w:val="22"/>
          <w:szCs w:val="22"/>
        </w:rPr>
        <w:t xml:space="preserve">: 1) </w:t>
      </w:r>
      <w:r w:rsidR="009706A9">
        <w:rPr>
          <w:rFonts w:ascii="Arial" w:hAnsi="Arial" w:cs="Arial"/>
          <w:sz w:val="22"/>
          <w:szCs w:val="22"/>
        </w:rPr>
        <w:lastRenderedPageBreak/>
        <w:t xml:space="preserve">&lt; </w:t>
      </w:r>
      <w:r w:rsidR="009706A9" w:rsidRPr="00F64D3B">
        <w:rPr>
          <w:rFonts w:ascii="Arial" w:hAnsi="Arial" w:cs="Arial"/>
          <w:sz w:val="22"/>
          <w:szCs w:val="22"/>
        </w:rPr>
        <w:t xml:space="preserve">40% of samples between the lower and upper limit of </w:t>
      </w:r>
      <w:r w:rsidR="009706A9">
        <w:rPr>
          <w:rFonts w:ascii="Arial" w:hAnsi="Arial" w:cs="Arial"/>
          <w:sz w:val="22"/>
          <w:szCs w:val="22"/>
        </w:rPr>
        <w:t>quantification</w:t>
      </w:r>
      <w:r w:rsidR="009706A9" w:rsidRPr="00F64D3B">
        <w:rPr>
          <w:rFonts w:ascii="Arial" w:hAnsi="Arial" w:cs="Arial"/>
          <w:sz w:val="22"/>
          <w:szCs w:val="22"/>
        </w:rPr>
        <w:t xml:space="preserve"> and </w:t>
      </w:r>
      <w:r w:rsidR="009706A9">
        <w:rPr>
          <w:rFonts w:ascii="Arial" w:hAnsi="Arial" w:cs="Arial"/>
          <w:sz w:val="22"/>
          <w:szCs w:val="22"/>
        </w:rPr>
        <w:t>&gt; 30</w:t>
      </w:r>
      <w:r w:rsidR="009706A9" w:rsidRPr="00F64D3B">
        <w:rPr>
          <w:rFonts w:ascii="Arial" w:hAnsi="Arial" w:cs="Arial"/>
          <w:sz w:val="22"/>
          <w:szCs w:val="22"/>
        </w:rPr>
        <w:t>% non-detects</w:t>
      </w:r>
      <w:r w:rsidR="009706A9">
        <w:rPr>
          <w:rFonts w:ascii="Arial" w:hAnsi="Arial" w:cs="Arial"/>
          <w:sz w:val="22"/>
          <w:szCs w:val="22"/>
        </w:rPr>
        <w:t xml:space="preserve">; 2) poor reliability (ICC &lt; 0.4); 3) Signal to noise (S/N) &lt; 0.5. </w:t>
      </w:r>
      <w:r w:rsidR="00C33BDB">
        <w:rPr>
          <w:rFonts w:ascii="Arial" w:hAnsi="Arial" w:cs="Arial"/>
          <w:sz w:val="22"/>
          <w:szCs w:val="22"/>
        </w:rPr>
        <w:t xml:space="preserve">Compounds with S/N </w:t>
      </w:r>
      <w:r w:rsidR="00EA7C93">
        <w:rPr>
          <w:rFonts w:ascii="Arial" w:hAnsi="Arial" w:cs="Arial"/>
          <w:sz w:val="22"/>
          <w:szCs w:val="22"/>
        </w:rPr>
        <w:t>greater than 5.0 and less than 1.0</w:t>
      </w:r>
      <w:r w:rsidR="00C33BDB">
        <w:rPr>
          <w:rFonts w:ascii="Arial" w:hAnsi="Arial" w:cs="Arial"/>
          <w:sz w:val="22"/>
          <w:szCs w:val="22"/>
        </w:rPr>
        <w:t xml:space="preserve"> were considered “Weak” and </w:t>
      </w:r>
      <w:r w:rsidR="00F1752E">
        <w:rPr>
          <w:rFonts w:ascii="Arial" w:hAnsi="Arial" w:cs="Arial"/>
          <w:sz w:val="22"/>
          <w:szCs w:val="22"/>
        </w:rPr>
        <w:t>down weighted</w:t>
      </w:r>
      <w:r w:rsidR="00C33BDB">
        <w:rPr>
          <w:rFonts w:ascii="Arial" w:hAnsi="Arial" w:cs="Arial"/>
          <w:sz w:val="22"/>
          <w:szCs w:val="22"/>
        </w:rPr>
        <w:t xml:space="preserve"> in the PMF analysis</w:t>
      </w:r>
      <w:r w:rsidR="007C6592">
        <w:rPr>
          <w:rFonts w:ascii="Arial" w:hAnsi="Arial" w:cs="Arial"/>
          <w:sz w:val="22"/>
          <w:szCs w:val="22"/>
        </w:rPr>
        <w:t xml:space="preserve"> (unless already excluded due to other exclusion criteria)</w:t>
      </w:r>
      <w:r w:rsidR="00C33BDB">
        <w:rPr>
          <w:rFonts w:ascii="Arial" w:hAnsi="Arial" w:cs="Arial"/>
          <w:sz w:val="22"/>
          <w:szCs w:val="22"/>
        </w:rPr>
        <w:t>.</w:t>
      </w:r>
      <w:r w:rsidR="00D61D74">
        <w:rPr>
          <w:rFonts w:ascii="Arial" w:hAnsi="Arial" w:cs="Arial"/>
          <w:sz w:val="22"/>
          <w:szCs w:val="22"/>
        </w:rPr>
        <w:t xml:space="preserve"> </w:t>
      </w:r>
      <w:r w:rsidR="00CB2346">
        <w:rPr>
          <w:rFonts w:ascii="Arial" w:hAnsi="Arial" w:cs="Arial"/>
          <w:sz w:val="22"/>
          <w:szCs w:val="22"/>
        </w:rPr>
        <w:t xml:space="preserve">We used 20 runs for exploratory analyses and </w:t>
      </w:r>
      <w:r w:rsidR="003500C0">
        <w:rPr>
          <w:rFonts w:ascii="Arial" w:hAnsi="Arial" w:cs="Arial"/>
          <w:sz w:val="22"/>
          <w:szCs w:val="22"/>
        </w:rPr>
        <w:t>1</w:t>
      </w:r>
      <w:r w:rsidR="00CB2346">
        <w:rPr>
          <w:rFonts w:ascii="Arial" w:hAnsi="Arial" w:cs="Arial"/>
          <w:sz w:val="22"/>
          <w:szCs w:val="22"/>
        </w:rPr>
        <w:t xml:space="preserve">00 runs for the final analysis. </w:t>
      </w:r>
      <w:r w:rsidR="00D61D74">
        <w:rPr>
          <w:rFonts w:ascii="Arial" w:hAnsi="Arial" w:cs="Arial"/>
          <w:sz w:val="22"/>
          <w:szCs w:val="22"/>
        </w:rPr>
        <w:t>The final number of factors were selected by comparing Q/</w:t>
      </w:r>
      <w:proofErr w:type="spellStart"/>
      <w:r w:rsidR="00D61D74">
        <w:rPr>
          <w:rFonts w:ascii="Arial" w:hAnsi="Arial" w:cs="Arial"/>
          <w:sz w:val="22"/>
          <w:szCs w:val="22"/>
        </w:rPr>
        <w:t>Q</w:t>
      </w:r>
      <w:r w:rsidR="00D61D74">
        <w:rPr>
          <w:rFonts w:ascii="Arial" w:hAnsi="Arial" w:cs="Arial"/>
          <w:sz w:val="22"/>
          <w:szCs w:val="22"/>
          <w:vertAlign w:val="subscript"/>
        </w:rPr>
        <w:t>exp</w:t>
      </w:r>
      <w:proofErr w:type="spellEnd"/>
      <w:r w:rsidR="00D61D74">
        <w:rPr>
          <w:rFonts w:ascii="Arial" w:hAnsi="Arial" w:cs="Arial"/>
          <w:sz w:val="22"/>
          <w:szCs w:val="22"/>
        </w:rPr>
        <w:t xml:space="preserve"> with increasing number of factors, </w:t>
      </w:r>
      <w:r w:rsidR="0048442E">
        <w:rPr>
          <w:rFonts w:ascii="Arial" w:hAnsi="Arial" w:cs="Arial"/>
          <w:sz w:val="22"/>
          <w:szCs w:val="22"/>
        </w:rPr>
        <w:t xml:space="preserve">factor stability across bootstrapped samples, and factor interpretability. </w:t>
      </w:r>
      <w:r w:rsidR="00D61D74">
        <w:rPr>
          <w:rFonts w:ascii="Arial" w:hAnsi="Arial" w:cs="Arial"/>
          <w:sz w:val="22"/>
          <w:szCs w:val="22"/>
        </w:rPr>
        <w:t xml:space="preserve">Uncertainty was estimated </w:t>
      </w:r>
      <w:r w:rsidR="003F5542">
        <w:rPr>
          <w:rFonts w:ascii="Arial" w:hAnsi="Arial" w:cs="Arial"/>
          <w:sz w:val="22"/>
          <w:szCs w:val="22"/>
        </w:rPr>
        <w:t>by pooling 500 bootstrapped samples.</w:t>
      </w:r>
    </w:p>
    <w:p w14:paraId="0DA79DD0" w14:textId="77777777" w:rsidR="00E25091" w:rsidRDefault="00E25091" w:rsidP="00E25091">
      <w:pPr>
        <w:spacing w:line="360" w:lineRule="auto"/>
        <w:jc w:val="both"/>
        <w:rPr>
          <w:rFonts w:ascii="Arial" w:hAnsi="Arial" w:cs="Arial"/>
          <w:sz w:val="22"/>
          <w:szCs w:val="22"/>
        </w:rPr>
      </w:pPr>
    </w:p>
    <w:p w14:paraId="4A4C24BE" w14:textId="51081CC4" w:rsidR="009E2CEA" w:rsidRPr="00F64D3B" w:rsidRDefault="00911787" w:rsidP="00973130">
      <w:pPr>
        <w:spacing w:line="360" w:lineRule="auto"/>
        <w:contextualSpacing/>
        <w:jc w:val="both"/>
        <w:rPr>
          <w:rFonts w:ascii="Arial" w:hAnsi="Arial" w:cs="Arial"/>
          <w:sz w:val="22"/>
          <w:szCs w:val="22"/>
        </w:rPr>
      </w:pPr>
      <w:r w:rsidRPr="00F64D3B">
        <w:rPr>
          <w:rFonts w:ascii="Arial" w:hAnsi="Arial" w:cs="Arial"/>
          <w:sz w:val="22"/>
          <w:szCs w:val="22"/>
        </w:rPr>
        <w:t xml:space="preserve">All </w:t>
      </w:r>
      <w:r w:rsidR="00E94209" w:rsidRPr="00F64D3B">
        <w:rPr>
          <w:rFonts w:ascii="Arial" w:hAnsi="Arial" w:cs="Arial"/>
          <w:sz w:val="22"/>
          <w:szCs w:val="22"/>
        </w:rPr>
        <w:t xml:space="preserve">analyses </w:t>
      </w:r>
      <w:r w:rsidR="008A1E68">
        <w:rPr>
          <w:rFonts w:ascii="Arial" w:hAnsi="Arial" w:cs="Arial"/>
          <w:sz w:val="22"/>
          <w:szCs w:val="22"/>
        </w:rPr>
        <w:t xml:space="preserve">except for PMF </w:t>
      </w:r>
      <w:r w:rsidR="00E94209" w:rsidRPr="00F64D3B">
        <w:rPr>
          <w:rFonts w:ascii="Arial" w:hAnsi="Arial" w:cs="Arial"/>
          <w:sz w:val="22"/>
          <w:szCs w:val="22"/>
        </w:rPr>
        <w:t xml:space="preserve">were </w:t>
      </w:r>
      <w:r w:rsidRPr="00F64D3B">
        <w:rPr>
          <w:rFonts w:ascii="Arial" w:hAnsi="Arial" w:cs="Arial"/>
          <w:sz w:val="22"/>
          <w:szCs w:val="22"/>
        </w:rPr>
        <w:t xml:space="preserve">conducted in R </w:t>
      </w:r>
      <w:r w:rsidR="00476364" w:rsidRPr="00F64D3B">
        <w:rPr>
          <w:rFonts w:ascii="Arial" w:hAnsi="Arial" w:cs="Arial"/>
          <w:sz w:val="22"/>
          <w:szCs w:val="22"/>
        </w:rPr>
        <w:t>version 4.5.0</w:t>
      </w:r>
      <w:r w:rsidR="00F859B9">
        <w:rPr>
          <w:rFonts w:ascii="Arial" w:hAnsi="Arial" w:cs="Arial"/>
          <w:sz w:val="22"/>
          <w:szCs w:val="22"/>
        </w:rPr>
        <w:t>.</w:t>
      </w:r>
      <w:r w:rsidR="00476364" w:rsidRPr="00F64D3B">
        <w:rPr>
          <w:rFonts w:ascii="Arial" w:hAnsi="Arial" w:cs="Arial"/>
          <w:sz w:val="22"/>
          <w:szCs w:val="22"/>
        </w:rPr>
        <w:fldChar w:fldCharType="begin"/>
      </w:r>
      <w:r w:rsidR="00BA6BE0">
        <w:rPr>
          <w:rFonts w:ascii="Arial" w:hAnsi="Arial" w:cs="Arial"/>
          <w:sz w:val="22"/>
          <w:szCs w:val="22"/>
        </w:rPr>
        <w:instrText xml:space="preserve"> ADDIN ZOTERO_ITEM CSL_CITATION {"citationID":"nBzvL6zB","properties":{"formattedCitation":"\\super 40\\nosupersub{}","plainCitation":"40","noteIndex":0},"citationItems":[{"id":16569,"uris":["http://zotero.org/groups/4923232/items/TNT4BLYA"],"itemData":{"id":16569,"type":"software","event-place":"Vienna, Austria","publisher":"R Foundation for Statistical Computing","publisher-place":"Vienna, Austria","title":"R: A Language and Environment for Statistical Computing","URL":"https://www.r-project.org/","version":"4.5.0","author":[{"literal":"R Core Team"}],"issued":{"date-parts":[["2025"]]}}}],"schema":"https://github.com/citation-style-language/schema/raw/master/csl-citation.json"} </w:instrText>
      </w:r>
      <w:r w:rsidR="00476364" w:rsidRPr="00F64D3B">
        <w:rPr>
          <w:rFonts w:ascii="Arial" w:hAnsi="Arial" w:cs="Arial"/>
          <w:sz w:val="22"/>
          <w:szCs w:val="22"/>
        </w:rPr>
        <w:fldChar w:fldCharType="separate"/>
      </w:r>
      <w:r w:rsidR="00BA6BE0" w:rsidRPr="00BA6BE0">
        <w:rPr>
          <w:rFonts w:ascii="Arial" w:hAnsi="Arial" w:cs="Arial"/>
          <w:kern w:val="0"/>
          <w:sz w:val="22"/>
          <w:vertAlign w:val="superscript"/>
        </w:rPr>
        <w:t>40</w:t>
      </w:r>
      <w:r w:rsidR="00476364" w:rsidRPr="00F64D3B">
        <w:rPr>
          <w:rFonts w:ascii="Arial" w:hAnsi="Arial" w:cs="Arial"/>
          <w:sz w:val="22"/>
          <w:szCs w:val="22"/>
        </w:rPr>
        <w:fldChar w:fldCharType="end"/>
      </w:r>
      <w:r w:rsidR="00FE2759" w:rsidRPr="00F64D3B">
        <w:rPr>
          <w:rFonts w:ascii="Arial" w:hAnsi="Arial" w:cs="Arial"/>
          <w:sz w:val="22"/>
          <w:szCs w:val="22"/>
        </w:rPr>
        <w:t xml:space="preserve"> </w:t>
      </w:r>
      <w:r w:rsidR="008A1E68">
        <w:rPr>
          <w:rFonts w:ascii="Arial" w:hAnsi="Arial" w:cs="Arial"/>
          <w:sz w:val="22"/>
          <w:szCs w:val="22"/>
        </w:rPr>
        <w:t>P</w:t>
      </w:r>
      <w:r w:rsidR="00F859B9">
        <w:rPr>
          <w:rFonts w:ascii="Arial" w:hAnsi="Arial" w:cs="Arial"/>
          <w:sz w:val="22"/>
          <w:szCs w:val="22"/>
        </w:rPr>
        <w:t xml:space="preserve">ositive matrix factorization </w:t>
      </w:r>
      <w:r w:rsidR="008A1E68">
        <w:rPr>
          <w:rFonts w:ascii="Arial" w:hAnsi="Arial" w:cs="Arial"/>
          <w:sz w:val="22"/>
          <w:szCs w:val="22"/>
        </w:rPr>
        <w:t>was conducted using the EPA PMF 5.0 software</w:t>
      </w:r>
      <w:r w:rsidR="005F0B84">
        <w:rPr>
          <w:rFonts w:ascii="Arial" w:hAnsi="Arial" w:cs="Arial"/>
          <w:sz w:val="22"/>
          <w:szCs w:val="22"/>
        </w:rPr>
        <w:t>.</w:t>
      </w:r>
      <w:r w:rsidR="001D5092">
        <w:rPr>
          <w:rFonts w:ascii="Arial" w:hAnsi="Arial" w:cs="Arial"/>
          <w:sz w:val="22"/>
          <w:szCs w:val="22"/>
        </w:rPr>
        <w:fldChar w:fldCharType="begin"/>
      </w:r>
      <w:r w:rsidR="00BA6BE0">
        <w:rPr>
          <w:rFonts w:ascii="Arial" w:hAnsi="Arial" w:cs="Arial"/>
          <w:sz w:val="22"/>
          <w:szCs w:val="22"/>
        </w:rPr>
        <w:instrText xml:space="preserve"> ADDIN ZOTERO_ITEM CSL_CITATION {"citationID":"vajDq7j6","properties":{"formattedCitation":"\\super 41\\nosupersub{}","plainCitation":"41","noteIndex":0},"citationItems":[{"id":16866,"uris":["http://zotero.org/groups/4923232/items/W9JXT8XQ"],"itemData":{"id":16866,"type":"software","publisher":"US Environmental Protection Agency","title":"EPA Positive Matrix Factorization","version":"5.0.14.21735","issued":{"date-parts":[["2013"]]}}}],"schema":"https://github.com/citation-style-language/schema/raw/master/csl-citation.json"} </w:instrText>
      </w:r>
      <w:r w:rsidR="001D5092">
        <w:rPr>
          <w:rFonts w:ascii="Arial" w:hAnsi="Arial" w:cs="Arial"/>
          <w:sz w:val="22"/>
          <w:szCs w:val="22"/>
        </w:rPr>
        <w:fldChar w:fldCharType="separate"/>
      </w:r>
      <w:r w:rsidR="00BA6BE0" w:rsidRPr="00BA6BE0">
        <w:rPr>
          <w:rFonts w:ascii="Arial" w:hAnsi="Arial" w:cs="Arial"/>
          <w:kern w:val="0"/>
          <w:sz w:val="22"/>
          <w:vertAlign w:val="superscript"/>
        </w:rPr>
        <w:t>41</w:t>
      </w:r>
      <w:r w:rsidR="001D5092">
        <w:rPr>
          <w:rFonts w:ascii="Arial" w:hAnsi="Arial" w:cs="Arial"/>
          <w:sz w:val="22"/>
          <w:szCs w:val="22"/>
        </w:rPr>
        <w:fldChar w:fldCharType="end"/>
      </w:r>
      <w:r w:rsidR="005F0B84">
        <w:rPr>
          <w:rFonts w:ascii="Arial" w:hAnsi="Arial" w:cs="Arial"/>
          <w:sz w:val="22"/>
          <w:szCs w:val="22"/>
        </w:rPr>
        <w:t xml:space="preserve"> </w:t>
      </w:r>
      <w:r w:rsidR="00FE2759" w:rsidRPr="00F64D3B">
        <w:rPr>
          <w:rFonts w:ascii="Arial" w:hAnsi="Arial" w:cs="Arial"/>
          <w:sz w:val="22"/>
          <w:szCs w:val="22"/>
        </w:rPr>
        <w:t xml:space="preserve">All </w:t>
      </w:r>
      <w:r w:rsidR="00F859B9">
        <w:rPr>
          <w:rFonts w:ascii="Arial" w:hAnsi="Arial" w:cs="Arial"/>
          <w:sz w:val="22"/>
          <w:szCs w:val="22"/>
        </w:rPr>
        <w:t xml:space="preserve">R </w:t>
      </w:r>
      <w:r w:rsidR="00FE2759" w:rsidRPr="00F64D3B">
        <w:rPr>
          <w:rFonts w:ascii="Arial" w:hAnsi="Arial" w:cs="Arial"/>
          <w:sz w:val="22"/>
          <w:szCs w:val="22"/>
        </w:rPr>
        <w:t xml:space="preserve">code, data, and results can be accessed at </w:t>
      </w:r>
      <w:commentRangeStart w:id="8"/>
      <w:r w:rsidR="008D3AB3" w:rsidRPr="00F64D3B">
        <w:rPr>
          <w:rFonts w:ascii="Arial" w:hAnsi="Arial" w:cs="Arial"/>
          <w:sz w:val="22"/>
          <w:szCs w:val="22"/>
        </w:rPr>
        <w:t>https://github.com/Lfrueh/thriveair_analysis</w:t>
      </w:r>
      <w:commentRangeEnd w:id="8"/>
      <w:r w:rsidR="00B80064">
        <w:rPr>
          <w:rStyle w:val="CommentReference"/>
        </w:rPr>
        <w:commentReference w:id="8"/>
      </w:r>
      <w:r w:rsidR="008D3AB3" w:rsidRPr="00F64D3B">
        <w:rPr>
          <w:rFonts w:ascii="Arial" w:hAnsi="Arial" w:cs="Arial"/>
          <w:sz w:val="22"/>
          <w:szCs w:val="22"/>
        </w:rPr>
        <w:t>.</w:t>
      </w:r>
      <w:r w:rsidR="00B80064">
        <w:rPr>
          <w:rFonts w:ascii="Arial" w:hAnsi="Arial" w:cs="Arial"/>
          <w:sz w:val="22"/>
          <w:szCs w:val="22"/>
        </w:rPr>
        <w:t xml:space="preserve"> An interactive data dashboard</w:t>
      </w:r>
      <w:r w:rsidR="00406099">
        <w:rPr>
          <w:rFonts w:ascii="Arial" w:hAnsi="Arial" w:cs="Arial"/>
          <w:sz w:val="22"/>
          <w:szCs w:val="22"/>
        </w:rPr>
        <w:t xml:space="preserve"> is available at </w:t>
      </w:r>
      <w:r w:rsidR="00406099" w:rsidRPr="00406099">
        <w:rPr>
          <w:rFonts w:ascii="Arial" w:hAnsi="Arial" w:cs="Arial"/>
          <w:sz w:val="22"/>
          <w:szCs w:val="22"/>
        </w:rPr>
        <w:t>https://lisa-frueh.shinyapps.io/THRIVEair_results/</w:t>
      </w:r>
      <w:r w:rsidR="00406099">
        <w:rPr>
          <w:rFonts w:ascii="Arial" w:hAnsi="Arial" w:cs="Arial"/>
          <w:sz w:val="22"/>
          <w:szCs w:val="22"/>
        </w:rPr>
        <w:t>.</w:t>
      </w:r>
    </w:p>
    <w:p w14:paraId="29B4032D" w14:textId="6D9BC646" w:rsidR="0023286B" w:rsidRPr="00F64D3B" w:rsidRDefault="0023286B" w:rsidP="00973130">
      <w:pPr>
        <w:spacing w:line="360" w:lineRule="auto"/>
        <w:contextualSpacing/>
        <w:jc w:val="both"/>
        <w:rPr>
          <w:rFonts w:ascii="Arial" w:hAnsi="Arial" w:cs="Arial"/>
          <w:sz w:val="22"/>
          <w:szCs w:val="22"/>
        </w:rPr>
      </w:pPr>
    </w:p>
    <w:p w14:paraId="1AB2BFAE" w14:textId="18C0CF66" w:rsidR="000F5867" w:rsidRPr="00F64D3B" w:rsidRDefault="00216DE2" w:rsidP="00973130">
      <w:pPr>
        <w:spacing w:line="360" w:lineRule="auto"/>
        <w:jc w:val="both"/>
        <w:rPr>
          <w:rFonts w:ascii="Arial" w:hAnsi="Arial" w:cs="Arial"/>
          <w:b/>
          <w:bCs/>
          <w:sz w:val="22"/>
          <w:szCs w:val="22"/>
        </w:rPr>
      </w:pPr>
      <w:r w:rsidRPr="00F64D3B">
        <w:rPr>
          <w:rFonts w:ascii="Arial" w:hAnsi="Arial" w:cs="Arial"/>
          <w:b/>
          <w:bCs/>
          <w:sz w:val="22"/>
          <w:szCs w:val="22"/>
        </w:rPr>
        <w:t>RESULTS</w:t>
      </w:r>
    </w:p>
    <w:p w14:paraId="101650F0" w14:textId="1F7ACEBD" w:rsidR="0014142F" w:rsidRPr="00F64D3B" w:rsidRDefault="0014142F" w:rsidP="00973130">
      <w:pPr>
        <w:spacing w:line="360" w:lineRule="auto"/>
        <w:jc w:val="both"/>
        <w:rPr>
          <w:rFonts w:ascii="Arial" w:hAnsi="Arial" w:cs="Arial"/>
          <w:sz w:val="22"/>
          <w:szCs w:val="22"/>
          <w:u w:val="single"/>
        </w:rPr>
      </w:pPr>
      <w:r w:rsidRPr="00F64D3B">
        <w:rPr>
          <w:rFonts w:ascii="Arial" w:hAnsi="Arial" w:cs="Arial"/>
          <w:sz w:val="22"/>
          <w:szCs w:val="22"/>
          <w:u w:val="single"/>
        </w:rPr>
        <w:t>Detection Rates and Reliability</w:t>
      </w:r>
    </w:p>
    <w:p w14:paraId="2AA4763E" w14:textId="126B0677" w:rsidR="000E25BA" w:rsidRDefault="00BF2D99" w:rsidP="00973130">
      <w:pPr>
        <w:spacing w:line="360" w:lineRule="auto"/>
        <w:jc w:val="both"/>
        <w:rPr>
          <w:rFonts w:ascii="Arial" w:hAnsi="Arial" w:cs="Arial"/>
          <w:sz w:val="22"/>
          <w:szCs w:val="22"/>
        </w:rPr>
      </w:pPr>
      <w:r w:rsidRPr="00F64D3B">
        <w:rPr>
          <w:rFonts w:ascii="Arial" w:hAnsi="Arial" w:cs="Arial"/>
          <w:sz w:val="22"/>
          <w:szCs w:val="22"/>
        </w:rPr>
        <w:t xml:space="preserve">We were able to detect most compounds with high frequency </w:t>
      </w:r>
      <w:r w:rsidR="000E25BA">
        <w:rPr>
          <w:rFonts w:ascii="Arial" w:hAnsi="Arial" w:cs="Arial"/>
          <w:sz w:val="22"/>
          <w:szCs w:val="22"/>
        </w:rPr>
        <w:t xml:space="preserve">and with high reliability between paired field samples </w:t>
      </w:r>
      <w:r w:rsidRPr="00F64D3B">
        <w:rPr>
          <w:rFonts w:ascii="Arial" w:hAnsi="Arial" w:cs="Arial"/>
          <w:sz w:val="22"/>
          <w:szCs w:val="22"/>
        </w:rPr>
        <w:t>(</w:t>
      </w:r>
      <w:r w:rsidRPr="00F64D3B">
        <w:rPr>
          <w:rFonts w:ascii="Arial" w:hAnsi="Arial" w:cs="Arial"/>
          <w:b/>
          <w:bCs/>
          <w:sz w:val="22"/>
          <w:szCs w:val="22"/>
        </w:rPr>
        <w:t>Table S1</w:t>
      </w:r>
      <w:r w:rsidRPr="00F64D3B">
        <w:rPr>
          <w:rFonts w:ascii="Arial" w:hAnsi="Arial" w:cs="Arial"/>
          <w:sz w:val="22"/>
          <w:szCs w:val="22"/>
        </w:rPr>
        <w:t>)</w:t>
      </w:r>
      <w:r w:rsidR="00615282" w:rsidRPr="00F64D3B">
        <w:rPr>
          <w:rFonts w:ascii="Arial" w:hAnsi="Arial" w:cs="Arial"/>
          <w:sz w:val="22"/>
          <w:szCs w:val="22"/>
        </w:rPr>
        <w:t xml:space="preserve">. </w:t>
      </w:r>
      <w:r w:rsidR="00936DE9">
        <w:rPr>
          <w:rFonts w:ascii="Arial" w:hAnsi="Arial" w:cs="Arial"/>
          <w:sz w:val="22"/>
          <w:szCs w:val="22"/>
        </w:rPr>
        <w:t xml:space="preserve">We excluded the following compounds from further analysis: </w:t>
      </w:r>
      <w:r w:rsidR="0047635F">
        <w:rPr>
          <w:rFonts w:ascii="Arial" w:hAnsi="Arial" w:cs="Arial"/>
          <w:sz w:val="22"/>
          <w:szCs w:val="22"/>
        </w:rPr>
        <w:t xml:space="preserve">octane, nonane, 1-hexene, </w:t>
      </w:r>
      <w:r w:rsidR="00936DE9">
        <w:rPr>
          <w:rFonts w:ascii="Arial" w:hAnsi="Arial" w:cs="Arial"/>
          <w:sz w:val="22"/>
          <w:szCs w:val="22"/>
        </w:rPr>
        <w:t xml:space="preserve">and chloroform (low detection rates); </w:t>
      </w:r>
      <w:r w:rsidR="00AD06A1">
        <w:rPr>
          <w:rFonts w:ascii="Arial" w:hAnsi="Arial" w:cs="Arial"/>
          <w:sz w:val="22"/>
          <w:szCs w:val="22"/>
        </w:rPr>
        <w:t xml:space="preserve">1,4-diethylbenzene, 1-ethyl-2-methylbenzene, </w:t>
      </w:r>
      <w:proofErr w:type="spellStart"/>
      <w:r w:rsidR="00AD06A1">
        <w:rPr>
          <w:rFonts w:ascii="Arial" w:hAnsi="Arial" w:cs="Arial"/>
          <w:sz w:val="22"/>
          <w:szCs w:val="22"/>
        </w:rPr>
        <w:t>propylbenzene</w:t>
      </w:r>
      <w:proofErr w:type="spellEnd"/>
      <w:r w:rsidR="00AD06A1">
        <w:rPr>
          <w:rFonts w:ascii="Arial" w:hAnsi="Arial" w:cs="Arial"/>
          <w:sz w:val="22"/>
          <w:szCs w:val="22"/>
        </w:rPr>
        <w:t>, dodecane</w:t>
      </w:r>
      <w:r w:rsidR="001C16AF">
        <w:rPr>
          <w:rFonts w:ascii="Arial" w:hAnsi="Arial" w:cs="Arial"/>
          <w:sz w:val="22"/>
          <w:szCs w:val="22"/>
        </w:rPr>
        <w:t>, and isoprene (poor</w:t>
      </w:r>
      <w:r w:rsidR="000001D5">
        <w:rPr>
          <w:rFonts w:ascii="Arial" w:hAnsi="Arial" w:cs="Arial"/>
          <w:sz w:val="22"/>
          <w:szCs w:val="22"/>
        </w:rPr>
        <w:t>/fair</w:t>
      </w:r>
      <w:r w:rsidR="001C16AF">
        <w:rPr>
          <w:rFonts w:ascii="Arial" w:hAnsi="Arial" w:cs="Arial"/>
          <w:sz w:val="22"/>
          <w:szCs w:val="22"/>
        </w:rPr>
        <w:t xml:space="preserve"> reliability); 2-hexanone, methyl isobutyl ketone, and 1,2-dichlorobenzene (</w:t>
      </w:r>
      <w:r w:rsidR="000001D5">
        <w:rPr>
          <w:rFonts w:ascii="Arial" w:hAnsi="Arial" w:cs="Arial"/>
          <w:sz w:val="22"/>
          <w:szCs w:val="22"/>
        </w:rPr>
        <w:t>both low detection and poor/fair reliability)</w:t>
      </w:r>
      <w:r w:rsidR="00CC083B">
        <w:rPr>
          <w:rFonts w:ascii="Arial" w:hAnsi="Arial" w:cs="Arial"/>
          <w:sz w:val="22"/>
          <w:szCs w:val="22"/>
        </w:rPr>
        <w:t xml:space="preserve">, leaving 26 compounds for further analysis. </w:t>
      </w:r>
    </w:p>
    <w:p w14:paraId="2CBE05F8" w14:textId="77777777" w:rsidR="00573650" w:rsidRPr="00F64D3B" w:rsidRDefault="00573650" w:rsidP="00973130">
      <w:pPr>
        <w:spacing w:line="360" w:lineRule="auto"/>
        <w:jc w:val="both"/>
        <w:rPr>
          <w:rFonts w:ascii="Arial" w:hAnsi="Arial" w:cs="Arial"/>
          <w:sz w:val="22"/>
          <w:szCs w:val="22"/>
        </w:rPr>
      </w:pPr>
    </w:p>
    <w:p w14:paraId="479107BE" w14:textId="270EAA89" w:rsidR="00F8510C" w:rsidRPr="00F64D3B" w:rsidRDefault="00F8510C" w:rsidP="00973130">
      <w:pPr>
        <w:spacing w:line="360" w:lineRule="auto"/>
        <w:jc w:val="both"/>
        <w:rPr>
          <w:rFonts w:ascii="Arial" w:hAnsi="Arial" w:cs="Arial"/>
          <w:sz w:val="22"/>
          <w:szCs w:val="22"/>
          <w:u w:val="single"/>
        </w:rPr>
      </w:pPr>
      <w:r w:rsidRPr="00F64D3B">
        <w:rPr>
          <w:rFonts w:ascii="Arial" w:hAnsi="Arial" w:cs="Arial"/>
          <w:sz w:val="22"/>
          <w:szCs w:val="22"/>
          <w:u w:val="single"/>
        </w:rPr>
        <w:t>Summary Statistics</w:t>
      </w:r>
    </w:p>
    <w:p w14:paraId="299EB7A5" w14:textId="69C5D274" w:rsidR="005803BE" w:rsidRPr="00F64D3B" w:rsidRDefault="0031324A" w:rsidP="00973130">
      <w:pPr>
        <w:spacing w:line="360" w:lineRule="auto"/>
        <w:jc w:val="both"/>
        <w:rPr>
          <w:rFonts w:ascii="Arial" w:hAnsi="Arial" w:cs="Arial"/>
          <w:sz w:val="22"/>
          <w:szCs w:val="22"/>
        </w:rPr>
      </w:pPr>
      <w:r w:rsidRPr="00F64D3B">
        <w:rPr>
          <w:rFonts w:ascii="Arial" w:hAnsi="Arial" w:cs="Arial"/>
          <w:sz w:val="22"/>
          <w:szCs w:val="22"/>
        </w:rPr>
        <w:t>VOC concentrations were generally low (</w:t>
      </w:r>
      <w:r w:rsidRPr="00F64D3B">
        <w:rPr>
          <w:rFonts w:ascii="Arial" w:hAnsi="Arial" w:cs="Arial"/>
          <w:b/>
          <w:bCs/>
          <w:sz w:val="22"/>
          <w:szCs w:val="22"/>
        </w:rPr>
        <w:t>Table 1</w:t>
      </w:r>
      <w:r w:rsidRPr="00F64D3B">
        <w:rPr>
          <w:rFonts w:ascii="Arial" w:hAnsi="Arial" w:cs="Arial"/>
          <w:sz w:val="22"/>
          <w:szCs w:val="22"/>
        </w:rPr>
        <w:t>)</w:t>
      </w:r>
      <w:r w:rsidR="005803BE" w:rsidRPr="00F64D3B">
        <w:rPr>
          <w:rFonts w:ascii="Arial" w:hAnsi="Arial" w:cs="Arial"/>
          <w:sz w:val="22"/>
          <w:szCs w:val="22"/>
        </w:rPr>
        <w:t xml:space="preserve">. </w:t>
      </w:r>
      <w:r w:rsidR="00C01833" w:rsidRPr="00F64D3B">
        <w:rPr>
          <w:rFonts w:ascii="Arial" w:hAnsi="Arial" w:cs="Arial"/>
          <w:sz w:val="22"/>
          <w:szCs w:val="22"/>
        </w:rPr>
        <w:t xml:space="preserve">Temporal trends </w:t>
      </w:r>
      <w:r w:rsidR="003F50D8" w:rsidRPr="00F64D3B">
        <w:rPr>
          <w:rFonts w:ascii="Arial" w:hAnsi="Arial" w:cs="Arial"/>
          <w:sz w:val="22"/>
          <w:szCs w:val="22"/>
        </w:rPr>
        <w:t xml:space="preserve">differed </w:t>
      </w:r>
      <w:r w:rsidR="004329E0">
        <w:rPr>
          <w:rFonts w:ascii="Arial" w:hAnsi="Arial" w:cs="Arial"/>
          <w:sz w:val="22"/>
          <w:szCs w:val="22"/>
        </w:rPr>
        <w:t xml:space="preserve">across </w:t>
      </w:r>
      <w:r w:rsidR="00F53261" w:rsidRPr="00F64D3B">
        <w:rPr>
          <w:rFonts w:ascii="Arial" w:hAnsi="Arial" w:cs="Arial"/>
          <w:sz w:val="22"/>
          <w:szCs w:val="22"/>
        </w:rPr>
        <w:t>VOCs</w:t>
      </w:r>
      <w:r w:rsidR="003F50D8" w:rsidRPr="00F64D3B">
        <w:rPr>
          <w:rFonts w:ascii="Arial" w:hAnsi="Arial" w:cs="Arial"/>
          <w:sz w:val="22"/>
          <w:szCs w:val="22"/>
        </w:rPr>
        <w:t>—for example, BTEX concentrations were highest in winter (</w:t>
      </w:r>
      <w:r w:rsidR="003F50D8" w:rsidRPr="00F64D3B">
        <w:rPr>
          <w:rFonts w:ascii="Arial" w:hAnsi="Arial" w:cs="Arial"/>
          <w:b/>
          <w:bCs/>
          <w:sz w:val="22"/>
          <w:szCs w:val="22"/>
        </w:rPr>
        <w:t>Figure S</w:t>
      </w:r>
      <w:r w:rsidR="00EC742E">
        <w:rPr>
          <w:rFonts w:ascii="Arial" w:hAnsi="Arial" w:cs="Arial"/>
          <w:b/>
          <w:bCs/>
          <w:sz w:val="22"/>
          <w:szCs w:val="22"/>
        </w:rPr>
        <w:t>3</w:t>
      </w:r>
      <w:r w:rsidR="003F50D8" w:rsidRPr="00F64D3B">
        <w:rPr>
          <w:rFonts w:ascii="Arial" w:hAnsi="Arial" w:cs="Arial"/>
          <w:sz w:val="22"/>
          <w:szCs w:val="22"/>
        </w:rPr>
        <w:t>),</w:t>
      </w:r>
      <w:r w:rsidR="002C6D83">
        <w:rPr>
          <w:rFonts w:ascii="Arial" w:hAnsi="Arial" w:cs="Arial"/>
          <w:sz w:val="22"/>
          <w:szCs w:val="22"/>
        </w:rPr>
        <w:t xml:space="preserve"> consistent with prior research,</w:t>
      </w:r>
      <w:r w:rsidR="002C6D83">
        <w:rPr>
          <w:rFonts w:ascii="Arial" w:hAnsi="Arial" w:cs="Arial"/>
          <w:sz w:val="22"/>
          <w:szCs w:val="22"/>
        </w:rPr>
        <w:fldChar w:fldCharType="begin"/>
      </w:r>
      <w:r w:rsidR="00BA6BE0">
        <w:rPr>
          <w:rFonts w:ascii="Arial" w:hAnsi="Arial" w:cs="Arial"/>
          <w:sz w:val="22"/>
          <w:szCs w:val="22"/>
        </w:rPr>
        <w:instrText xml:space="preserve"> ADDIN ZOTERO_ITEM CSL_CITATION {"citationID":"kL5151LS","properties":{"formattedCitation":"\\super 42\\nosupersub{}","plainCitation":"42","noteIndex":0},"citationItems":[{"id":16867,"uris":["http://zotero.org/groups/4923232/items/V683CIQV"],"itemData":{"id":16867,"type":"article-journal","abstract":"BTEX (benzene, toluene, ethylbenzene, and m-xylene,p-xylene, and o-xylene) are significant urban air pollutants. This study examines BTEX variability across 7 European countries using data from 22 monitoring sites in different urban settings (urban background, traffic, industry, and suburban background). Results indicate that the relative abundance of BTEX in urban areas follows the order toluene &amp;gt; benzene &amp;gt; m,p-xylene &amp;gt; o-xylene &amp;gt; ethylbenzene, with median mixing ratios of 266 ± 152, 163 ± 74, 129 ± 88, 53 ± 35, and 45 ± 27 ppt during the years 2017–2022, respectively. Seasonal trends show benzene had similar median concentrations across urban background, traffic, and industrial sites, indicating mixed sources. Toluene levels were highest in traffic and industrial areas, highlighting road traffic and industrial emissions. Ethylbenzene and xylenes showed equivalent levels in traffic and industrial areas but were lower in urban backgrounds. Peak BTEX levels occurred during morning and evening rush hours, linked to traffic, heating, and atmospheric stagnation. B/T ratios ranged from 0.29 ± 0.11 to 1.35 ± 0.95, and X/E ratios ranged from 1.75 ± 0.91 to 3.68 ± 0.30, indicating primary pollution from local traffic, followed by solvents, coatings, and biomass burning. Lifetime cancer risk from BTEX exposure was below the definite risk threshold (10−4) but above the permissible risk level (10−6), suggesting moderate risk from benzene and ethylbenzene, particularly in traffic and industrial areas. Additionally, the health index of BTEX at monitoring sites was generally lower than the threshold limit value, suggesting a low non-carcinogenic risk overall. This study offers essential insights into BTEX pollution in urban European environments.","container-title":"Atmospheric Chemistry and Physics","DOI":"10.5194/acp-25-625-2025","ISSN":"1680-7316","issue":"1","language":"English","note":"publisher: Copernicus GmbH","page":"625-638","source":"Copernicus Online Journals","title":"Measurement report: Exploring the variations in ambient BTEX in urban Europe and their environmental health implications","title-short":"Measurement report","volume":"25","author":[{"family":"Liu","given":"Xiansheng"},{"family":"Zhang","given":"Xun"},{"family":"Dufresne","given":"Marvin"},{"family":"Wang","given":"Tao"},{"family":"Wu","given":"Lijie"},{"family":"Lara","given":"Rosa"},{"family":"Seco","given":"Roger"},{"family":"Monge","given":"Marta"},{"family":"Yáñez-Serrano","given":"Ana Maria"},{"family":"Gohy","given":"Marie"},{"family":"Petit","given":"Paul"},{"family":"Chevalier","given":"Audrey"},{"family":"Vagnot","given":"Marie-Pierre"},{"family":"Fortier","given":"Yann"},{"family":"Baudic","given":"Alexia"},{"family":"Ghersi","given":"Véronique"},{"family":"Gille","given":"Grégory"},{"family":"Lanzi","given":"Ludovic"},{"family":"Gros","given":"Valérie"},{"family":"Simon","given":"Leïla"},{"family":"Héllen","given":"Heidi"},{"family":"Reimann","given":"Stefan"},{"family":"Le Bras","given":"Zoé"},{"family":"Müller","given":"Michelle Jessy"},{"family":"Beddows","given":"David"},{"family":"Hou","given":"Siqi"},{"family":"Shi","given":"Zongbo"},{"family":"Harrison","given":"Roy M."},{"family":"Bloss","given":"William"},{"family":"Dernie","given":"James"},{"family":"Sauvage","given":"Stéphane"},{"family":"Hopke","given":"Philip K."},{"family":"Duan","given":"Xiaoli"},{"family":"An","given":"Taicheng"},{"family":"Lewis","given":"Alastair C."},{"family":"Hopkins","given":"James R."},{"family":"Liakakou","given":"Eleni"},{"family":"Mihalopoulos","given":"Nikolaos"},{"family":"Zhang","given":"Xiaohu"},{"family":"Alastuey","given":"Andrés"},{"family":"Querol","given":"Xavier"},{"family":"Salameh","given":"Thérèse"}],"issued":{"date-parts":[["2025",1,17]]}}}],"schema":"https://github.com/citation-style-language/schema/raw/master/csl-citation.json"} </w:instrText>
      </w:r>
      <w:r w:rsidR="002C6D83">
        <w:rPr>
          <w:rFonts w:ascii="Arial" w:hAnsi="Arial" w:cs="Arial"/>
          <w:sz w:val="22"/>
          <w:szCs w:val="22"/>
        </w:rPr>
        <w:fldChar w:fldCharType="separate"/>
      </w:r>
      <w:r w:rsidR="00BA6BE0" w:rsidRPr="00BA6BE0">
        <w:rPr>
          <w:rFonts w:ascii="Arial" w:hAnsi="Arial" w:cs="Arial"/>
          <w:kern w:val="0"/>
          <w:sz w:val="22"/>
          <w:vertAlign w:val="superscript"/>
        </w:rPr>
        <w:t>42</w:t>
      </w:r>
      <w:r w:rsidR="002C6D83">
        <w:rPr>
          <w:rFonts w:ascii="Arial" w:hAnsi="Arial" w:cs="Arial"/>
          <w:sz w:val="22"/>
          <w:szCs w:val="22"/>
        </w:rPr>
        <w:fldChar w:fldCharType="end"/>
      </w:r>
      <w:r w:rsidR="003F50D8" w:rsidRPr="00F64D3B">
        <w:rPr>
          <w:rFonts w:ascii="Arial" w:hAnsi="Arial" w:cs="Arial"/>
          <w:sz w:val="22"/>
          <w:szCs w:val="22"/>
        </w:rPr>
        <w:t xml:space="preserve"> </w:t>
      </w:r>
      <w:r w:rsidR="00F53261" w:rsidRPr="00F64D3B">
        <w:rPr>
          <w:rFonts w:ascii="Arial" w:hAnsi="Arial" w:cs="Arial"/>
          <w:sz w:val="22"/>
          <w:szCs w:val="22"/>
        </w:rPr>
        <w:t>while isoprene concentrations peaked in summer</w:t>
      </w:r>
      <w:r w:rsidR="0081109D">
        <w:rPr>
          <w:rFonts w:ascii="Arial" w:hAnsi="Arial" w:cs="Arial"/>
          <w:sz w:val="22"/>
          <w:szCs w:val="22"/>
        </w:rPr>
        <w:t xml:space="preserve"> (</w:t>
      </w:r>
      <w:r w:rsidR="00F53261" w:rsidRPr="00F64D3B">
        <w:rPr>
          <w:rFonts w:ascii="Arial" w:hAnsi="Arial" w:cs="Arial"/>
          <w:sz w:val="22"/>
          <w:szCs w:val="22"/>
        </w:rPr>
        <w:t xml:space="preserve">consistent with </w:t>
      </w:r>
      <w:r w:rsidR="00267B8C">
        <w:rPr>
          <w:rFonts w:ascii="Arial" w:hAnsi="Arial" w:cs="Arial"/>
          <w:sz w:val="22"/>
          <w:szCs w:val="22"/>
        </w:rPr>
        <w:t>biogenic</w:t>
      </w:r>
      <w:r w:rsidR="00F53261" w:rsidRPr="00F64D3B">
        <w:rPr>
          <w:rFonts w:ascii="Arial" w:hAnsi="Arial" w:cs="Arial"/>
          <w:sz w:val="22"/>
          <w:szCs w:val="22"/>
        </w:rPr>
        <w:t xml:space="preserve"> </w:t>
      </w:r>
      <w:r w:rsidR="0081109D">
        <w:rPr>
          <w:rFonts w:ascii="Arial" w:hAnsi="Arial" w:cs="Arial"/>
          <w:sz w:val="22"/>
          <w:szCs w:val="22"/>
        </w:rPr>
        <w:t xml:space="preserve">isoprene </w:t>
      </w:r>
      <w:r w:rsidR="00F53261" w:rsidRPr="00F64D3B">
        <w:rPr>
          <w:rFonts w:ascii="Arial" w:hAnsi="Arial" w:cs="Arial"/>
          <w:sz w:val="22"/>
          <w:szCs w:val="22"/>
        </w:rPr>
        <w:t>emissions</w:t>
      </w:r>
      <w:r w:rsidR="000C7351">
        <w:rPr>
          <w:rFonts w:ascii="Arial" w:hAnsi="Arial" w:cs="Arial"/>
          <w:sz w:val="22"/>
          <w:szCs w:val="22"/>
        </w:rPr>
        <w:t>)</w:t>
      </w:r>
      <w:r w:rsidR="00F53261" w:rsidRPr="00F64D3B">
        <w:rPr>
          <w:rFonts w:ascii="Arial" w:hAnsi="Arial" w:cs="Arial"/>
          <w:sz w:val="22"/>
          <w:szCs w:val="22"/>
        </w:rPr>
        <w:t xml:space="preserve"> (</w:t>
      </w:r>
      <w:r w:rsidR="00F53261" w:rsidRPr="00F64D3B">
        <w:rPr>
          <w:rFonts w:ascii="Arial" w:hAnsi="Arial" w:cs="Arial"/>
          <w:b/>
          <w:bCs/>
          <w:sz w:val="22"/>
          <w:szCs w:val="22"/>
        </w:rPr>
        <w:t>Figure S</w:t>
      </w:r>
      <w:r w:rsidR="00E05914">
        <w:rPr>
          <w:rFonts w:ascii="Arial" w:hAnsi="Arial" w:cs="Arial"/>
          <w:b/>
          <w:bCs/>
          <w:sz w:val="22"/>
          <w:szCs w:val="22"/>
        </w:rPr>
        <w:t>8</w:t>
      </w:r>
      <w:r w:rsidR="00F53261" w:rsidRPr="00F64D3B">
        <w:rPr>
          <w:rFonts w:ascii="Arial" w:hAnsi="Arial" w:cs="Arial"/>
          <w:sz w:val="22"/>
          <w:szCs w:val="22"/>
        </w:rPr>
        <w:t xml:space="preserve">). </w:t>
      </w:r>
      <w:r w:rsidR="004C0A27" w:rsidRPr="00F64D3B">
        <w:rPr>
          <w:rFonts w:ascii="Arial" w:hAnsi="Arial" w:cs="Arial"/>
          <w:sz w:val="22"/>
          <w:szCs w:val="22"/>
        </w:rPr>
        <w:t>Most alkanes showed little temporal variation</w:t>
      </w:r>
      <w:r w:rsidR="00570A52" w:rsidRPr="00F64D3B">
        <w:rPr>
          <w:rFonts w:ascii="Arial" w:hAnsi="Arial" w:cs="Arial"/>
          <w:sz w:val="22"/>
          <w:szCs w:val="22"/>
        </w:rPr>
        <w:t xml:space="preserve"> (</w:t>
      </w:r>
      <w:r w:rsidR="00570A52" w:rsidRPr="00F64D3B">
        <w:rPr>
          <w:rFonts w:ascii="Arial" w:hAnsi="Arial" w:cs="Arial"/>
          <w:b/>
          <w:bCs/>
          <w:sz w:val="22"/>
          <w:szCs w:val="22"/>
        </w:rPr>
        <w:t>Figures S</w:t>
      </w:r>
      <w:r w:rsidR="00B90485">
        <w:rPr>
          <w:rFonts w:ascii="Arial" w:hAnsi="Arial" w:cs="Arial"/>
          <w:b/>
          <w:bCs/>
          <w:sz w:val="22"/>
          <w:szCs w:val="22"/>
        </w:rPr>
        <w:t>5</w:t>
      </w:r>
      <w:r w:rsidR="00570A52" w:rsidRPr="00F64D3B">
        <w:rPr>
          <w:rFonts w:ascii="Arial" w:hAnsi="Arial" w:cs="Arial"/>
          <w:b/>
          <w:bCs/>
          <w:sz w:val="22"/>
          <w:szCs w:val="22"/>
        </w:rPr>
        <w:t xml:space="preserve"> &amp; S</w:t>
      </w:r>
      <w:r w:rsidR="00B90485">
        <w:rPr>
          <w:rFonts w:ascii="Arial" w:hAnsi="Arial" w:cs="Arial"/>
          <w:b/>
          <w:bCs/>
          <w:sz w:val="22"/>
          <w:szCs w:val="22"/>
        </w:rPr>
        <w:t>7</w:t>
      </w:r>
      <w:r w:rsidR="00570A52" w:rsidRPr="00F64D3B">
        <w:rPr>
          <w:rFonts w:ascii="Arial" w:hAnsi="Arial" w:cs="Arial"/>
          <w:sz w:val="22"/>
          <w:szCs w:val="22"/>
        </w:rPr>
        <w:t>)</w:t>
      </w:r>
      <w:r w:rsidR="004C0A27" w:rsidRPr="00F64D3B">
        <w:rPr>
          <w:rFonts w:ascii="Arial" w:hAnsi="Arial" w:cs="Arial"/>
          <w:sz w:val="22"/>
          <w:szCs w:val="22"/>
        </w:rPr>
        <w:t xml:space="preserve">, </w:t>
      </w:r>
      <w:commentRangeStart w:id="9"/>
      <w:r w:rsidR="004C0A27" w:rsidRPr="00F64D3B">
        <w:rPr>
          <w:rFonts w:ascii="Arial" w:hAnsi="Arial" w:cs="Arial"/>
          <w:sz w:val="22"/>
          <w:szCs w:val="22"/>
        </w:rPr>
        <w:t>though long-chain alkanes (C10-C12) appeared to decrease across the study period overall (</w:t>
      </w:r>
      <w:r w:rsidR="004C0A27" w:rsidRPr="00F64D3B">
        <w:rPr>
          <w:rFonts w:ascii="Arial" w:hAnsi="Arial" w:cs="Arial"/>
          <w:b/>
          <w:bCs/>
          <w:sz w:val="22"/>
          <w:szCs w:val="22"/>
        </w:rPr>
        <w:t>Figure S</w:t>
      </w:r>
      <w:r w:rsidR="000F19D5">
        <w:rPr>
          <w:rFonts w:ascii="Arial" w:hAnsi="Arial" w:cs="Arial"/>
          <w:b/>
          <w:bCs/>
          <w:sz w:val="22"/>
          <w:szCs w:val="22"/>
        </w:rPr>
        <w:t>6</w:t>
      </w:r>
      <w:r w:rsidR="004C0A27" w:rsidRPr="00F64D3B">
        <w:rPr>
          <w:rFonts w:ascii="Arial" w:hAnsi="Arial" w:cs="Arial"/>
          <w:sz w:val="22"/>
          <w:szCs w:val="22"/>
        </w:rPr>
        <w:t>)</w:t>
      </w:r>
      <w:r w:rsidR="00570A52" w:rsidRPr="00F64D3B">
        <w:rPr>
          <w:rFonts w:ascii="Arial" w:hAnsi="Arial" w:cs="Arial"/>
          <w:sz w:val="22"/>
          <w:szCs w:val="22"/>
        </w:rPr>
        <w:t>.</w:t>
      </w:r>
      <w:commentRangeEnd w:id="9"/>
      <w:r w:rsidR="005954D2">
        <w:rPr>
          <w:rStyle w:val="CommentReference"/>
        </w:rPr>
        <w:commentReference w:id="9"/>
      </w:r>
    </w:p>
    <w:p w14:paraId="6DC8309F" w14:textId="77777777" w:rsidR="00570A52" w:rsidRPr="00F64D3B" w:rsidRDefault="00570A52" w:rsidP="00973130">
      <w:pPr>
        <w:spacing w:line="360" w:lineRule="auto"/>
        <w:jc w:val="both"/>
        <w:rPr>
          <w:rFonts w:ascii="Arial" w:hAnsi="Arial" w:cs="Arial"/>
          <w:sz w:val="22"/>
          <w:szCs w:val="22"/>
        </w:rPr>
      </w:pPr>
    </w:p>
    <w:p w14:paraId="006287F5" w14:textId="720D54DE" w:rsidR="0033528A" w:rsidRPr="00F64D3B" w:rsidRDefault="00570A52" w:rsidP="00973130">
      <w:pPr>
        <w:spacing w:line="360" w:lineRule="auto"/>
        <w:jc w:val="both"/>
        <w:rPr>
          <w:rFonts w:ascii="Arial" w:hAnsi="Arial" w:cs="Arial"/>
          <w:sz w:val="22"/>
          <w:szCs w:val="22"/>
        </w:rPr>
      </w:pPr>
      <w:r w:rsidRPr="00F64D3B">
        <w:rPr>
          <w:rFonts w:ascii="Arial" w:hAnsi="Arial" w:cs="Arial"/>
          <w:sz w:val="22"/>
          <w:szCs w:val="22"/>
        </w:rPr>
        <w:t xml:space="preserve">VOC concentrations differed by land use and traffic categories. </w:t>
      </w:r>
      <w:r w:rsidR="00E05D8D" w:rsidRPr="00F64D3B">
        <w:rPr>
          <w:rFonts w:ascii="Arial" w:hAnsi="Arial" w:cs="Arial"/>
          <w:sz w:val="22"/>
          <w:szCs w:val="22"/>
        </w:rPr>
        <w:t xml:space="preserve">Among sites that were measured weekly, industrial sites had </w:t>
      </w:r>
      <w:r w:rsidR="00D72706" w:rsidRPr="00F64D3B">
        <w:rPr>
          <w:rFonts w:ascii="Arial" w:hAnsi="Arial" w:cs="Arial"/>
          <w:sz w:val="22"/>
          <w:szCs w:val="22"/>
        </w:rPr>
        <w:t xml:space="preserve">higher concentrations of almost all compounds, </w:t>
      </w:r>
      <w:r w:rsidR="009F119C" w:rsidRPr="00F64D3B">
        <w:rPr>
          <w:rFonts w:ascii="Arial" w:hAnsi="Arial" w:cs="Arial"/>
          <w:sz w:val="22"/>
          <w:szCs w:val="22"/>
        </w:rPr>
        <w:t xml:space="preserve">except for isoprene, </w:t>
      </w:r>
      <w:r w:rsidR="00646570" w:rsidRPr="00F64D3B">
        <w:rPr>
          <w:rFonts w:ascii="Arial" w:hAnsi="Arial" w:cs="Arial"/>
          <w:sz w:val="22"/>
          <w:szCs w:val="22"/>
        </w:rPr>
        <w:t>carbon tetrachloride, trichlorofluoromethane (</w:t>
      </w:r>
      <w:r w:rsidR="00C26BA9">
        <w:rPr>
          <w:rFonts w:ascii="Arial" w:hAnsi="Arial" w:cs="Arial"/>
          <w:sz w:val="22"/>
          <w:szCs w:val="22"/>
        </w:rPr>
        <w:t>CFC</w:t>
      </w:r>
      <w:r w:rsidR="007F1635" w:rsidRPr="00F64D3B">
        <w:rPr>
          <w:rFonts w:ascii="Arial" w:hAnsi="Arial" w:cs="Arial"/>
          <w:sz w:val="22"/>
          <w:szCs w:val="22"/>
        </w:rPr>
        <w:t>-11</w:t>
      </w:r>
      <w:r w:rsidR="00646570" w:rsidRPr="00F64D3B">
        <w:rPr>
          <w:rFonts w:ascii="Arial" w:hAnsi="Arial" w:cs="Arial"/>
          <w:sz w:val="22"/>
          <w:szCs w:val="22"/>
        </w:rPr>
        <w:t>), and both ketones</w:t>
      </w:r>
      <w:r w:rsidR="0019303B">
        <w:rPr>
          <w:rFonts w:ascii="Arial" w:hAnsi="Arial" w:cs="Arial"/>
          <w:sz w:val="22"/>
          <w:szCs w:val="22"/>
        </w:rPr>
        <w:t xml:space="preserve"> </w:t>
      </w:r>
      <w:r w:rsidR="0019303B" w:rsidRPr="00F64D3B">
        <w:rPr>
          <w:rFonts w:ascii="Arial" w:hAnsi="Arial" w:cs="Arial"/>
          <w:sz w:val="22"/>
          <w:szCs w:val="22"/>
        </w:rPr>
        <w:t>(</w:t>
      </w:r>
      <w:r w:rsidR="0019303B" w:rsidRPr="00F64D3B">
        <w:rPr>
          <w:rFonts w:ascii="Arial" w:hAnsi="Arial" w:cs="Arial"/>
          <w:b/>
          <w:bCs/>
          <w:sz w:val="22"/>
          <w:szCs w:val="22"/>
        </w:rPr>
        <w:t>Table 1</w:t>
      </w:r>
      <w:r w:rsidR="0019303B" w:rsidRPr="00F64D3B">
        <w:rPr>
          <w:rFonts w:ascii="Arial" w:hAnsi="Arial" w:cs="Arial"/>
          <w:sz w:val="22"/>
          <w:szCs w:val="22"/>
        </w:rPr>
        <w:t>).</w:t>
      </w:r>
      <w:r w:rsidR="00646570" w:rsidRPr="00F64D3B">
        <w:rPr>
          <w:rFonts w:ascii="Arial" w:hAnsi="Arial" w:cs="Arial"/>
          <w:sz w:val="22"/>
          <w:szCs w:val="22"/>
        </w:rPr>
        <w:t xml:space="preserve"> </w:t>
      </w:r>
      <w:r w:rsidR="00857005" w:rsidRPr="00F64D3B">
        <w:rPr>
          <w:rFonts w:ascii="Arial" w:hAnsi="Arial" w:cs="Arial"/>
          <w:sz w:val="22"/>
          <w:szCs w:val="22"/>
        </w:rPr>
        <w:t xml:space="preserve">Among rotating community sites, </w:t>
      </w:r>
      <w:r w:rsidR="0063433D" w:rsidRPr="00F64D3B">
        <w:rPr>
          <w:rFonts w:ascii="Arial" w:hAnsi="Arial" w:cs="Arial"/>
          <w:sz w:val="22"/>
          <w:szCs w:val="22"/>
        </w:rPr>
        <w:t xml:space="preserve">differences between industrial and non-industrial sites may be due to larger measurement variance due to fewer samples. </w:t>
      </w:r>
      <w:r w:rsidR="001C1318" w:rsidRPr="00F64D3B">
        <w:rPr>
          <w:rFonts w:ascii="Arial" w:hAnsi="Arial" w:cs="Arial"/>
          <w:sz w:val="22"/>
          <w:szCs w:val="22"/>
        </w:rPr>
        <w:t>When</w:t>
      </w:r>
      <w:r w:rsidR="002868AC" w:rsidRPr="00F64D3B">
        <w:rPr>
          <w:rFonts w:ascii="Arial" w:hAnsi="Arial" w:cs="Arial"/>
          <w:sz w:val="22"/>
          <w:szCs w:val="22"/>
        </w:rPr>
        <w:t xml:space="preserve"> </w:t>
      </w:r>
      <w:r w:rsidR="00CA6DA7" w:rsidRPr="00F64D3B">
        <w:rPr>
          <w:rFonts w:ascii="Arial" w:hAnsi="Arial" w:cs="Arial"/>
          <w:sz w:val="22"/>
          <w:szCs w:val="22"/>
        </w:rPr>
        <w:t>comparing</w:t>
      </w:r>
      <w:r w:rsidR="002868AC" w:rsidRPr="00F64D3B">
        <w:rPr>
          <w:rFonts w:ascii="Arial" w:hAnsi="Arial" w:cs="Arial"/>
          <w:sz w:val="22"/>
          <w:szCs w:val="22"/>
        </w:rPr>
        <w:t xml:space="preserve"> </w:t>
      </w:r>
      <w:r w:rsidR="00CA6DA7">
        <w:rPr>
          <w:rFonts w:ascii="Arial" w:hAnsi="Arial" w:cs="Arial"/>
          <w:sz w:val="22"/>
          <w:szCs w:val="22"/>
        </w:rPr>
        <w:t xml:space="preserve">concentrations by </w:t>
      </w:r>
      <w:r w:rsidR="002868AC" w:rsidRPr="00F64D3B">
        <w:rPr>
          <w:rFonts w:ascii="Arial" w:hAnsi="Arial" w:cs="Arial"/>
          <w:sz w:val="22"/>
          <w:szCs w:val="22"/>
        </w:rPr>
        <w:t xml:space="preserve">traffic </w:t>
      </w:r>
      <w:r w:rsidR="002868AC" w:rsidRPr="00F64D3B">
        <w:rPr>
          <w:rFonts w:ascii="Arial" w:hAnsi="Arial" w:cs="Arial"/>
          <w:sz w:val="22"/>
          <w:szCs w:val="22"/>
        </w:rPr>
        <w:lastRenderedPageBreak/>
        <w:t>density (</w:t>
      </w:r>
      <w:r w:rsidR="002868AC" w:rsidRPr="00F64D3B">
        <w:rPr>
          <w:rFonts w:ascii="Arial" w:hAnsi="Arial" w:cs="Arial"/>
          <w:b/>
          <w:bCs/>
          <w:sz w:val="22"/>
          <w:szCs w:val="22"/>
        </w:rPr>
        <w:t>Table S</w:t>
      </w:r>
      <w:r w:rsidR="00510700">
        <w:rPr>
          <w:rFonts w:ascii="Arial" w:hAnsi="Arial" w:cs="Arial"/>
          <w:b/>
          <w:bCs/>
          <w:sz w:val="22"/>
          <w:szCs w:val="22"/>
        </w:rPr>
        <w:t>2</w:t>
      </w:r>
      <w:r w:rsidR="002868AC" w:rsidRPr="00F64D3B">
        <w:rPr>
          <w:rFonts w:ascii="Arial" w:hAnsi="Arial" w:cs="Arial"/>
          <w:sz w:val="22"/>
          <w:szCs w:val="22"/>
        </w:rPr>
        <w:t>)</w:t>
      </w:r>
      <w:r w:rsidR="001C1318" w:rsidRPr="00F64D3B">
        <w:rPr>
          <w:rFonts w:ascii="Arial" w:hAnsi="Arial" w:cs="Arial"/>
          <w:sz w:val="22"/>
          <w:szCs w:val="22"/>
        </w:rPr>
        <w:t xml:space="preserve">, </w:t>
      </w:r>
      <w:r w:rsidR="001527E6">
        <w:rPr>
          <w:rFonts w:ascii="Arial" w:hAnsi="Arial" w:cs="Arial"/>
          <w:sz w:val="22"/>
          <w:szCs w:val="22"/>
        </w:rPr>
        <w:t xml:space="preserve">most VOCs were elevated in high-traffic areas, except isoprene (consistent with biogenic emissions) and </w:t>
      </w:r>
      <w:r w:rsidR="00CA6DA7">
        <w:rPr>
          <w:rFonts w:ascii="Arial" w:hAnsi="Arial" w:cs="Arial"/>
          <w:sz w:val="22"/>
          <w:szCs w:val="22"/>
        </w:rPr>
        <w:t xml:space="preserve">nonaromatic chlorinated compounds. </w:t>
      </w:r>
      <w:r w:rsidR="00C2544E" w:rsidRPr="00F64D3B">
        <w:rPr>
          <w:rFonts w:ascii="Arial" w:hAnsi="Arial" w:cs="Arial"/>
          <w:sz w:val="22"/>
          <w:szCs w:val="22"/>
        </w:rPr>
        <w:t>One site</w:t>
      </w:r>
      <w:r w:rsidR="004C3A4D" w:rsidRPr="00F64D3B">
        <w:rPr>
          <w:rFonts w:ascii="Arial" w:hAnsi="Arial" w:cs="Arial"/>
          <w:sz w:val="22"/>
          <w:szCs w:val="22"/>
        </w:rPr>
        <w:t xml:space="preserve">, </w:t>
      </w:r>
      <w:r w:rsidR="00C2544E" w:rsidRPr="00F64D3B">
        <w:rPr>
          <w:rFonts w:ascii="Arial" w:hAnsi="Arial" w:cs="Arial"/>
          <w:sz w:val="22"/>
          <w:szCs w:val="22"/>
        </w:rPr>
        <w:t>28</w:t>
      </w:r>
      <w:r w:rsidR="00C2544E" w:rsidRPr="00F64D3B">
        <w:rPr>
          <w:rFonts w:ascii="Arial" w:hAnsi="Arial" w:cs="Arial"/>
          <w:sz w:val="22"/>
          <w:szCs w:val="22"/>
          <w:vertAlign w:val="superscript"/>
        </w:rPr>
        <w:t>th</w:t>
      </w:r>
      <w:r w:rsidR="00C2544E" w:rsidRPr="00F64D3B">
        <w:rPr>
          <w:rFonts w:ascii="Arial" w:hAnsi="Arial" w:cs="Arial"/>
          <w:sz w:val="22"/>
          <w:szCs w:val="22"/>
        </w:rPr>
        <w:t xml:space="preserve"> and </w:t>
      </w:r>
      <w:proofErr w:type="spellStart"/>
      <w:r w:rsidR="00C2544E" w:rsidRPr="00F64D3B">
        <w:rPr>
          <w:rFonts w:ascii="Arial" w:hAnsi="Arial" w:cs="Arial"/>
          <w:sz w:val="22"/>
          <w:szCs w:val="22"/>
        </w:rPr>
        <w:t>Passyunk</w:t>
      </w:r>
      <w:proofErr w:type="spellEnd"/>
      <w:r w:rsidR="00C2544E" w:rsidRPr="00F64D3B">
        <w:rPr>
          <w:rFonts w:ascii="Arial" w:hAnsi="Arial" w:cs="Arial"/>
          <w:sz w:val="22"/>
          <w:szCs w:val="22"/>
        </w:rPr>
        <w:t>, exhibited the highest me</w:t>
      </w:r>
      <w:r w:rsidR="00510700">
        <w:rPr>
          <w:rFonts w:ascii="Arial" w:hAnsi="Arial" w:cs="Arial"/>
          <w:sz w:val="22"/>
          <w:szCs w:val="22"/>
        </w:rPr>
        <w:t>dian</w:t>
      </w:r>
      <w:r w:rsidR="00C2544E" w:rsidRPr="00F64D3B">
        <w:rPr>
          <w:rFonts w:ascii="Arial" w:hAnsi="Arial" w:cs="Arial"/>
          <w:sz w:val="22"/>
          <w:szCs w:val="22"/>
        </w:rPr>
        <w:t xml:space="preserve"> concentration for </w:t>
      </w:r>
      <w:r w:rsidR="008E5D09" w:rsidRPr="00F64D3B">
        <w:rPr>
          <w:rFonts w:ascii="Arial" w:hAnsi="Arial" w:cs="Arial"/>
          <w:sz w:val="22"/>
          <w:szCs w:val="22"/>
        </w:rPr>
        <w:t>19</w:t>
      </w:r>
      <w:r w:rsidR="00C2544E" w:rsidRPr="00F64D3B">
        <w:rPr>
          <w:rFonts w:ascii="Arial" w:hAnsi="Arial" w:cs="Arial"/>
          <w:sz w:val="22"/>
          <w:szCs w:val="22"/>
        </w:rPr>
        <w:t xml:space="preserve"> / 38 </w:t>
      </w:r>
      <w:r w:rsidR="008E5D09" w:rsidRPr="00F64D3B">
        <w:rPr>
          <w:rFonts w:ascii="Arial" w:hAnsi="Arial" w:cs="Arial"/>
          <w:sz w:val="22"/>
          <w:szCs w:val="22"/>
        </w:rPr>
        <w:t xml:space="preserve">of </w:t>
      </w:r>
      <w:r w:rsidR="00C2544E" w:rsidRPr="00F64D3B">
        <w:rPr>
          <w:rFonts w:ascii="Arial" w:hAnsi="Arial" w:cs="Arial"/>
          <w:sz w:val="22"/>
          <w:szCs w:val="22"/>
        </w:rPr>
        <w:t>VOCs</w:t>
      </w:r>
      <w:r w:rsidR="008E5D09" w:rsidRPr="00F64D3B">
        <w:rPr>
          <w:rFonts w:ascii="Arial" w:hAnsi="Arial" w:cs="Arial"/>
          <w:sz w:val="22"/>
          <w:szCs w:val="22"/>
        </w:rPr>
        <w:t xml:space="preserve">—when comparing only </w:t>
      </w:r>
      <w:r w:rsidR="004C3A4D" w:rsidRPr="00F64D3B">
        <w:rPr>
          <w:rFonts w:ascii="Arial" w:hAnsi="Arial" w:cs="Arial"/>
          <w:sz w:val="22"/>
          <w:szCs w:val="22"/>
        </w:rPr>
        <w:t xml:space="preserve">weekly </w:t>
      </w:r>
      <w:r w:rsidR="008E5D09" w:rsidRPr="00F64D3B">
        <w:rPr>
          <w:rFonts w:ascii="Arial" w:hAnsi="Arial" w:cs="Arial"/>
          <w:sz w:val="22"/>
          <w:szCs w:val="22"/>
        </w:rPr>
        <w:t xml:space="preserve">sites, this increases to </w:t>
      </w:r>
      <w:r w:rsidR="007D29E1" w:rsidRPr="00F64D3B">
        <w:rPr>
          <w:rFonts w:ascii="Arial" w:hAnsi="Arial" w:cs="Arial"/>
          <w:sz w:val="22"/>
          <w:szCs w:val="22"/>
        </w:rPr>
        <w:t>25</w:t>
      </w:r>
      <w:r w:rsidR="0033528A" w:rsidRPr="00F64D3B">
        <w:rPr>
          <w:rFonts w:ascii="Arial" w:hAnsi="Arial" w:cs="Arial"/>
          <w:sz w:val="22"/>
          <w:szCs w:val="22"/>
        </w:rPr>
        <w:t xml:space="preserve"> (</w:t>
      </w:r>
      <w:r w:rsidR="0033528A" w:rsidRPr="00F64D3B">
        <w:rPr>
          <w:rFonts w:ascii="Arial" w:hAnsi="Arial" w:cs="Arial"/>
          <w:b/>
          <w:bCs/>
          <w:sz w:val="22"/>
          <w:szCs w:val="22"/>
        </w:rPr>
        <w:t xml:space="preserve">Figures </w:t>
      </w:r>
      <w:r w:rsidR="00F827C4" w:rsidRPr="00F64D3B">
        <w:rPr>
          <w:rFonts w:ascii="Arial" w:hAnsi="Arial" w:cs="Arial"/>
          <w:b/>
          <w:bCs/>
          <w:sz w:val="22"/>
          <w:szCs w:val="22"/>
        </w:rPr>
        <w:t>S</w:t>
      </w:r>
      <w:r w:rsidR="00510700">
        <w:rPr>
          <w:rFonts w:ascii="Arial" w:hAnsi="Arial" w:cs="Arial"/>
          <w:b/>
          <w:bCs/>
          <w:sz w:val="22"/>
          <w:szCs w:val="22"/>
        </w:rPr>
        <w:t>11</w:t>
      </w:r>
      <w:r w:rsidR="00F827C4" w:rsidRPr="00F64D3B">
        <w:rPr>
          <w:rFonts w:ascii="Arial" w:hAnsi="Arial" w:cs="Arial"/>
          <w:b/>
          <w:bCs/>
          <w:sz w:val="22"/>
          <w:szCs w:val="22"/>
        </w:rPr>
        <w:t>-S</w:t>
      </w:r>
      <w:r w:rsidR="00510700">
        <w:rPr>
          <w:rFonts w:ascii="Arial" w:hAnsi="Arial" w:cs="Arial"/>
          <w:b/>
          <w:bCs/>
          <w:sz w:val="22"/>
          <w:szCs w:val="22"/>
        </w:rPr>
        <w:t>18</w:t>
      </w:r>
      <w:r w:rsidR="00F827C4" w:rsidRPr="00F64D3B">
        <w:rPr>
          <w:rFonts w:ascii="Arial" w:hAnsi="Arial" w:cs="Arial"/>
          <w:sz w:val="22"/>
          <w:szCs w:val="22"/>
        </w:rPr>
        <w:t>).</w:t>
      </w:r>
      <w:r w:rsidR="0033528A" w:rsidRPr="00F64D3B">
        <w:rPr>
          <w:rFonts w:ascii="Arial" w:hAnsi="Arial" w:cs="Arial"/>
          <w:sz w:val="22"/>
          <w:szCs w:val="22"/>
        </w:rPr>
        <w:t xml:space="preserve"> This site is in a high-traffic, industrial area and is near to an active oil terminal</w:t>
      </w:r>
      <w:r w:rsidR="00645079" w:rsidRPr="00F64D3B">
        <w:rPr>
          <w:rFonts w:ascii="Arial" w:hAnsi="Arial" w:cs="Arial"/>
          <w:sz w:val="22"/>
          <w:szCs w:val="22"/>
        </w:rPr>
        <w:t>.</w:t>
      </w:r>
      <w:r w:rsidR="004C3A4D" w:rsidRPr="00F64D3B">
        <w:rPr>
          <w:rFonts w:ascii="Arial" w:hAnsi="Arial" w:cs="Arial"/>
          <w:sz w:val="22"/>
          <w:szCs w:val="22"/>
        </w:rPr>
        <w:t xml:space="preserve"> </w:t>
      </w:r>
    </w:p>
    <w:p w14:paraId="11F484CF" w14:textId="77777777" w:rsidR="00C05FE1" w:rsidRPr="00F64D3B" w:rsidRDefault="00C05FE1" w:rsidP="00973130">
      <w:pPr>
        <w:spacing w:line="360" w:lineRule="auto"/>
        <w:jc w:val="both"/>
        <w:rPr>
          <w:rFonts w:ascii="Arial" w:hAnsi="Arial" w:cs="Arial"/>
          <w:sz w:val="22"/>
          <w:szCs w:val="22"/>
        </w:rPr>
      </w:pPr>
    </w:p>
    <w:p w14:paraId="1454BD2A" w14:textId="32EC828B" w:rsidR="00C05FE1" w:rsidRPr="00F64D3B" w:rsidRDefault="00C05FE1" w:rsidP="00973130">
      <w:pPr>
        <w:spacing w:line="360" w:lineRule="auto"/>
        <w:jc w:val="both"/>
        <w:rPr>
          <w:rFonts w:ascii="Arial" w:hAnsi="Arial" w:cs="Arial"/>
          <w:sz w:val="22"/>
          <w:szCs w:val="22"/>
        </w:rPr>
      </w:pPr>
      <w:r w:rsidRPr="00F64D3B">
        <w:rPr>
          <w:rFonts w:ascii="Arial" w:hAnsi="Arial" w:cs="Arial"/>
          <w:sz w:val="22"/>
          <w:szCs w:val="22"/>
        </w:rPr>
        <w:t xml:space="preserve">In general, VOCs were </w:t>
      </w:r>
      <w:r w:rsidR="007925B5">
        <w:rPr>
          <w:rFonts w:ascii="Arial" w:hAnsi="Arial" w:cs="Arial"/>
          <w:sz w:val="22"/>
          <w:szCs w:val="22"/>
        </w:rPr>
        <w:t>strongly</w:t>
      </w:r>
      <w:r w:rsidRPr="00F64D3B">
        <w:rPr>
          <w:rFonts w:ascii="Arial" w:hAnsi="Arial" w:cs="Arial"/>
          <w:sz w:val="22"/>
          <w:szCs w:val="22"/>
        </w:rPr>
        <w:t xml:space="preserve"> correlated with one another</w:t>
      </w:r>
      <w:r w:rsidR="007925B5">
        <w:rPr>
          <w:rFonts w:ascii="Arial" w:hAnsi="Arial" w:cs="Arial"/>
          <w:sz w:val="22"/>
          <w:szCs w:val="22"/>
        </w:rPr>
        <w:t xml:space="preserve"> (</w:t>
      </w:r>
      <w:r w:rsidR="007925B5">
        <w:rPr>
          <w:rFonts w:ascii="Arial" w:hAnsi="Arial" w:cs="Arial"/>
          <w:b/>
          <w:bCs/>
          <w:sz w:val="22"/>
          <w:szCs w:val="22"/>
        </w:rPr>
        <w:t>Figure</w:t>
      </w:r>
      <w:r w:rsidR="007925B5" w:rsidRPr="007925B5">
        <w:rPr>
          <w:rFonts w:ascii="Arial" w:hAnsi="Arial" w:cs="Arial"/>
          <w:b/>
          <w:bCs/>
          <w:sz w:val="22"/>
          <w:szCs w:val="22"/>
        </w:rPr>
        <w:t xml:space="preserve"> S2</w:t>
      </w:r>
      <w:r w:rsidR="007925B5">
        <w:rPr>
          <w:rFonts w:ascii="Arial" w:hAnsi="Arial" w:cs="Arial"/>
          <w:sz w:val="22"/>
          <w:szCs w:val="22"/>
        </w:rPr>
        <w:t>). Weaker correlations between chlorinated compounds and</w:t>
      </w:r>
      <w:r w:rsidR="007925B5" w:rsidRPr="00F64D3B">
        <w:rPr>
          <w:rFonts w:ascii="Arial" w:hAnsi="Arial" w:cs="Arial"/>
          <w:sz w:val="22"/>
          <w:szCs w:val="22"/>
        </w:rPr>
        <w:t xml:space="preserve"> other VOCs</w:t>
      </w:r>
      <w:r w:rsidR="007925B5">
        <w:rPr>
          <w:rFonts w:ascii="Arial" w:hAnsi="Arial" w:cs="Arial"/>
          <w:sz w:val="22"/>
          <w:szCs w:val="22"/>
        </w:rPr>
        <w:t xml:space="preserve"> </w:t>
      </w:r>
      <w:r w:rsidR="007925B5" w:rsidRPr="00F64D3B">
        <w:rPr>
          <w:rFonts w:ascii="Arial" w:hAnsi="Arial" w:cs="Arial"/>
          <w:sz w:val="22"/>
          <w:szCs w:val="22"/>
        </w:rPr>
        <w:t>sugges</w:t>
      </w:r>
      <w:r w:rsidR="007925B5">
        <w:rPr>
          <w:rFonts w:ascii="Arial" w:hAnsi="Arial" w:cs="Arial"/>
          <w:sz w:val="22"/>
          <w:szCs w:val="22"/>
        </w:rPr>
        <w:t>ts</w:t>
      </w:r>
      <w:r w:rsidR="007925B5" w:rsidRPr="00F64D3B">
        <w:rPr>
          <w:rFonts w:ascii="Arial" w:hAnsi="Arial" w:cs="Arial"/>
          <w:sz w:val="22"/>
          <w:szCs w:val="22"/>
        </w:rPr>
        <w:t xml:space="preserve"> distinct sources of these compounds.</w:t>
      </w:r>
    </w:p>
    <w:p w14:paraId="5D728102" w14:textId="77777777" w:rsidR="009F617E" w:rsidRPr="00F64D3B" w:rsidRDefault="009F617E" w:rsidP="00973130">
      <w:pPr>
        <w:spacing w:line="360" w:lineRule="auto"/>
        <w:jc w:val="both"/>
        <w:rPr>
          <w:rFonts w:ascii="Arial" w:hAnsi="Arial" w:cs="Arial"/>
          <w:sz w:val="22"/>
          <w:szCs w:val="22"/>
        </w:rPr>
      </w:pPr>
    </w:p>
    <w:p w14:paraId="45041604" w14:textId="12B59A3F" w:rsidR="00F8510C" w:rsidRPr="00F64D3B" w:rsidRDefault="00F8510C" w:rsidP="00973130">
      <w:pPr>
        <w:spacing w:line="360" w:lineRule="auto"/>
        <w:jc w:val="both"/>
        <w:rPr>
          <w:rFonts w:ascii="Arial" w:hAnsi="Arial" w:cs="Arial"/>
          <w:sz w:val="22"/>
          <w:szCs w:val="22"/>
          <w:u w:val="single"/>
        </w:rPr>
      </w:pPr>
      <w:commentRangeStart w:id="10"/>
      <w:r w:rsidRPr="00F64D3B">
        <w:rPr>
          <w:rFonts w:ascii="Arial" w:hAnsi="Arial" w:cs="Arial"/>
          <w:sz w:val="22"/>
          <w:szCs w:val="22"/>
          <w:u w:val="single"/>
        </w:rPr>
        <w:t>BTEX Ratios</w:t>
      </w:r>
      <w:commentRangeEnd w:id="10"/>
      <w:r w:rsidR="00A65944">
        <w:rPr>
          <w:rStyle w:val="CommentReference"/>
        </w:rPr>
        <w:commentReference w:id="10"/>
      </w:r>
    </w:p>
    <w:p w14:paraId="3E3DCF7C" w14:textId="6037E13B" w:rsidR="00AA5132" w:rsidRDefault="00E862B0" w:rsidP="00973130">
      <w:pPr>
        <w:spacing w:line="360" w:lineRule="auto"/>
        <w:jc w:val="both"/>
        <w:rPr>
          <w:rFonts w:ascii="Arial" w:hAnsi="Arial" w:cs="Arial"/>
          <w:sz w:val="22"/>
          <w:szCs w:val="22"/>
        </w:rPr>
      </w:pPr>
      <w:r w:rsidRPr="00F64D3B">
        <w:rPr>
          <w:rFonts w:ascii="Arial" w:hAnsi="Arial" w:cs="Arial"/>
          <w:sz w:val="22"/>
          <w:szCs w:val="22"/>
        </w:rPr>
        <w:t>BTEX ratios such as the</w:t>
      </w:r>
      <w:r w:rsidR="004C3A4D" w:rsidRPr="00F64D3B">
        <w:rPr>
          <w:rFonts w:ascii="Arial" w:hAnsi="Arial" w:cs="Arial"/>
          <w:sz w:val="22"/>
          <w:szCs w:val="22"/>
        </w:rPr>
        <w:t xml:space="preserve"> </w:t>
      </w:r>
      <w:proofErr w:type="spellStart"/>
      <w:proofErr w:type="gramStart"/>
      <w:r w:rsidR="004C3A4D" w:rsidRPr="00F64D3B">
        <w:rPr>
          <w:rFonts w:ascii="Arial" w:hAnsi="Arial" w:cs="Arial"/>
          <w:sz w:val="22"/>
          <w:szCs w:val="22"/>
        </w:rPr>
        <w:t>toluene:benzene</w:t>
      </w:r>
      <w:proofErr w:type="spellEnd"/>
      <w:proofErr w:type="gramEnd"/>
      <w:r w:rsidR="004C3A4D" w:rsidRPr="00F64D3B">
        <w:rPr>
          <w:rFonts w:ascii="Arial" w:hAnsi="Arial" w:cs="Arial"/>
          <w:sz w:val="22"/>
          <w:szCs w:val="22"/>
        </w:rPr>
        <w:t xml:space="preserve"> and </w:t>
      </w:r>
      <w:r w:rsidR="004C3A4D" w:rsidRPr="00F64D3B">
        <w:rPr>
          <w:rFonts w:ascii="Arial" w:hAnsi="Arial" w:cs="Arial"/>
          <w:i/>
          <w:iCs/>
          <w:sz w:val="22"/>
          <w:szCs w:val="22"/>
        </w:rPr>
        <w:t>(</w:t>
      </w:r>
      <w:proofErr w:type="spellStart"/>
      <w:r w:rsidR="004C3A4D" w:rsidRPr="00F64D3B">
        <w:rPr>
          <w:rFonts w:ascii="Arial" w:hAnsi="Arial" w:cs="Arial"/>
          <w:i/>
          <w:iCs/>
          <w:sz w:val="22"/>
          <w:szCs w:val="22"/>
        </w:rPr>
        <w:t>m+p</w:t>
      </w:r>
      <w:proofErr w:type="spellEnd"/>
      <w:r w:rsidR="004C3A4D" w:rsidRPr="00F64D3B">
        <w:rPr>
          <w:rFonts w:ascii="Arial" w:hAnsi="Arial" w:cs="Arial"/>
          <w:i/>
          <w:iCs/>
          <w:sz w:val="22"/>
          <w:szCs w:val="22"/>
        </w:rPr>
        <w:t>)-</w:t>
      </w:r>
      <w:r w:rsidR="004C3A4D" w:rsidRPr="00F64D3B">
        <w:rPr>
          <w:rFonts w:ascii="Arial" w:hAnsi="Arial" w:cs="Arial"/>
          <w:sz w:val="22"/>
          <w:szCs w:val="22"/>
        </w:rPr>
        <w:t xml:space="preserve">xylenes ratios </w:t>
      </w:r>
      <w:r w:rsidRPr="00F64D3B">
        <w:rPr>
          <w:rFonts w:ascii="Arial" w:hAnsi="Arial" w:cs="Arial"/>
          <w:sz w:val="22"/>
          <w:szCs w:val="22"/>
        </w:rPr>
        <w:t xml:space="preserve">can help elucidate VOC sources and photochemical age. </w:t>
      </w:r>
      <w:r w:rsidR="006910E0" w:rsidRPr="00F64D3B">
        <w:rPr>
          <w:rFonts w:ascii="Arial" w:hAnsi="Arial" w:cs="Arial"/>
          <w:sz w:val="22"/>
          <w:szCs w:val="22"/>
        </w:rPr>
        <w:t xml:space="preserve">In general, we found that BTEX ratios varied by </w:t>
      </w:r>
      <w:r w:rsidR="00D67A54" w:rsidRPr="00F64D3B">
        <w:rPr>
          <w:rFonts w:ascii="Arial" w:hAnsi="Arial" w:cs="Arial"/>
          <w:sz w:val="22"/>
          <w:szCs w:val="22"/>
        </w:rPr>
        <w:t>land use and traffic categories (</w:t>
      </w:r>
      <w:r w:rsidR="00D67A54" w:rsidRPr="00F64D3B">
        <w:rPr>
          <w:rFonts w:ascii="Arial" w:hAnsi="Arial" w:cs="Arial"/>
          <w:b/>
          <w:bCs/>
          <w:sz w:val="22"/>
          <w:szCs w:val="22"/>
        </w:rPr>
        <w:t>Table 2</w:t>
      </w:r>
      <w:r w:rsidR="00D67A54" w:rsidRPr="00F64D3B">
        <w:rPr>
          <w:rFonts w:ascii="Arial" w:hAnsi="Arial" w:cs="Arial"/>
          <w:sz w:val="22"/>
          <w:szCs w:val="22"/>
        </w:rPr>
        <w:t>)</w:t>
      </w:r>
      <w:r w:rsidR="00152867" w:rsidRPr="00F64D3B">
        <w:rPr>
          <w:rFonts w:ascii="Arial" w:hAnsi="Arial" w:cs="Arial"/>
          <w:sz w:val="22"/>
          <w:szCs w:val="22"/>
        </w:rPr>
        <w:t xml:space="preserve">. We identified higher T/B and X/E ratios among industrial sites, compared to non-industrial, </w:t>
      </w:r>
      <w:r w:rsidR="00FF08E3" w:rsidRPr="00F64D3B">
        <w:rPr>
          <w:rFonts w:ascii="Arial" w:hAnsi="Arial" w:cs="Arial"/>
          <w:sz w:val="22"/>
          <w:szCs w:val="22"/>
        </w:rPr>
        <w:t>when holding traffic constant;</w:t>
      </w:r>
      <w:r w:rsidR="0040578C" w:rsidRPr="00F64D3B">
        <w:rPr>
          <w:rFonts w:ascii="Arial" w:hAnsi="Arial" w:cs="Arial"/>
          <w:sz w:val="22"/>
          <w:szCs w:val="22"/>
        </w:rPr>
        <w:t xml:space="preserve"> when holding industrial status constant, both T/B and </w:t>
      </w:r>
      <w:r w:rsidR="00E54D62" w:rsidRPr="00F64D3B">
        <w:rPr>
          <w:rFonts w:ascii="Arial" w:hAnsi="Arial" w:cs="Arial"/>
          <w:sz w:val="22"/>
          <w:szCs w:val="22"/>
        </w:rPr>
        <w:t>M</w:t>
      </w:r>
      <w:r w:rsidR="0040578C" w:rsidRPr="00F64D3B">
        <w:rPr>
          <w:rFonts w:ascii="Arial" w:hAnsi="Arial" w:cs="Arial"/>
          <w:sz w:val="22"/>
          <w:szCs w:val="22"/>
        </w:rPr>
        <w:t xml:space="preserve">/E ratios were </w:t>
      </w:r>
      <w:r w:rsidR="00431190" w:rsidRPr="00F64D3B">
        <w:rPr>
          <w:rFonts w:ascii="Arial" w:hAnsi="Arial" w:cs="Arial"/>
          <w:sz w:val="22"/>
          <w:szCs w:val="22"/>
        </w:rPr>
        <w:t>higher among low-traffic sites</w:t>
      </w:r>
      <w:r w:rsidR="00C20047">
        <w:rPr>
          <w:rFonts w:ascii="Arial" w:hAnsi="Arial" w:cs="Arial"/>
          <w:sz w:val="22"/>
          <w:szCs w:val="22"/>
        </w:rPr>
        <w:t xml:space="preserve">. </w:t>
      </w:r>
      <w:commentRangeStart w:id="11"/>
      <w:r w:rsidR="00734D5D" w:rsidRPr="00F64D3B">
        <w:rPr>
          <w:rFonts w:ascii="Arial" w:hAnsi="Arial" w:cs="Arial"/>
          <w:sz w:val="22"/>
          <w:szCs w:val="22"/>
        </w:rPr>
        <w:t>Using linear mixed effects modeling controlling for week as a random effect</w:t>
      </w:r>
      <w:r w:rsidR="00373417" w:rsidRPr="00F64D3B">
        <w:rPr>
          <w:rFonts w:ascii="Arial" w:hAnsi="Arial" w:cs="Arial"/>
          <w:sz w:val="22"/>
          <w:szCs w:val="22"/>
        </w:rPr>
        <w:t xml:space="preserve">, </w:t>
      </w:r>
      <w:r w:rsidR="00154B18" w:rsidRPr="00F64D3B">
        <w:rPr>
          <w:rFonts w:ascii="Arial" w:hAnsi="Arial" w:cs="Arial"/>
          <w:sz w:val="22"/>
          <w:szCs w:val="22"/>
        </w:rPr>
        <w:t xml:space="preserve">industrial sites had T/B ratios that were 0.29 (95% CI: 0.19, 0.38) higher and </w:t>
      </w:r>
      <w:r w:rsidR="00E54D62" w:rsidRPr="00F64D3B">
        <w:rPr>
          <w:rFonts w:ascii="Arial" w:hAnsi="Arial" w:cs="Arial"/>
          <w:sz w:val="22"/>
          <w:szCs w:val="22"/>
        </w:rPr>
        <w:t>M</w:t>
      </w:r>
      <w:r w:rsidR="00154B18" w:rsidRPr="00F64D3B">
        <w:rPr>
          <w:rFonts w:ascii="Arial" w:hAnsi="Arial" w:cs="Arial"/>
          <w:sz w:val="22"/>
          <w:szCs w:val="22"/>
        </w:rPr>
        <w:t>/E ratios that were 0.21 (95% CI: 0.</w:t>
      </w:r>
      <w:r w:rsidR="00B465BA" w:rsidRPr="00F64D3B">
        <w:rPr>
          <w:rFonts w:ascii="Arial" w:hAnsi="Arial" w:cs="Arial"/>
          <w:sz w:val="22"/>
          <w:szCs w:val="22"/>
        </w:rPr>
        <w:t xml:space="preserve">09, 0.32) higher </w:t>
      </w:r>
      <w:r w:rsidR="00154B18" w:rsidRPr="00F64D3B">
        <w:rPr>
          <w:rFonts w:ascii="Arial" w:hAnsi="Arial" w:cs="Arial"/>
          <w:sz w:val="22"/>
          <w:szCs w:val="22"/>
        </w:rPr>
        <w:t>than non-industrial sites within the same traffic category.</w:t>
      </w:r>
      <w:r w:rsidR="00B465BA" w:rsidRPr="00F64D3B">
        <w:rPr>
          <w:rFonts w:ascii="Arial" w:hAnsi="Arial" w:cs="Arial"/>
          <w:sz w:val="22"/>
          <w:szCs w:val="22"/>
        </w:rPr>
        <w:t xml:space="preserve"> </w:t>
      </w:r>
      <w:r w:rsidR="00160DA2" w:rsidRPr="00F64D3B">
        <w:rPr>
          <w:rFonts w:ascii="Arial" w:hAnsi="Arial" w:cs="Arial"/>
          <w:sz w:val="22"/>
          <w:szCs w:val="22"/>
        </w:rPr>
        <w:t>Looking to traffic, high-traffic</w:t>
      </w:r>
      <w:r w:rsidR="00B465BA" w:rsidRPr="00F64D3B">
        <w:rPr>
          <w:rFonts w:ascii="Arial" w:hAnsi="Arial" w:cs="Arial"/>
          <w:sz w:val="22"/>
          <w:szCs w:val="22"/>
        </w:rPr>
        <w:t xml:space="preserve"> sites had </w:t>
      </w:r>
      <w:r w:rsidR="008076E0" w:rsidRPr="00F64D3B">
        <w:rPr>
          <w:rFonts w:ascii="Arial" w:hAnsi="Arial" w:cs="Arial"/>
          <w:sz w:val="22"/>
          <w:szCs w:val="22"/>
        </w:rPr>
        <w:t>T/B ratios that were 0.12 (95% CI 0.03, 0.21) lower</w:t>
      </w:r>
      <w:r w:rsidR="00160DA2" w:rsidRPr="00F64D3B">
        <w:rPr>
          <w:rFonts w:ascii="Arial" w:hAnsi="Arial" w:cs="Arial"/>
          <w:sz w:val="22"/>
          <w:szCs w:val="22"/>
        </w:rPr>
        <w:t xml:space="preserve">, and </w:t>
      </w:r>
      <w:r w:rsidR="00E54D62" w:rsidRPr="00F64D3B">
        <w:rPr>
          <w:rFonts w:ascii="Arial" w:hAnsi="Arial" w:cs="Arial"/>
          <w:sz w:val="22"/>
          <w:szCs w:val="22"/>
        </w:rPr>
        <w:t>M</w:t>
      </w:r>
      <w:r w:rsidR="00B36421" w:rsidRPr="00F64D3B">
        <w:rPr>
          <w:rFonts w:ascii="Arial" w:hAnsi="Arial" w:cs="Arial"/>
          <w:sz w:val="22"/>
          <w:szCs w:val="22"/>
        </w:rPr>
        <w:t>/E ratios that were 0.11 (95% CI: 0.0, 0.22) higher than low-traffic sites within the same industrial land use category</w:t>
      </w:r>
      <w:commentRangeEnd w:id="11"/>
      <w:r w:rsidR="00C20047">
        <w:rPr>
          <w:rStyle w:val="CommentReference"/>
        </w:rPr>
        <w:commentReference w:id="11"/>
      </w:r>
      <w:r w:rsidR="00B36421" w:rsidRPr="00F64D3B">
        <w:rPr>
          <w:rFonts w:ascii="Arial" w:hAnsi="Arial" w:cs="Arial"/>
          <w:sz w:val="22"/>
          <w:szCs w:val="22"/>
        </w:rPr>
        <w:t>.</w:t>
      </w:r>
      <w:r w:rsidR="00E54D62" w:rsidRPr="00F64D3B">
        <w:rPr>
          <w:rFonts w:ascii="Arial" w:hAnsi="Arial" w:cs="Arial"/>
          <w:sz w:val="22"/>
          <w:szCs w:val="22"/>
        </w:rPr>
        <w:t xml:space="preserve"> These results suggest a stronger industry, over traffic, effect on BTEX ratios in our study</w:t>
      </w:r>
      <w:r w:rsidR="00C12CAB" w:rsidRPr="00F64D3B">
        <w:rPr>
          <w:rFonts w:ascii="Arial" w:hAnsi="Arial" w:cs="Arial"/>
          <w:sz w:val="22"/>
          <w:szCs w:val="22"/>
        </w:rPr>
        <w:t>.</w:t>
      </w:r>
      <w:r w:rsidR="003B307C" w:rsidRPr="00F64D3B">
        <w:rPr>
          <w:rFonts w:ascii="Arial" w:hAnsi="Arial" w:cs="Arial"/>
          <w:sz w:val="22"/>
          <w:szCs w:val="22"/>
        </w:rPr>
        <w:t xml:space="preserve"> </w:t>
      </w:r>
    </w:p>
    <w:p w14:paraId="547CE927" w14:textId="77777777" w:rsidR="004C3704" w:rsidRPr="00F64D3B" w:rsidRDefault="004C3704" w:rsidP="00973130">
      <w:pPr>
        <w:spacing w:line="360" w:lineRule="auto"/>
        <w:jc w:val="both"/>
        <w:rPr>
          <w:rFonts w:ascii="Arial" w:hAnsi="Arial" w:cs="Arial"/>
          <w:sz w:val="22"/>
          <w:szCs w:val="22"/>
        </w:rPr>
      </w:pPr>
    </w:p>
    <w:p w14:paraId="67386343" w14:textId="2CC8F520" w:rsidR="00F8510C" w:rsidRPr="00F64D3B" w:rsidRDefault="00291DE6" w:rsidP="00973130">
      <w:pPr>
        <w:spacing w:line="360" w:lineRule="auto"/>
        <w:jc w:val="both"/>
        <w:rPr>
          <w:rFonts w:ascii="Arial" w:hAnsi="Arial" w:cs="Arial"/>
          <w:sz w:val="22"/>
          <w:szCs w:val="22"/>
        </w:rPr>
      </w:pPr>
      <w:r w:rsidRPr="00F64D3B">
        <w:rPr>
          <w:rFonts w:ascii="Arial" w:hAnsi="Arial" w:cs="Arial"/>
          <w:sz w:val="22"/>
          <w:szCs w:val="22"/>
        </w:rPr>
        <w:t xml:space="preserve">Site-specific BTEX ratios </w:t>
      </w:r>
      <w:r w:rsidR="0081450C" w:rsidRPr="00F64D3B">
        <w:rPr>
          <w:rFonts w:ascii="Arial" w:hAnsi="Arial" w:cs="Arial"/>
          <w:sz w:val="22"/>
          <w:szCs w:val="22"/>
        </w:rPr>
        <w:t>were also informative</w:t>
      </w:r>
      <w:r w:rsidR="00760ADF" w:rsidRPr="00F64D3B">
        <w:rPr>
          <w:rFonts w:ascii="Arial" w:hAnsi="Arial" w:cs="Arial"/>
          <w:sz w:val="22"/>
          <w:szCs w:val="22"/>
        </w:rPr>
        <w:t xml:space="preserve">. </w:t>
      </w:r>
      <w:r w:rsidR="0081450C" w:rsidRPr="00F64D3B">
        <w:rPr>
          <w:rFonts w:ascii="Arial" w:hAnsi="Arial" w:cs="Arial"/>
          <w:sz w:val="22"/>
          <w:szCs w:val="22"/>
        </w:rPr>
        <w:t>28</w:t>
      </w:r>
      <w:r w:rsidR="0081450C" w:rsidRPr="00F64D3B">
        <w:rPr>
          <w:rFonts w:ascii="Arial" w:hAnsi="Arial" w:cs="Arial"/>
          <w:sz w:val="22"/>
          <w:szCs w:val="22"/>
          <w:vertAlign w:val="superscript"/>
        </w:rPr>
        <w:t>th</w:t>
      </w:r>
      <w:r w:rsidR="0081450C" w:rsidRPr="00F64D3B">
        <w:rPr>
          <w:rFonts w:ascii="Arial" w:hAnsi="Arial" w:cs="Arial"/>
          <w:sz w:val="22"/>
          <w:szCs w:val="22"/>
        </w:rPr>
        <w:t xml:space="preserve"> and </w:t>
      </w:r>
      <w:proofErr w:type="spellStart"/>
      <w:r w:rsidR="0081450C" w:rsidRPr="00F64D3B">
        <w:rPr>
          <w:rFonts w:ascii="Arial" w:hAnsi="Arial" w:cs="Arial"/>
          <w:sz w:val="22"/>
          <w:szCs w:val="22"/>
        </w:rPr>
        <w:t>Passyunk</w:t>
      </w:r>
      <w:proofErr w:type="spellEnd"/>
      <w:r w:rsidR="0081450C" w:rsidRPr="00F64D3B">
        <w:rPr>
          <w:rFonts w:ascii="Arial" w:hAnsi="Arial" w:cs="Arial"/>
          <w:sz w:val="22"/>
          <w:szCs w:val="22"/>
        </w:rPr>
        <w:t xml:space="preserve">, which had the highest concentration of most VOCs compared to other sites, </w:t>
      </w:r>
      <w:r w:rsidR="00E270F4">
        <w:rPr>
          <w:rFonts w:ascii="Arial" w:hAnsi="Arial" w:cs="Arial"/>
          <w:sz w:val="22"/>
          <w:szCs w:val="22"/>
        </w:rPr>
        <w:t>consistently exhibited</w:t>
      </w:r>
      <w:r w:rsidR="00E51E45" w:rsidRPr="00F64D3B">
        <w:rPr>
          <w:rFonts w:ascii="Arial" w:hAnsi="Arial" w:cs="Arial"/>
          <w:sz w:val="22"/>
          <w:szCs w:val="22"/>
        </w:rPr>
        <w:t xml:space="preserve"> </w:t>
      </w:r>
      <w:r w:rsidR="00760ADF" w:rsidRPr="00F64D3B">
        <w:rPr>
          <w:rFonts w:ascii="Arial" w:hAnsi="Arial" w:cs="Arial"/>
          <w:sz w:val="22"/>
          <w:szCs w:val="22"/>
        </w:rPr>
        <w:t>the highest</w:t>
      </w:r>
      <w:r w:rsidR="00E51E45" w:rsidRPr="00F64D3B">
        <w:rPr>
          <w:rFonts w:ascii="Arial" w:hAnsi="Arial" w:cs="Arial"/>
          <w:sz w:val="22"/>
          <w:szCs w:val="22"/>
        </w:rPr>
        <w:t xml:space="preserve"> a</w:t>
      </w:r>
      <w:r w:rsidR="009D4776">
        <w:rPr>
          <w:rFonts w:ascii="Arial" w:hAnsi="Arial" w:cs="Arial"/>
          <w:sz w:val="22"/>
          <w:szCs w:val="22"/>
        </w:rPr>
        <w:t xml:space="preserve"> X</w:t>
      </w:r>
      <w:r w:rsidR="00E51E45" w:rsidRPr="00F64D3B">
        <w:rPr>
          <w:rFonts w:ascii="Arial" w:hAnsi="Arial" w:cs="Arial"/>
          <w:sz w:val="22"/>
          <w:szCs w:val="22"/>
        </w:rPr>
        <w:t>/E ratio compared to other sites</w:t>
      </w:r>
      <w:r w:rsidR="00760ADF" w:rsidRPr="00F64D3B">
        <w:rPr>
          <w:rFonts w:ascii="Arial" w:hAnsi="Arial" w:cs="Arial"/>
          <w:sz w:val="22"/>
          <w:szCs w:val="22"/>
        </w:rPr>
        <w:t xml:space="preserve"> (</w:t>
      </w:r>
      <w:r w:rsidR="00760ADF" w:rsidRPr="00F64D3B">
        <w:rPr>
          <w:rFonts w:ascii="Arial" w:hAnsi="Arial" w:cs="Arial"/>
          <w:b/>
          <w:bCs/>
          <w:sz w:val="22"/>
          <w:szCs w:val="22"/>
        </w:rPr>
        <w:t xml:space="preserve">Figure </w:t>
      </w:r>
      <w:r w:rsidR="00AB6969">
        <w:rPr>
          <w:rFonts w:ascii="Arial" w:hAnsi="Arial" w:cs="Arial"/>
          <w:b/>
          <w:bCs/>
          <w:sz w:val="22"/>
          <w:szCs w:val="22"/>
        </w:rPr>
        <w:t>S</w:t>
      </w:r>
      <w:r w:rsidR="00E270F4">
        <w:rPr>
          <w:rFonts w:ascii="Arial" w:hAnsi="Arial" w:cs="Arial"/>
          <w:b/>
          <w:bCs/>
          <w:sz w:val="22"/>
          <w:szCs w:val="22"/>
        </w:rPr>
        <w:t>21</w:t>
      </w:r>
      <w:r w:rsidR="00760ADF" w:rsidRPr="00F64D3B">
        <w:rPr>
          <w:rFonts w:ascii="Arial" w:hAnsi="Arial" w:cs="Arial"/>
          <w:sz w:val="22"/>
          <w:szCs w:val="22"/>
        </w:rPr>
        <w:t>)</w:t>
      </w:r>
      <w:r w:rsidR="00E270F4">
        <w:rPr>
          <w:rFonts w:ascii="Arial" w:hAnsi="Arial" w:cs="Arial"/>
          <w:sz w:val="22"/>
          <w:szCs w:val="22"/>
        </w:rPr>
        <w:t xml:space="preserve">. </w:t>
      </w:r>
      <w:r w:rsidR="00E51E45" w:rsidRPr="00F64D3B">
        <w:rPr>
          <w:rFonts w:ascii="Arial" w:hAnsi="Arial" w:cs="Arial"/>
          <w:sz w:val="22"/>
          <w:szCs w:val="22"/>
        </w:rPr>
        <w:t>This could be explained by its proximity to an active oil terminal</w:t>
      </w:r>
      <w:r w:rsidR="00E86BE3" w:rsidRPr="00F64D3B">
        <w:rPr>
          <w:rFonts w:ascii="Arial" w:hAnsi="Arial" w:cs="Arial"/>
          <w:sz w:val="22"/>
          <w:szCs w:val="22"/>
        </w:rPr>
        <w:t xml:space="preserve">, a major source of fresh xylenes emissions. </w:t>
      </w:r>
      <w:r w:rsidR="005A0895" w:rsidRPr="00F64D3B">
        <w:rPr>
          <w:rFonts w:ascii="Arial" w:hAnsi="Arial" w:cs="Arial"/>
          <w:sz w:val="22"/>
          <w:szCs w:val="22"/>
        </w:rPr>
        <w:t>A nearby site, 61</w:t>
      </w:r>
      <w:r w:rsidR="005A0895" w:rsidRPr="00F64D3B">
        <w:rPr>
          <w:rFonts w:ascii="Arial" w:hAnsi="Arial" w:cs="Arial"/>
          <w:sz w:val="22"/>
          <w:szCs w:val="22"/>
          <w:vertAlign w:val="superscript"/>
        </w:rPr>
        <w:t>st</w:t>
      </w:r>
      <w:r w:rsidR="005A0895" w:rsidRPr="00F64D3B">
        <w:rPr>
          <w:rFonts w:ascii="Arial" w:hAnsi="Arial" w:cs="Arial"/>
          <w:sz w:val="22"/>
          <w:szCs w:val="22"/>
        </w:rPr>
        <w:t xml:space="preserve"> and </w:t>
      </w:r>
      <w:proofErr w:type="spellStart"/>
      <w:r w:rsidR="005A0895" w:rsidRPr="00F64D3B">
        <w:rPr>
          <w:rFonts w:ascii="Arial" w:hAnsi="Arial" w:cs="Arial"/>
          <w:sz w:val="22"/>
          <w:szCs w:val="22"/>
        </w:rPr>
        <w:t>Passyunk</w:t>
      </w:r>
      <w:proofErr w:type="spellEnd"/>
      <w:r w:rsidR="005A0895" w:rsidRPr="00F64D3B">
        <w:rPr>
          <w:rFonts w:ascii="Arial" w:hAnsi="Arial" w:cs="Arial"/>
          <w:sz w:val="22"/>
          <w:szCs w:val="22"/>
        </w:rPr>
        <w:t xml:space="preserve">, demonstrated consistently higher T/B ratios </w:t>
      </w:r>
      <w:r w:rsidR="002F3DB0" w:rsidRPr="00F64D3B">
        <w:rPr>
          <w:rFonts w:ascii="Arial" w:hAnsi="Arial" w:cs="Arial"/>
          <w:sz w:val="22"/>
          <w:szCs w:val="22"/>
        </w:rPr>
        <w:t>than other sites</w:t>
      </w:r>
      <w:r w:rsidR="00760ADF" w:rsidRPr="00F64D3B">
        <w:rPr>
          <w:rFonts w:ascii="Arial" w:hAnsi="Arial" w:cs="Arial"/>
          <w:sz w:val="22"/>
          <w:szCs w:val="22"/>
        </w:rPr>
        <w:t xml:space="preserve"> (</w:t>
      </w:r>
      <w:r w:rsidR="00760ADF" w:rsidRPr="00F64D3B">
        <w:rPr>
          <w:rFonts w:ascii="Arial" w:hAnsi="Arial" w:cs="Arial"/>
          <w:b/>
          <w:bCs/>
          <w:sz w:val="22"/>
          <w:szCs w:val="22"/>
        </w:rPr>
        <w:t xml:space="preserve">Figure </w:t>
      </w:r>
      <w:r w:rsidR="00AB6969">
        <w:rPr>
          <w:rFonts w:ascii="Arial" w:hAnsi="Arial" w:cs="Arial"/>
          <w:b/>
          <w:bCs/>
          <w:sz w:val="22"/>
          <w:szCs w:val="22"/>
        </w:rPr>
        <w:t>S</w:t>
      </w:r>
      <w:r w:rsidR="00E270F4">
        <w:rPr>
          <w:rFonts w:ascii="Arial" w:hAnsi="Arial" w:cs="Arial"/>
          <w:b/>
          <w:bCs/>
          <w:sz w:val="22"/>
          <w:szCs w:val="22"/>
        </w:rPr>
        <w:t>20</w:t>
      </w:r>
      <w:r w:rsidR="00760ADF" w:rsidRPr="00F64D3B">
        <w:rPr>
          <w:rFonts w:ascii="Arial" w:hAnsi="Arial" w:cs="Arial"/>
          <w:sz w:val="22"/>
          <w:szCs w:val="22"/>
        </w:rPr>
        <w:t>)</w:t>
      </w:r>
      <w:r w:rsidR="002F3DB0" w:rsidRPr="00F64D3B">
        <w:rPr>
          <w:rFonts w:ascii="Arial" w:hAnsi="Arial" w:cs="Arial"/>
          <w:sz w:val="22"/>
          <w:szCs w:val="22"/>
        </w:rPr>
        <w:t>, though individual sources are harder to determine, as this area is high-traffic and industrial, with a high concentration of auto body shops.</w:t>
      </w:r>
      <w:r w:rsidR="005A0895" w:rsidRPr="00F64D3B">
        <w:rPr>
          <w:rFonts w:ascii="Arial" w:hAnsi="Arial" w:cs="Arial"/>
          <w:sz w:val="22"/>
          <w:szCs w:val="22"/>
        </w:rPr>
        <w:t xml:space="preserve"> </w:t>
      </w:r>
      <w:r w:rsidR="00B25A42" w:rsidRPr="00F64D3B">
        <w:rPr>
          <w:rFonts w:ascii="Arial" w:hAnsi="Arial" w:cs="Arial"/>
          <w:sz w:val="22"/>
          <w:szCs w:val="22"/>
        </w:rPr>
        <w:t xml:space="preserve">Among the sites sampled weekly, our background site in Bartram’s Garden had the lowest T/B and </w:t>
      </w:r>
      <w:r w:rsidR="009D4776">
        <w:rPr>
          <w:rFonts w:ascii="Arial" w:hAnsi="Arial" w:cs="Arial"/>
          <w:sz w:val="22"/>
          <w:szCs w:val="22"/>
        </w:rPr>
        <w:t>X</w:t>
      </w:r>
      <w:r w:rsidR="00B25A42" w:rsidRPr="00F64D3B">
        <w:rPr>
          <w:rFonts w:ascii="Arial" w:hAnsi="Arial" w:cs="Arial"/>
          <w:sz w:val="22"/>
          <w:szCs w:val="22"/>
        </w:rPr>
        <w:t>/E ratios, consistent with fewer fresh sources of BTEX nearby.</w:t>
      </w:r>
    </w:p>
    <w:p w14:paraId="364BEB5F" w14:textId="77777777" w:rsidR="00291DE6" w:rsidRPr="00F64D3B" w:rsidRDefault="00291DE6" w:rsidP="00973130">
      <w:pPr>
        <w:spacing w:line="360" w:lineRule="auto"/>
        <w:jc w:val="both"/>
        <w:rPr>
          <w:rFonts w:ascii="Arial" w:hAnsi="Arial" w:cs="Arial"/>
          <w:i/>
          <w:iCs/>
          <w:sz w:val="22"/>
          <w:szCs w:val="22"/>
        </w:rPr>
      </w:pPr>
    </w:p>
    <w:p w14:paraId="64E09F9E" w14:textId="4E1EAB3B" w:rsidR="00F8510C" w:rsidRPr="00F64D3B" w:rsidRDefault="00F8510C" w:rsidP="00973130">
      <w:pPr>
        <w:spacing w:line="360" w:lineRule="auto"/>
        <w:jc w:val="both"/>
        <w:rPr>
          <w:rFonts w:ascii="Arial" w:hAnsi="Arial" w:cs="Arial"/>
          <w:sz w:val="22"/>
          <w:szCs w:val="22"/>
          <w:u w:val="single"/>
        </w:rPr>
      </w:pPr>
      <w:r w:rsidRPr="00F64D3B">
        <w:rPr>
          <w:rFonts w:ascii="Arial" w:hAnsi="Arial" w:cs="Arial"/>
          <w:sz w:val="22"/>
          <w:szCs w:val="22"/>
          <w:u w:val="single"/>
        </w:rPr>
        <w:t>Principal Component Analysis</w:t>
      </w:r>
    </w:p>
    <w:p w14:paraId="452F8378" w14:textId="029779B4" w:rsidR="00262FA3" w:rsidRPr="00F64D3B" w:rsidRDefault="00AA0748" w:rsidP="00973130">
      <w:pPr>
        <w:spacing w:line="360" w:lineRule="auto"/>
        <w:jc w:val="both"/>
        <w:rPr>
          <w:rFonts w:ascii="Arial" w:hAnsi="Arial" w:cs="Arial"/>
          <w:sz w:val="22"/>
          <w:szCs w:val="22"/>
        </w:rPr>
      </w:pPr>
      <w:r w:rsidRPr="00F64D3B">
        <w:rPr>
          <w:rFonts w:ascii="Arial" w:hAnsi="Arial" w:cs="Arial"/>
          <w:sz w:val="22"/>
          <w:szCs w:val="22"/>
        </w:rPr>
        <w:lastRenderedPageBreak/>
        <w:t xml:space="preserve">PCA resulted in 4 components, explaining in total </w:t>
      </w:r>
      <w:r w:rsidR="00233A5C">
        <w:rPr>
          <w:rFonts w:ascii="Arial" w:hAnsi="Arial" w:cs="Arial"/>
          <w:sz w:val="22"/>
          <w:szCs w:val="22"/>
        </w:rPr>
        <w:t>88</w:t>
      </w:r>
      <w:r w:rsidRPr="00F64D3B">
        <w:rPr>
          <w:rFonts w:ascii="Arial" w:hAnsi="Arial" w:cs="Arial"/>
          <w:sz w:val="22"/>
          <w:szCs w:val="22"/>
        </w:rPr>
        <w:t>% of variance after accounting for</w:t>
      </w:r>
      <w:r w:rsidR="00F954AC" w:rsidRPr="00F64D3B">
        <w:rPr>
          <w:rFonts w:ascii="Arial" w:hAnsi="Arial" w:cs="Arial"/>
          <w:sz w:val="22"/>
          <w:szCs w:val="22"/>
        </w:rPr>
        <w:t xml:space="preserve"> </w:t>
      </w:r>
      <w:r w:rsidR="00935339">
        <w:rPr>
          <w:rFonts w:ascii="Arial" w:hAnsi="Arial" w:cs="Arial"/>
          <w:sz w:val="22"/>
          <w:szCs w:val="22"/>
        </w:rPr>
        <w:t>within-week clustering</w:t>
      </w:r>
      <w:r w:rsidRPr="00F64D3B">
        <w:rPr>
          <w:rFonts w:ascii="Arial" w:hAnsi="Arial" w:cs="Arial"/>
          <w:sz w:val="22"/>
          <w:szCs w:val="22"/>
        </w:rPr>
        <w:t xml:space="preserve">. </w:t>
      </w:r>
      <w:r w:rsidR="00262FA3" w:rsidRPr="00F64D3B">
        <w:rPr>
          <w:rFonts w:ascii="Arial" w:hAnsi="Arial" w:cs="Arial"/>
          <w:sz w:val="22"/>
          <w:szCs w:val="22"/>
        </w:rPr>
        <w:t xml:space="preserve">Based on the component loadings </w:t>
      </w:r>
      <w:r w:rsidR="00F954AC" w:rsidRPr="00F64D3B">
        <w:rPr>
          <w:rFonts w:ascii="Arial" w:hAnsi="Arial" w:cs="Arial"/>
          <w:sz w:val="22"/>
          <w:szCs w:val="22"/>
        </w:rPr>
        <w:t>(</w:t>
      </w:r>
      <w:r w:rsidR="00F954AC" w:rsidRPr="00F64D3B">
        <w:rPr>
          <w:rFonts w:ascii="Arial" w:hAnsi="Arial" w:cs="Arial"/>
          <w:b/>
          <w:bCs/>
          <w:sz w:val="22"/>
          <w:szCs w:val="22"/>
        </w:rPr>
        <w:t xml:space="preserve">Figure </w:t>
      </w:r>
      <w:r w:rsidR="00AB6969">
        <w:rPr>
          <w:rFonts w:ascii="Arial" w:hAnsi="Arial" w:cs="Arial"/>
          <w:b/>
          <w:bCs/>
          <w:sz w:val="22"/>
          <w:szCs w:val="22"/>
        </w:rPr>
        <w:t>2</w:t>
      </w:r>
      <w:r w:rsidR="00F954AC" w:rsidRPr="00F64D3B">
        <w:rPr>
          <w:rFonts w:ascii="Arial" w:hAnsi="Arial" w:cs="Arial"/>
          <w:sz w:val="22"/>
          <w:szCs w:val="22"/>
        </w:rPr>
        <w:t xml:space="preserve">), </w:t>
      </w:r>
      <w:r w:rsidR="00262FA3" w:rsidRPr="00F64D3B">
        <w:rPr>
          <w:rFonts w:ascii="Arial" w:hAnsi="Arial" w:cs="Arial"/>
          <w:sz w:val="22"/>
          <w:szCs w:val="22"/>
        </w:rPr>
        <w:t>we suggest the following interpretation of the four components:</w:t>
      </w:r>
    </w:p>
    <w:p w14:paraId="4AD365D7" w14:textId="77777777" w:rsidR="00262FA3" w:rsidRPr="00F64D3B" w:rsidRDefault="00262FA3" w:rsidP="00973130">
      <w:pPr>
        <w:spacing w:line="360" w:lineRule="auto"/>
        <w:jc w:val="both"/>
        <w:rPr>
          <w:rFonts w:ascii="Arial" w:hAnsi="Arial" w:cs="Arial"/>
          <w:sz w:val="22"/>
          <w:szCs w:val="22"/>
        </w:rPr>
      </w:pPr>
    </w:p>
    <w:p w14:paraId="7E8C68B1" w14:textId="34EF74C5" w:rsidR="00262FA3" w:rsidRDefault="00262FA3" w:rsidP="00973130">
      <w:pPr>
        <w:spacing w:line="360" w:lineRule="auto"/>
        <w:jc w:val="both"/>
        <w:rPr>
          <w:rFonts w:ascii="Arial" w:hAnsi="Arial" w:cs="Arial"/>
          <w:sz w:val="22"/>
          <w:szCs w:val="22"/>
        </w:rPr>
      </w:pPr>
      <w:r w:rsidRPr="003D6A7C">
        <w:rPr>
          <w:rFonts w:ascii="Arial" w:hAnsi="Arial" w:cs="Arial"/>
          <w:sz w:val="22"/>
          <w:szCs w:val="22"/>
        </w:rPr>
        <w:t>Component 1</w:t>
      </w:r>
      <w:r w:rsidR="003D6A7C">
        <w:rPr>
          <w:rFonts w:ascii="Arial" w:hAnsi="Arial" w:cs="Arial"/>
          <w:sz w:val="22"/>
          <w:szCs w:val="22"/>
        </w:rPr>
        <w:t>, explaining</w:t>
      </w:r>
      <w:r w:rsidR="003D6A7C" w:rsidRPr="003D6A7C">
        <w:rPr>
          <w:rFonts w:ascii="Arial" w:hAnsi="Arial" w:cs="Arial"/>
          <w:sz w:val="22"/>
          <w:szCs w:val="22"/>
        </w:rPr>
        <w:t xml:space="preserve"> 71% of </w:t>
      </w:r>
      <w:r w:rsidR="003D6A7C">
        <w:rPr>
          <w:rFonts w:ascii="Arial" w:hAnsi="Arial" w:cs="Arial"/>
          <w:sz w:val="22"/>
          <w:szCs w:val="22"/>
        </w:rPr>
        <w:t xml:space="preserve">variance, </w:t>
      </w:r>
      <w:r w:rsidR="00025B3B">
        <w:rPr>
          <w:rFonts w:ascii="Arial" w:hAnsi="Arial" w:cs="Arial"/>
          <w:sz w:val="22"/>
          <w:szCs w:val="22"/>
        </w:rPr>
        <w:t xml:space="preserve">is likely due to </w:t>
      </w:r>
      <w:r w:rsidR="003D6A7C">
        <w:rPr>
          <w:rFonts w:ascii="Arial" w:hAnsi="Arial" w:cs="Arial"/>
          <w:sz w:val="22"/>
          <w:szCs w:val="22"/>
        </w:rPr>
        <w:t>m</w:t>
      </w:r>
      <w:r w:rsidRPr="003D6A7C">
        <w:rPr>
          <w:rFonts w:ascii="Arial" w:hAnsi="Arial" w:cs="Arial"/>
          <w:sz w:val="22"/>
          <w:szCs w:val="22"/>
        </w:rPr>
        <w:t>ixed urban / industrial sources</w:t>
      </w:r>
      <w:r w:rsidR="00C26BA9" w:rsidRPr="003D6A7C">
        <w:rPr>
          <w:rFonts w:ascii="Arial" w:hAnsi="Arial" w:cs="Arial"/>
          <w:sz w:val="22"/>
          <w:szCs w:val="22"/>
        </w:rPr>
        <w:t xml:space="preserve"> with combustion signatures.</w:t>
      </w:r>
      <w:r w:rsidR="00025B3B">
        <w:rPr>
          <w:rFonts w:ascii="Arial" w:hAnsi="Arial" w:cs="Arial"/>
          <w:sz w:val="22"/>
          <w:szCs w:val="22"/>
        </w:rPr>
        <w:t xml:space="preserve"> </w:t>
      </w:r>
      <w:r w:rsidRPr="00025B3B">
        <w:rPr>
          <w:rFonts w:ascii="Arial" w:hAnsi="Arial" w:cs="Arial"/>
          <w:sz w:val="22"/>
          <w:szCs w:val="22"/>
        </w:rPr>
        <w:t xml:space="preserve">BTEX compounds </w:t>
      </w:r>
      <w:r w:rsidR="0038100B">
        <w:rPr>
          <w:rFonts w:ascii="Arial" w:hAnsi="Arial" w:cs="Arial"/>
          <w:sz w:val="22"/>
          <w:szCs w:val="22"/>
        </w:rPr>
        <w:t xml:space="preserve">can </w:t>
      </w:r>
      <w:r w:rsidRPr="00025B3B">
        <w:rPr>
          <w:rFonts w:ascii="Arial" w:hAnsi="Arial" w:cs="Arial"/>
          <w:sz w:val="22"/>
          <w:szCs w:val="22"/>
        </w:rPr>
        <w:t>indicate</w:t>
      </w:r>
      <w:r w:rsidR="0038100B">
        <w:rPr>
          <w:rFonts w:ascii="Arial" w:hAnsi="Arial" w:cs="Arial"/>
          <w:sz w:val="22"/>
          <w:szCs w:val="22"/>
        </w:rPr>
        <w:t xml:space="preserve"> both</w:t>
      </w:r>
      <w:r w:rsidRPr="00025B3B">
        <w:rPr>
          <w:rFonts w:ascii="Arial" w:hAnsi="Arial" w:cs="Arial"/>
          <w:sz w:val="22"/>
          <w:szCs w:val="22"/>
        </w:rPr>
        <w:t xml:space="preserve"> traffic </w:t>
      </w:r>
      <w:r w:rsidR="0038100B">
        <w:rPr>
          <w:rFonts w:ascii="Arial" w:hAnsi="Arial" w:cs="Arial"/>
          <w:sz w:val="22"/>
          <w:szCs w:val="22"/>
        </w:rPr>
        <w:t xml:space="preserve">combustion </w:t>
      </w:r>
      <w:r w:rsidRPr="00025B3B">
        <w:rPr>
          <w:rFonts w:ascii="Arial" w:hAnsi="Arial" w:cs="Arial"/>
          <w:sz w:val="22"/>
          <w:szCs w:val="22"/>
        </w:rPr>
        <w:t xml:space="preserve">emissions and </w:t>
      </w:r>
      <w:r w:rsidR="0038100B">
        <w:rPr>
          <w:rFonts w:ascii="Arial" w:hAnsi="Arial" w:cs="Arial"/>
          <w:sz w:val="22"/>
          <w:szCs w:val="22"/>
        </w:rPr>
        <w:t>industrial sources such as solvents</w:t>
      </w:r>
      <w:r w:rsidR="00612F72">
        <w:rPr>
          <w:rFonts w:ascii="Arial" w:hAnsi="Arial" w:cs="Arial"/>
          <w:sz w:val="22"/>
          <w:szCs w:val="22"/>
        </w:rPr>
        <w:t>.</w:t>
      </w:r>
      <w:r w:rsidR="00612F72">
        <w:rPr>
          <w:rFonts w:ascii="Arial" w:hAnsi="Arial" w:cs="Arial"/>
          <w:sz w:val="22"/>
          <w:szCs w:val="22"/>
        </w:rPr>
        <w:fldChar w:fldCharType="begin"/>
      </w:r>
      <w:r w:rsidR="00612F72">
        <w:rPr>
          <w:rFonts w:ascii="Arial" w:hAnsi="Arial" w:cs="Arial"/>
          <w:sz w:val="22"/>
          <w:szCs w:val="22"/>
        </w:rPr>
        <w:instrText xml:space="preserve"> ADDIN ZOTERO_ITEM CSL_CITATION {"citationID":"zRXFPOnB","properties":{"formattedCitation":"\\super 43\\nosupersub{}","plainCitation":"43","noteIndex":0},"citationItems":[{"id":16873,"uris":["http://zotero.org/groups/4923232/items/WT4VQITE"],"itemData":{"id":16873,"type":"report","event-place":"Boston, MA","genre":"Research Report","number":"156","publisher":"Health Effects Institute","publisher-place":"Boston, MA","title":"Concentrations of Air Toxics in Motor Vehicle-Dominated Environments","author":[{"literal":"Eric M. Fujita"},{"literal":"David E. Campbell"},{"literal":"Barbara Zielinska"},{"literal":"William P. Arnott"},{"literal":"Judith C. Chow"}],"issued":{"date-parts":[["2011",2]]}}}],"schema":"https://github.com/citation-style-language/schema/raw/master/csl-citation.json"} </w:instrText>
      </w:r>
      <w:r w:rsidR="00612F72">
        <w:rPr>
          <w:rFonts w:ascii="Arial" w:hAnsi="Arial" w:cs="Arial"/>
          <w:sz w:val="22"/>
          <w:szCs w:val="22"/>
        </w:rPr>
        <w:fldChar w:fldCharType="separate"/>
      </w:r>
      <w:r w:rsidR="00612F72" w:rsidRPr="00612F72">
        <w:rPr>
          <w:rFonts w:ascii="Arial" w:hAnsi="Arial" w:cs="Arial"/>
          <w:kern w:val="0"/>
          <w:sz w:val="22"/>
          <w:vertAlign w:val="superscript"/>
        </w:rPr>
        <w:t>43</w:t>
      </w:r>
      <w:r w:rsidR="00612F72">
        <w:rPr>
          <w:rFonts w:ascii="Arial" w:hAnsi="Arial" w:cs="Arial"/>
          <w:sz w:val="22"/>
          <w:szCs w:val="22"/>
        </w:rPr>
        <w:fldChar w:fldCharType="end"/>
      </w:r>
      <w:r w:rsidR="0038100B">
        <w:rPr>
          <w:rFonts w:ascii="Arial" w:hAnsi="Arial" w:cs="Arial"/>
          <w:sz w:val="22"/>
          <w:szCs w:val="22"/>
        </w:rPr>
        <w:t xml:space="preserve"> </w:t>
      </w:r>
      <w:r w:rsidR="004F6F3E">
        <w:rPr>
          <w:rFonts w:ascii="Arial" w:hAnsi="Arial" w:cs="Arial"/>
          <w:sz w:val="22"/>
          <w:szCs w:val="22"/>
        </w:rPr>
        <w:t>Short-lived branched alkanes such as isopentane are indicative of nearby non-combustion sources, such as from fuel evaporation</w:t>
      </w:r>
      <w:r w:rsidR="006D455B">
        <w:rPr>
          <w:rFonts w:ascii="Arial" w:hAnsi="Arial" w:cs="Arial"/>
          <w:sz w:val="22"/>
          <w:szCs w:val="22"/>
        </w:rPr>
        <w:t>,</w:t>
      </w:r>
      <w:r w:rsidR="006D455B" w:rsidRPr="00741217">
        <w:rPr>
          <w:rFonts w:ascii="Arial" w:hAnsi="Arial" w:cs="Arial"/>
          <w:sz w:val="22"/>
          <w:szCs w:val="22"/>
        </w:rPr>
        <w:fldChar w:fldCharType="begin"/>
      </w:r>
      <w:r w:rsidR="00612F72">
        <w:rPr>
          <w:rFonts w:ascii="Arial" w:hAnsi="Arial" w:cs="Arial"/>
          <w:sz w:val="22"/>
          <w:szCs w:val="22"/>
        </w:rPr>
        <w:instrText xml:space="preserve"> ADDIN ZOTERO_ITEM CSL_CITATION {"citationID":"ba0DHBlx","properties":{"formattedCitation":"\\super 44\\nosupersub{}","plainCitation":"44","noteIndex":0},"citationItems":[{"id":16769,"uris":["http://zotero.org/groups/4923232/items/5RS8CSQX"],"itemData":{"id":16769,"type":"report","event-place":"Washington, DC","number":"EPA-420-R-11-018","publisher":"US Environmental Protection Agency","publisher-place":"Washington, DC","title":"Hydrocarbon Composition of Gasoline Vapor Emissions from Enclosed Fuel Tanks","issued":{"date-parts":[["2011",12]]}}}],"schema":"https://github.com/citation-style-language/schema/raw/master/csl-citation.json"} </w:instrText>
      </w:r>
      <w:r w:rsidR="006D455B" w:rsidRPr="00741217">
        <w:rPr>
          <w:rFonts w:ascii="Arial" w:hAnsi="Arial" w:cs="Arial"/>
          <w:sz w:val="22"/>
          <w:szCs w:val="22"/>
        </w:rPr>
        <w:fldChar w:fldCharType="separate"/>
      </w:r>
      <w:r w:rsidR="00612F72" w:rsidRPr="00612F72">
        <w:rPr>
          <w:rFonts w:ascii="Arial" w:hAnsi="Arial" w:cs="Arial"/>
          <w:kern w:val="0"/>
          <w:sz w:val="22"/>
          <w:vertAlign w:val="superscript"/>
        </w:rPr>
        <w:t>44</w:t>
      </w:r>
      <w:r w:rsidR="006D455B" w:rsidRPr="00741217">
        <w:rPr>
          <w:rFonts w:ascii="Arial" w:hAnsi="Arial" w:cs="Arial"/>
          <w:sz w:val="22"/>
          <w:szCs w:val="22"/>
        </w:rPr>
        <w:fldChar w:fldCharType="end"/>
      </w:r>
      <w:r w:rsidR="006D455B">
        <w:rPr>
          <w:rFonts w:ascii="Arial" w:hAnsi="Arial" w:cs="Arial"/>
          <w:sz w:val="22"/>
          <w:szCs w:val="22"/>
        </w:rPr>
        <w:t xml:space="preserve"> </w:t>
      </w:r>
      <w:r w:rsidR="00926D30">
        <w:rPr>
          <w:rFonts w:ascii="Arial" w:hAnsi="Arial" w:cs="Arial"/>
          <w:sz w:val="22"/>
          <w:szCs w:val="22"/>
        </w:rPr>
        <w:t>while a</w:t>
      </w:r>
      <w:r w:rsidRPr="00025B3B">
        <w:rPr>
          <w:rFonts w:ascii="Arial" w:hAnsi="Arial" w:cs="Arial"/>
          <w:sz w:val="22"/>
          <w:szCs w:val="22"/>
        </w:rPr>
        <w:t xml:space="preserve">lkenes such as 1-hexene and 2-cis-pentene are </w:t>
      </w:r>
      <w:r w:rsidR="00952221" w:rsidRPr="00025B3B">
        <w:rPr>
          <w:rFonts w:ascii="Arial" w:hAnsi="Arial" w:cs="Arial"/>
          <w:sz w:val="22"/>
          <w:szCs w:val="22"/>
        </w:rPr>
        <w:t xml:space="preserve">indicative of </w:t>
      </w:r>
      <w:r w:rsidR="00992EA9">
        <w:rPr>
          <w:rFonts w:ascii="Arial" w:hAnsi="Arial" w:cs="Arial"/>
          <w:sz w:val="22"/>
          <w:szCs w:val="22"/>
        </w:rPr>
        <w:t xml:space="preserve">incomplete </w:t>
      </w:r>
      <w:r w:rsidR="00952221" w:rsidRPr="00025B3B">
        <w:rPr>
          <w:rFonts w:ascii="Arial" w:hAnsi="Arial" w:cs="Arial"/>
          <w:sz w:val="22"/>
          <w:szCs w:val="22"/>
        </w:rPr>
        <w:t>combustion</w:t>
      </w:r>
      <w:r w:rsidRPr="00025B3B">
        <w:rPr>
          <w:rFonts w:ascii="Arial" w:hAnsi="Arial" w:cs="Arial"/>
          <w:sz w:val="22"/>
          <w:szCs w:val="22"/>
        </w:rPr>
        <w:t xml:space="preserve"> products</w:t>
      </w:r>
      <w:r w:rsidR="004F6F3E">
        <w:rPr>
          <w:rFonts w:ascii="Arial" w:hAnsi="Arial" w:cs="Arial"/>
          <w:sz w:val="22"/>
          <w:szCs w:val="22"/>
        </w:rPr>
        <w:t>, suggesting traffic exhaust</w:t>
      </w:r>
      <w:r w:rsidRPr="00025B3B">
        <w:rPr>
          <w:rFonts w:ascii="Arial" w:hAnsi="Arial" w:cs="Arial"/>
          <w:sz w:val="22"/>
          <w:szCs w:val="22"/>
        </w:rPr>
        <w:t>.</w:t>
      </w:r>
      <w:r w:rsidR="00DB298A" w:rsidRPr="00025B3B">
        <w:rPr>
          <w:rFonts w:ascii="Arial" w:hAnsi="Arial" w:cs="Arial"/>
          <w:sz w:val="22"/>
          <w:szCs w:val="22"/>
        </w:rPr>
        <w:fldChar w:fldCharType="begin"/>
      </w:r>
      <w:r w:rsidR="00612F72">
        <w:rPr>
          <w:rFonts w:ascii="Arial" w:hAnsi="Arial" w:cs="Arial"/>
          <w:sz w:val="22"/>
          <w:szCs w:val="22"/>
        </w:rPr>
        <w:instrText xml:space="preserve"> ADDIN ZOTERO_ITEM CSL_CITATION {"citationID":"FRDnqqSZ","properties":{"formattedCitation":"\\super 45,46\\nosupersub{}","plainCitation":"45,46","noteIndex":0},"citationItems":[{"id":16712,"uris":["http://zotero.org/groups/4923232/items/MYUPN7DU"],"itemData":{"id":16712,"type":"article-journal","abstract":"The chemical mass balance (CMB) receptor model has apportioned volatile organic compounds (VOCs) in more than 20 urban areas, mostly in the United States. These applications differ in terms of the total fraction apportioned, the calculation method, the chemical compounds used in the calculation, the apportionment units, and the source profiles applied. Nevertheless, they show similar results for VOC fractions contributed by different sources. Gasoline vehicle exhaust, liquid gasoline, and gasoline evaporation contribute up to 50% or more of the ambient VOCs in many of these studies. Relative motor vehicle source contributions determined by CMB were similar to or larger than their proportions in emissions inventories. Coatings and solvent contributions from CMB were much lower than the proportions attributed to these sources in current emissions inventories. Several measurement and reporting conventions would facilitate CMB analyses of VOC data sets.","container-title":"Atmospheric Environment","DOI":"10.1016/S1352-2310(00)00461-1","ISSN":"1352-2310","issue":"9","journalAbbreviation":"Atmospheric Environment","page":"1567-1584","source":"ScienceDirect","title":"Review of volatile organic compound source apportionment by chemical mass balance","volume":"35","author":[{"family":"Watson","given":"John G."},{"family":"Chow","given":"Judith C."},{"family":"Fujita","given":"Eric M."}],"issued":{"date-parts":[["2001",3,1]]}}},{"id":16767,"uris":["http://zotero.org/groups/4923232/items/MXXDMUD5"],"itemData":{"id":16767,"type":"article-journal","abstract":"Two chemical mass balance receptor models are developed which can determine the source contributions to atmospheric pollutant concentrations using organic compounds as tracers. The first model uses particle-phase organic compounds to apportion the primary source contributions to atmospheric fine particulate organic carbon concentrations and fine particle mass concentrations. The second receptor model simultaneously uses both volatile gas-phase hydrocarbons and particle-phase organic compounds as tracers to determine source contributions to non-methane organic gases in the atmosphere. Both models are applied to data collected in California's San Joaquin Valley during two severe wintertime air pollution episodes. Source contributions to fine particle air quality are calculated for two urban sites, Fresno and Bakersfield, and one background site, Kern Wildlife Refuge. Primary particle emissions from hardwood combustion, softwood combustion, diesel engines, meat cooking, and gasoline-powered motor vehicles contribute on average 79% of the airborne fine particle organic compound mass at the urban sites during both episodes with smaller but still measurable contributions from fine particle road dust and natural gas combustion aerosol. Anthropogenic primary particle sources contribute less than 10% of the fine particle mass concentration at the background site. The combined gas-phase and particle-phase organic compound receptor model shows that gasoline-powered motor vehicle exhaust and gasoline vapors are the largest contributors to non-methane organic gases concentrations followed by natural gas leakage. Smaller but statistically significant contributions to organic vapors from wood combustion, meat cooking, and diesel exhaust also are quantified.","container-title":"Environmental Science &amp; Technology","DOI":"10.1021/es981312t","ISSN":"0013-936X","issue":"9","journalAbbreviation":"Environ. Sci. Technol.","note":"publisher: American Chemical Society","page":"1821-1832","source":"ACS Publications","title":"Source Apportionment of Wintertime Gas-Phase and Particle-Phase Air Pollutants Using Organic Compounds as Tracers","volume":"34","author":[{"family":"Schauer","given":"James J."},{"family":"Cass","given":"Glen R."}],"issued":{"date-parts":[["2000",5,1]]}}}],"schema":"https://github.com/citation-style-language/schema/raw/master/csl-citation.json"} </w:instrText>
      </w:r>
      <w:r w:rsidR="00DB298A" w:rsidRPr="00025B3B">
        <w:rPr>
          <w:rFonts w:ascii="Arial" w:hAnsi="Arial" w:cs="Arial"/>
          <w:sz w:val="22"/>
          <w:szCs w:val="22"/>
        </w:rPr>
        <w:fldChar w:fldCharType="separate"/>
      </w:r>
      <w:r w:rsidR="00612F72" w:rsidRPr="00612F72">
        <w:rPr>
          <w:rFonts w:ascii="Arial" w:hAnsi="Arial" w:cs="Arial"/>
          <w:kern w:val="0"/>
          <w:sz w:val="22"/>
          <w:vertAlign w:val="superscript"/>
        </w:rPr>
        <w:t>45,46</w:t>
      </w:r>
      <w:r w:rsidR="00DB298A" w:rsidRPr="00025B3B">
        <w:rPr>
          <w:rFonts w:ascii="Arial" w:hAnsi="Arial" w:cs="Arial"/>
          <w:sz w:val="22"/>
          <w:szCs w:val="22"/>
        </w:rPr>
        <w:fldChar w:fldCharType="end"/>
      </w:r>
      <w:r w:rsidR="00B14240">
        <w:rPr>
          <w:rFonts w:ascii="Arial" w:hAnsi="Arial" w:cs="Arial"/>
          <w:sz w:val="22"/>
          <w:szCs w:val="22"/>
        </w:rPr>
        <w:t xml:space="preserve"> </w:t>
      </w:r>
      <w:r w:rsidR="004F6F3E">
        <w:rPr>
          <w:rFonts w:ascii="Arial" w:hAnsi="Arial" w:cs="Arial"/>
          <w:sz w:val="22"/>
          <w:szCs w:val="22"/>
        </w:rPr>
        <w:t xml:space="preserve">Component 2, explaining 7.4% of variance, is enriched in methylcyclohexane and </w:t>
      </w:r>
      <w:r w:rsidR="0087408D">
        <w:rPr>
          <w:rFonts w:ascii="Arial" w:hAnsi="Arial" w:cs="Arial"/>
          <w:sz w:val="22"/>
          <w:szCs w:val="22"/>
        </w:rPr>
        <w:t>longer (C11-C12) alkanes</w:t>
      </w:r>
      <w:r w:rsidR="00A7162B">
        <w:rPr>
          <w:rFonts w:ascii="Arial" w:hAnsi="Arial" w:cs="Arial"/>
          <w:sz w:val="22"/>
          <w:szCs w:val="22"/>
        </w:rPr>
        <w:t xml:space="preserve"> and alkylbenzenes, but compared to component 1,</w:t>
      </w:r>
      <w:r w:rsidR="00B25FC3">
        <w:rPr>
          <w:rFonts w:ascii="Arial" w:hAnsi="Arial" w:cs="Arial"/>
          <w:sz w:val="22"/>
          <w:szCs w:val="22"/>
        </w:rPr>
        <w:t xml:space="preserve"> has smaller loadings from </w:t>
      </w:r>
      <w:r w:rsidR="006F5D0D">
        <w:rPr>
          <w:rFonts w:ascii="Arial" w:hAnsi="Arial" w:cs="Arial"/>
          <w:sz w:val="22"/>
          <w:szCs w:val="22"/>
        </w:rPr>
        <w:t xml:space="preserve">BTEX, </w:t>
      </w:r>
      <w:r w:rsidR="00B25FC3">
        <w:rPr>
          <w:rFonts w:ascii="Arial" w:hAnsi="Arial" w:cs="Arial"/>
          <w:sz w:val="22"/>
          <w:szCs w:val="22"/>
        </w:rPr>
        <w:t>short</w:t>
      </w:r>
      <w:r w:rsidR="00C267C5">
        <w:rPr>
          <w:rFonts w:ascii="Arial" w:hAnsi="Arial" w:cs="Arial"/>
          <w:sz w:val="22"/>
          <w:szCs w:val="22"/>
        </w:rPr>
        <w:t>er half-life</w:t>
      </w:r>
      <w:r w:rsidR="00B25FC3">
        <w:rPr>
          <w:rFonts w:ascii="Arial" w:hAnsi="Arial" w:cs="Arial"/>
          <w:sz w:val="22"/>
          <w:szCs w:val="22"/>
        </w:rPr>
        <w:t xml:space="preserve"> branched alkanes, and negative isopentane</w:t>
      </w:r>
      <w:r w:rsidR="00A7162B">
        <w:rPr>
          <w:rFonts w:ascii="Arial" w:hAnsi="Arial" w:cs="Arial"/>
          <w:sz w:val="22"/>
          <w:szCs w:val="22"/>
        </w:rPr>
        <w:t xml:space="preserve"> loading. Together, these </w:t>
      </w:r>
      <w:r w:rsidR="00992EA9">
        <w:rPr>
          <w:rFonts w:ascii="Arial" w:hAnsi="Arial" w:cs="Arial"/>
          <w:sz w:val="22"/>
          <w:szCs w:val="22"/>
        </w:rPr>
        <w:t xml:space="preserve">loadings suggest </w:t>
      </w:r>
      <w:r w:rsidR="00214B22">
        <w:rPr>
          <w:rFonts w:ascii="Arial" w:hAnsi="Arial" w:cs="Arial"/>
          <w:sz w:val="22"/>
          <w:szCs w:val="22"/>
        </w:rPr>
        <w:t>petroleum</w:t>
      </w:r>
      <w:r w:rsidR="00F01E2B">
        <w:rPr>
          <w:rFonts w:ascii="Arial" w:hAnsi="Arial" w:cs="Arial"/>
          <w:sz w:val="22"/>
          <w:szCs w:val="22"/>
        </w:rPr>
        <w:t>-based</w:t>
      </w:r>
      <w:r w:rsidR="00214B22">
        <w:rPr>
          <w:rFonts w:ascii="Arial" w:hAnsi="Arial" w:cs="Arial"/>
          <w:sz w:val="22"/>
          <w:szCs w:val="22"/>
        </w:rPr>
        <w:t xml:space="preserve"> </w:t>
      </w:r>
      <w:r w:rsidR="00992EA9">
        <w:rPr>
          <w:rFonts w:ascii="Arial" w:hAnsi="Arial" w:cs="Arial"/>
          <w:sz w:val="22"/>
          <w:szCs w:val="22"/>
        </w:rPr>
        <w:t>solvents such as those used by auto body shops.</w:t>
      </w:r>
      <w:r w:rsidR="00653AF1">
        <w:rPr>
          <w:rFonts w:ascii="Arial" w:hAnsi="Arial" w:cs="Arial"/>
          <w:sz w:val="22"/>
          <w:szCs w:val="22"/>
        </w:rPr>
        <w:fldChar w:fldCharType="begin"/>
      </w:r>
      <w:r w:rsidR="00C31C4A">
        <w:rPr>
          <w:rFonts w:ascii="Arial" w:hAnsi="Arial" w:cs="Arial"/>
          <w:sz w:val="22"/>
          <w:szCs w:val="22"/>
        </w:rPr>
        <w:instrText xml:space="preserve"> ADDIN ZOTERO_ITEM CSL_CITATION {"citationID":"ud8badks","properties":{"formattedCitation":"\\super 47\\nosupersub{}","plainCitation":"47","noteIndex":0},"citationItems":[{"id":16874,"uris":["http://zotero.org/groups/4923232/items/XXCZ6M3B"],"itemData":{"id":16874,"type":"article-journal","abstract":"A gap in emission inventories of urban volatile organic compound (VOC) sources, which contribute to regional ozone and aerosol burdens, has increased as transportation emissions in the United States and Europe have declined rapidly. A detailed mass balance demonstrates that the use of volatile chemical products (VCPs)—including pesticides, coatings, printing inks, adhesives, cleaning agents, and personal care products—now constitutes half of fossil fuel VOC emissions in industrialized cities. The high fraction of VCP emissions is consistent with observed urban outdoor and indoor air measurements. We show that human exposure to carbonaceous aerosols of fossil origin is transitioning away from transportation-related sources and toward VCPs. Existing U.S. regulations on VCPs emphasize mitigating ozone and air toxics, but they currently exempt many chemicals that lead to secondary organic aerosols.","container-title":"Science","DOI":"10.1126/science.aaq0524","issue":"6377","note":"publisher: American Association for the Advancement of Science","page":"760-764","source":"science.org (Atypon)","title":"Volatile chemical products emerging as largest petrochemical source of urban organic emissions","volume":"359","author":[{"family":"McDonald","given":"Brian C."},{"family":"Gouw","given":"Joost A.","non-dropping-particle":"de"},{"family":"Gilman","given":"Jessica B."},{"family":"Jathar","given":"Shantanu H."},{"family":"Akherati","given":"Ali"},{"family":"Cappa","given":"Christopher D."},{"family":"Jimenez","given":"Jose L."},{"family":"Lee-Taylor","given":"Julia"},{"family":"Hayes","given":"Patrick L."},{"family":"McKeen","given":"Stuart A."},{"family":"Cui","given":"Yu Yan"},{"family":"Kim","given":"Si-Wan"},{"family":"Gentner","given":"Drew R."},{"family":"Isaacman-VanWertz","given":"Gabriel"},{"family":"Goldstein","given":"Allen H."},{"family":"Harley","given":"Robert A."},{"family":"Frost","given":"Gregory J."},{"family":"Roberts","given":"James M."},{"family":"Ryerson","given":"Thomas B."},{"family":"Trainer","given":"Michael"}],"issued":{"date-parts":[["2018",2,16]]}}}],"schema":"https://github.com/citation-style-language/schema/raw/master/csl-citation.json"} </w:instrText>
      </w:r>
      <w:r w:rsidR="00653AF1">
        <w:rPr>
          <w:rFonts w:ascii="Arial" w:hAnsi="Arial" w:cs="Arial"/>
          <w:sz w:val="22"/>
          <w:szCs w:val="22"/>
        </w:rPr>
        <w:fldChar w:fldCharType="separate"/>
      </w:r>
      <w:r w:rsidR="00C31C4A" w:rsidRPr="00C31C4A">
        <w:rPr>
          <w:rFonts w:ascii="Arial" w:hAnsi="Arial" w:cs="Arial"/>
          <w:kern w:val="0"/>
          <w:sz w:val="22"/>
          <w:vertAlign w:val="superscript"/>
        </w:rPr>
        <w:t>47</w:t>
      </w:r>
      <w:r w:rsidR="00653AF1">
        <w:rPr>
          <w:rFonts w:ascii="Arial" w:hAnsi="Arial" w:cs="Arial"/>
          <w:sz w:val="22"/>
          <w:szCs w:val="22"/>
        </w:rPr>
        <w:fldChar w:fldCharType="end"/>
      </w:r>
      <w:r w:rsidR="00992EA9">
        <w:rPr>
          <w:rFonts w:ascii="Arial" w:hAnsi="Arial" w:cs="Arial"/>
          <w:sz w:val="22"/>
          <w:szCs w:val="22"/>
        </w:rPr>
        <w:t xml:space="preserve"> </w:t>
      </w:r>
      <w:r w:rsidR="00741217">
        <w:rPr>
          <w:rFonts w:ascii="Arial" w:hAnsi="Arial" w:cs="Arial"/>
          <w:sz w:val="22"/>
          <w:szCs w:val="22"/>
        </w:rPr>
        <w:t>We interpreted c</w:t>
      </w:r>
      <w:r w:rsidRPr="00741217">
        <w:rPr>
          <w:rFonts w:ascii="Arial" w:hAnsi="Arial" w:cs="Arial"/>
          <w:sz w:val="22"/>
          <w:szCs w:val="22"/>
        </w:rPr>
        <w:t>omponent 3</w:t>
      </w:r>
      <w:r w:rsidR="00741217">
        <w:rPr>
          <w:rFonts w:ascii="Arial" w:hAnsi="Arial" w:cs="Arial"/>
          <w:sz w:val="22"/>
          <w:szCs w:val="22"/>
        </w:rPr>
        <w:t xml:space="preserve"> (explaining 5.4% of variance) to be indicative of</w:t>
      </w:r>
      <w:r w:rsidRPr="00741217">
        <w:rPr>
          <w:rFonts w:ascii="Arial" w:hAnsi="Arial" w:cs="Arial"/>
          <w:sz w:val="22"/>
          <w:szCs w:val="22"/>
        </w:rPr>
        <w:t xml:space="preserve"> </w:t>
      </w:r>
      <w:r w:rsidR="00741217">
        <w:rPr>
          <w:rFonts w:ascii="Arial" w:hAnsi="Arial" w:cs="Arial"/>
          <w:sz w:val="22"/>
          <w:szCs w:val="22"/>
        </w:rPr>
        <w:t>l</w:t>
      </w:r>
      <w:r w:rsidR="00756BF1" w:rsidRPr="00741217">
        <w:rPr>
          <w:rFonts w:ascii="Arial" w:hAnsi="Arial" w:cs="Arial"/>
          <w:sz w:val="22"/>
          <w:szCs w:val="22"/>
        </w:rPr>
        <w:t xml:space="preserve">egacy </w:t>
      </w:r>
      <w:r w:rsidR="00FC5C62" w:rsidRPr="00741217">
        <w:rPr>
          <w:rFonts w:ascii="Arial" w:hAnsi="Arial" w:cs="Arial"/>
          <w:sz w:val="22"/>
          <w:szCs w:val="22"/>
        </w:rPr>
        <w:t>industrial sources</w:t>
      </w:r>
      <w:r w:rsidR="00741217">
        <w:rPr>
          <w:rFonts w:ascii="Arial" w:hAnsi="Arial" w:cs="Arial"/>
          <w:sz w:val="22"/>
          <w:szCs w:val="22"/>
        </w:rPr>
        <w:t>.</w:t>
      </w:r>
      <w:r w:rsidR="00B232AC">
        <w:rPr>
          <w:rFonts w:ascii="Arial" w:hAnsi="Arial" w:cs="Arial"/>
          <w:sz w:val="22"/>
          <w:szCs w:val="22"/>
        </w:rPr>
        <w:t xml:space="preserve"> </w:t>
      </w:r>
      <w:r w:rsidRPr="00B232AC">
        <w:rPr>
          <w:rFonts w:ascii="Arial" w:hAnsi="Arial" w:cs="Arial"/>
          <w:sz w:val="22"/>
          <w:szCs w:val="22"/>
        </w:rPr>
        <w:t>Carbon tetrachloride</w:t>
      </w:r>
      <w:r w:rsidR="004F6631" w:rsidRPr="00B232AC">
        <w:rPr>
          <w:rFonts w:ascii="Arial" w:hAnsi="Arial" w:cs="Arial"/>
          <w:sz w:val="22"/>
          <w:szCs w:val="22"/>
        </w:rPr>
        <w:t xml:space="preserve"> and trichlorofluoromethane (</w:t>
      </w:r>
      <w:r w:rsidR="00C26BA9" w:rsidRPr="00B232AC">
        <w:rPr>
          <w:rFonts w:ascii="Arial" w:hAnsi="Arial" w:cs="Arial"/>
          <w:sz w:val="22"/>
          <w:szCs w:val="22"/>
        </w:rPr>
        <w:t>CFC</w:t>
      </w:r>
      <w:r w:rsidR="004F6631" w:rsidRPr="00B232AC">
        <w:rPr>
          <w:rFonts w:ascii="Arial" w:hAnsi="Arial" w:cs="Arial"/>
          <w:sz w:val="22"/>
          <w:szCs w:val="22"/>
        </w:rPr>
        <w:t xml:space="preserve">-11) are both </w:t>
      </w:r>
      <w:r w:rsidR="00CE4BB6" w:rsidRPr="00B232AC">
        <w:rPr>
          <w:rFonts w:ascii="Arial" w:hAnsi="Arial" w:cs="Arial"/>
          <w:sz w:val="22"/>
          <w:szCs w:val="22"/>
        </w:rPr>
        <w:t xml:space="preserve">ozone-depleting substances that </w:t>
      </w:r>
      <w:r w:rsidR="00E17357" w:rsidRPr="00B232AC">
        <w:rPr>
          <w:rFonts w:ascii="Arial" w:hAnsi="Arial" w:cs="Arial"/>
          <w:sz w:val="22"/>
          <w:szCs w:val="22"/>
        </w:rPr>
        <w:t>were phased out after the United Nation’s 1989 Montreal Protocol.</w:t>
      </w:r>
      <w:r w:rsidR="00E17357" w:rsidRPr="00B232AC">
        <w:rPr>
          <w:rFonts w:ascii="Arial" w:hAnsi="Arial" w:cs="Arial"/>
          <w:sz w:val="22"/>
          <w:szCs w:val="22"/>
        </w:rPr>
        <w:fldChar w:fldCharType="begin"/>
      </w:r>
      <w:r w:rsidR="00653AF1">
        <w:rPr>
          <w:rFonts w:ascii="Arial" w:hAnsi="Arial" w:cs="Arial"/>
          <w:sz w:val="22"/>
          <w:szCs w:val="22"/>
        </w:rPr>
        <w:instrText xml:space="preserve"> ADDIN ZOTERO_ITEM CSL_CITATION {"citationID":"5mFsV5bY","properties":{"formattedCitation":"\\super 48\\nosupersub{}","plainCitation":"48","noteIndex":0},"citationItems":[{"id":16771,"uris":["http://zotero.org/groups/4923232/items/AG3IQU2C"],"itemData":{"id":16771,"type":"webpage","container-title":"United Nations","title":"The Montreal Protocol on Substances that Deplete the Ozone Layer | Ozone Secretariat","URL":"https://ozone.unep.org/treaties/montreal-protocol","accessed":{"date-parts":[["2025",11,14]]}}}],"schema":"https://github.com/citation-style-language/schema/raw/master/csl-citation.json"} </w:instrText>
      </w:r>
      <w:r w:rsidR="00E17357" w:rsidRPr="00B232AC">
        <w:rPr>
          <w:rFonts w:ascii="Arial" w:hAnsi="Arial" w:cs="Arial"/>
          <w:sz w:val="22"/>
          <w:szCs w:val="22"/>
        </w:rPr>
        <w:fldChar w:fldCharType="separate"/>
      </w:r>
      <w:r w:rsidR="00653AF1" w:rsidRPr="00653AF1">
        <w:rPr>
          <w:rFonts w:ascii="Arial" w:hAnsi="Arial" w:cs="Arial"/>
          <w:kern w:val="0"/>
          <w:sz w:val="22"/>
          <w:vertAlign w:val="superscript"/>
        </w:rPr>
        <w:t>48</w:t>
      </w:r>
      <w:r w:rsidR="00E17357" w:rsidRPr="00B232AC">
        <w:rPr>
          <w:rFonts w:ascii="Arial" w:hAnsi="Arial" w:cs="Arial"/>
          <w:sz w:val="22"/>
          <w:szCs w:val="22"/>
        </w:rPr>
        <w:fldChar w:fldCharType="end"/>
      </w:r>
      <w:r w:rsidR="00101216" w:rsidRPr="00B232AC">
        <w:rPr>
          <w:rFonts w:ascii="Arial" w:hAnsi="Arial" w:cs="Arial"/>
          <w:sz w:val="22"/>
          <w:szCs w:val="22"/>
        </w:rPr>
        <w:t xml:space="preserve"> Nevertheless, contemporary sources of carbon tetrachloride persist, including </w:t>
      </w:r>
      <w:r w:rsidR="008E3646" w:rsidRPr="00B232AC">
        <w:rPr>
          <w:rFonts w:ascii="Arial" w:hAnsi="Arial" w:cs="Arial"/>
          <w:sz w:val="22"/>
          <w:szCs w:val="22"/>
        </w:rPr>
        <w:t>chlorine production and usage</w:t>
      </w:r>
      <w:r w:rsidR="001609F3" w:rsidRPr="00B232AC">
        <w:rPr>
          <w:rFonts w:ascii="Arial" w:hAnsi="Arial" w:cs="Arial"/>
          <w:sz w:val="22"/>
          <w:szCs w:val="22"/>
        </w:rPr>
        <w:t xml:space="preserve">, and </w:t>
      </w:r>
      <w:r w:rsidR="00C26BA9" w:rsidRPr="00B232AC">
        <w:rPr>
          <w:rFonts w:ascii="Arial" w:hAnsi="Arial" w:cs="Arial"/>
          <w:sz w:val="22"/>
          <w:szCs w:val="22"/>
        </w:rPr>
        <w:t>CFC</w:t>
      </w:r>
      <w:r w:rsidR="001609F3" w:rsidRPr="00B232AC">
        <w:rPr>
          <w:rFonts w:ascii="Arial" w:hAnsi="Arial" w:cs="Arial"/>
          <w:sz w:val="22"/>
          <w:szCs w:val="22"/>
        </w:rPr>
        <w:t>-11 persists in the atmosphere</w:t>
      </w:r>
      <w:r w:rsidR="00362B5D" w:rsidRPr="00B232AC">
        <w:rPr>
          <w:rFonts w:ascii="Arial" w:hAnsi="Arial" w:cs="Arial"/>
          <w:sz w:val="22"/>
          <w:szCs w:val="22"/>
        </w:rPr>
        <w:t>, in part due to improper disposal of appliances containing the compound</w:t>
      </w:r>
      <w:r w:rsidR="008E2D51" w:rsidRPr="00B232AC">
        <w:rPr>
          <w:rFonts w:ascii="Arial" w:hAnsi="Arial" w:cs="Arial"/>
          <w:sz w:val="22"/>
          <w:szCs w:val="22"/>
        </w:rPr>
        <w:t>.</w:t>
      </w:r>
      <w:r w:rsidR="008E3646" w:rsidRPr="00B232AC">
        <w:rPr>
          <w:rFonts w:ascii="Arial" w:hAnsi="Arial" w:cs="Arial"/>
          <w:sz w:val="22"/>
          <w:szCs w:val="22"/>
        </w:rPr>
        <w:fldChar w:fldCharType="begin"/>
      </w:r>
      <w:r w:rsidR="00653AF1">
        <w:rPr>
          <w:rFonts w:ascii="Arial" w:hAnsi="Arial" w:cs="Arial"/>
          <w:sz w:val="22"/>
          <w:szCs w:val="22"/>
        </w:rPr>
        <w:instrText xml:space="preserve"> ADDIN ZOTERO_ITEM CSL_CITATION {"citationID":"GLTezI07","properties":{"formattedCitation":"\\super 49,50\\nosupersub{}","plainCitation":"49,50","noteIndex":0},"citationItems":[{"id":16773,"uris":["http://zotero.org/groups/4923232/items/2WZX79K4"],"itemData":{"id":16773,"type":"article-journal","abstract":"Carbon tetrachloride (CCl4 or CTC) is an ozone-depleting substance whose emissive uses are controlled and practically banned by the Montreal Protocol (MP). Nevertheless, previous work estimated ongoing emissions of 35 Gg year−1 of CCl4 into the atmosphere from observation-based methods, in stark contrast to emissions estimates of 3 (0–8) Gg year−1 from reported numbers to UNEP under the MP. Here we combine information on sources from industrial production processes and legacy emissions from contaminated sites to provide an updated bottom-up estimate on current CTC global emissions of 15–25 Gg year−1. We now propose 13 Gg year−1 of global emissions from unreported non-feedstock emissions from chloromethane and perchloroethylene plants as the most significant CCl4 source. Additionally, 2 Gg year−1 are estimated as fugitive emissions from the usage of CTC as feedstock and possibly up to 10 Gg year−1 from legacy emissions and chlor-alkali plants.","container-title":"Environmental Research Letters","DOI":"10.1088/1748-9326/aa9c87","ISSN":"1748-9326","issue":"2","journalAbbreviation":"Environ. Res. Lett.","language":"en","note":"publisher: IOP Publishing","page":"024004","source":"Institute of Physics","title":"Current sources of carbon tetrachloride (CCl4) in our atmosphere","volume":"13","author":[{"family":"Sherry","given":"David"},{"family":"McCulloch","given":"Archie"},{"family":"Liang","given":"Qing"},{"family":"Reimann","given":"Stefan"},{"family":"Newman","given":"Paul A"}],"issued":{"date-parts":[["2018",1]]}}},{"id":16778,"uris":["http://zotero.org/groups/4923232/items/SNE78D5R"],"itemData":{"id":16778,"type":"article-journal","abstract":"The Montreal Protocol was designed to protect the stratospheric ozone layer by enabling reductions in the abundance of ozone-depleting substances such as chlorofluorocarbons (CFCs) in the atmosphere1–3. The reduction in the atmospheric concentration of trichlorofluoromethane (CFC-11) has made the second-largest contribution to the decline in the total atmospheric concentration of ozone-depleting chlorine since the 1990s1. However, CFC-11 still contributes one-quarter of all chlorine reaching the stratosphere, and a timely recovery of the stratospheric ozone layer depends on a sustained decline in CFC-11 concentrations1. Here we show that the rate of decline of atmospheric CFC-11 concentrations observed at remote measurement sites was constant from 2002 to 2012, and then slowed by about 50 per cent after 2012. The observed slowdown in the decline of CFC-11 concentration was concurrent with a 50 per cent increase in the mean concentration difference observed between the Northern and Southern Hemispheres, and also with the emergence of strong correlations at the Mauna Loa Observatory between concentrations of CFC-11 and other chemicals associated with anthropogenic emissions. A simple model analysis of our findings suggests an increase in CFC-11 emissions of 13 ± 5 gigagrams per year (25 ± 13 per cent) since 2012, despite reported production being close to zero4 since 2006. Our three-dimensional model simulations confirm the increase in CFC-11 emissions, but indicate that this increase may have been as much as 50 per cent smaller as a result of changes in stratospheric processes or dynamics. The increase in emission of CFC-11 appears unrelated to past production; this suggests unreported new production, which is inconsistent with the Montreal Protocol agreement to phase out global CFC production by 2010.","container-title":"Nature","DOI":"10.1038/s41586-018-0106-2","ISSN":"1476-4687","issue":"7705","language":"en","license":"2018 Macmillan Publishers Ltd., part of Springer Nature","note":"publisher: Nature Publishing Group\nPMID: 29769666","page":"413-417","source":"www-nature-com.ezproxy2.library.drexel.edu","title":"An unexpected and persistent increase in global emissions of ozone-depleting CFC-11","volume":"557","author":[{"family":"Montzka","given":"Stephen A."},{"family":"Dutton","given":"Geoff S."},{"family":"Yu","given":"Pengfei"},{"family":"Ray","given":"Eric"},{"family":"Portmann","given":"Robert W."},{"family":"Daniel","given":"John S."},{"family":"Kuijpers","given":"Lambert"},{"family":"Hall","given":"Brad D."},{"family":"Mondeel","given":"Debra"},{"family":"Siso","given":"Carolina"},{"family":"Nance","given":"J. David"},{"family":"Rigby","given":"Matt"},{"family":"Manning","given":"Alistair J."},{"family":"Hu","given":"Lei"},{"family":"Moore","given":"Fred"},{"family":"Miller","given":"Ben R."},{"family":"Elkins","given":"James W."}],"issued":{"date-parts":[["2018",5]]}}}],"schema":"https://github.com/citation-style-language/schema/raw/master/csl-citation.json"} </w:instrText>
      </w:r>
      <w:r w:rsidR="008E3646" w:rsidRPr="00B232AC">
        <w:rPr>
          <w:rFonts w:ascii="Arial" w:hAnsi="Arial" w:cs="Arial"/>
          <w:sz w:val="22"/>
          <w:szCs w:val="22"/>
        </w:rPr>
        <w:fldChar w:fldCharType="separate"/>
      </w:r>
      <w:r w:rsidR="00653AF1" w:rsidRPr="00653AF1">
        <w:rPr>
          <w:rFonts w:ascii="Arial" w:hAnsi="Arial" w:cs="Arial"/>
          <w:kern w:val="0"/>
          <w:sz w:val="22"/>
          <w:vertAlign w:val="superscript"/>
        </w:rPr>
        <w:t>49,50</w:t>
      </w:r>
      <w:r w:rsidR="008E3646" w:rsidRPr="00B232AC">
        <w:rPr>
          <w:rFonts w:ascii="Arial" w:hAnsi="Arial" w:cs="Arial"/>
          <w:sz w:val="22"/>
          <w:szCs w:val="22"/>
        </w:rPr>
        <w:fldChar w:fldCharType="end"/>
      </w:r>
      <w:r w:rsidR="008E2D51" w:rsidRPr="00B232AC">
        <w:rPr>
          <w:rFonts w:ascii="Arial" w:hAnsi="Arial" w:cs="Arial"/>
          <w:sz w:val="22"/>
          <w:szCs w:val="22"/>
        </w:rPr>
        <w:t xml:space="preserve"> </w:t>
      </w:r>
      <w:r w:rsidR="00816891">
        <w:rPr>
          <w:rFonts w:ascii="Arial" w:hAnsi="Arial" w:cs="Arial"/>
          <w:sz w:val="22"/>
          <w:szCs w:val="22"/>
        </w:rPr>
        <w:t xml:space="preserve">Since these compounds have low reactivity, component 3 may be suggestive of long-range transport or background VOC pollution. </w:t>
      </w:r>
      <w:r w:rsidR="00B232AC">
        <w:rPr>
          <w:rFonts w:ascii="Arial" w:hAnsi="Arial" w:cs="Arial"/>
          <w:sz w:val="22"/>
          <w:szCs w:val="22"/>
        </w:rPr>
        <w:t xml:space="preserve">Component 4 (explaining 4.3% of variance) is </w:t>
      </w:r>
      <w:r w:rsidR="00595BDD">
        <w:rPr>
          <w:rFonts w:ascii="Arial" w:hAnsi="Arial" w:cs="Arial"/>
          <w:sz w:val="22"/>
          <w:szCs w:val="22"/>
        </w:rPr>
        <w:t xml:space="preserve">likely industrial-specific emissions. Here, toluene </w:t>
      </w:r>
      <w:r w:rsidR="00816891">
        <w:rPr>
          <w:rFonts w:ascii="Arial" w:hAnsi="Arial" w:cs="Arial"/>
          <w:sz w:val="22"/>
          <w:szCs w:val="22"/>
        </w:rPr>
        <w:t>and (</w:t>
      </w:r>
      <w:proofErr w:type="spellStart"/>
      <w:proofErr w:type="gramStart"/>
      <w:r w:rsidR="00816891">
        <w:rPr>
          <w:rFonts w:ascii="Arial" w:hAnsi="Arial" w:cs="Arial"/>
          <w:i/>
          <w:iCs/>
          <w:sz w:val="22"/>
          <w:szCs w:val="22"/>
        </w:rPr>
        <w:t>m,</w:t>
      </w:r>
      <w:r w:rsidR="00816891" w:rsidRPr="00816891">
        <w:rPr>
          <w:rFonts w:ascii="Arial" w:hAnsi="Arial" w:cs="Arial"/>
          <w:sz w:val="22"/>
          <w:szCs w:val="22"/>
        </w:rPr>
        <w:t>p</w:t>
      </w:r>
      <w:proofErr w:type="spellEnd"/>
      <w:proofErr w:type="gramEnd"/>
      <w:r w:rsidR="00816891">
        <w:rPr>
          <w:rFonts w:ascii="Arial" w:hAnsi="Arial" w:cs="Arial"/>
          <w:sz w:val="22"/>
          <w:szCs w:val="22"/>
        </w:rPr>
        <w:t xml:space="preserve">)-xylenes </w:t>
      </w:r>
      <w:r w:rsidR="00595BDD" w:rsidRPr="00816891">
        <w:rPr>
          <w:rFonts w:ascii="Arial" w:hAnsi="Arial" w:cs="Arial"/>
          <w:sz w:val="22"/>
          <w:szCs w:val="22"/>
        </w:rPr>
        <w:t>co</w:t>
      </w:r>
      <w:r w:rsidR="00595BDD">
        <w:rPr>
          <w:rFonts w:ascii="Arial" w:hAnsi="Arial" w:cs="Arial"/>
          <w:sz w:val="22"/>
          <w:szCs w:val="22"/>
        </w:rPr>
        <w:t>-occur with tetrachloroethylene and CFC-11, suggesting industrial, compared to vehicular, sources of toluen</w:t>
      </w:r>
      <w:r w:rsidR="003D08BB">
        <w:rPr>
          <w:rFonts w:ascii="Arial" w:hAnsi="Arial" w:cs="Arial"/>
          <w:sz w:val="22"/>
          <w:szCs w:val="22"/>
        </w:rPr>
        <w:t>e</w:t>
      </w:r>
      <w:r w:rsidR="00AA1111">
        <w:rPr>
          <w:rFonts w:ascii="Arial" w:hAnsi="Arial" w:cs="Arial"/>
          <w:sz w:val="22"/>
          <w:szCs w:val="22"/>
        </w:rPr>
        <w:t xml:space="preserve"> in this case</w:t>
      </w:r>
      <w:r w:rsidR="003D08BB">
        <w:rPr>
          <w:rFonts w:ascii="Arial" w:hAnsi="Arial" w:cs="Arial"/>
          <w:sz w:val="22"/>
          <w:szCs w:val="22"/>
        </w:rPr>
        <w:t>. Tetrachloroethylene (perchloroethylene) is a recently banned</w:t>
      </w:r>
      <w:r w:rsidR="003D08BB">
        <w:rPr>
          <w:rFonts w:ascii="Arial" w:hAnsi="Arial" w:cs="Arial"/>
          <w:sz w:val="22"/>
          <w:szCs w:val="22"/>
        </w:rPr>
        <w:fldChar w:fldCharType="begin"/>
      </w:r>
      <w:r w:rsidR="00653AF1">
        <w:rPr>
          <w:rFonts w:ascii="Arial" w:hAnsi="Arial" w:cs="Arial"/>
          <w:sz w:val="22"/>
          <w:szCs w:val="22"/>
        </w:rPr>
        <w:instrText xml:space="preserve"> ADDIN ZOTERO_ITEM CSL_CITATION {"citationID":"X906SdyU","properties":{"formattedCitation":"\\super 51\\nosupersub{}","plainCitation":"51","noteIndex":0},"citationItems":[{"id":16779,"uris":["http://zotero.org/groups/4923232/items/L2TFTVN4"],"itemData":{"id":16779,"type":"legislation","container-title":"Code of Federal Regulations","section":"751","title":"Perchloroethylene (PCE); Regulation Under the Toxic Substances Control Act (TSCA)","volume":"40","issued":{"date-parts":[["2024"]]}}}],"schema":"https://github.com/citation-style-language/schema/raw/master/csl-citation.json"} </w:instrText>
      </w:r>
      <w:r w:rsidR="003D08BB">
        <w:rPr>
          <w:rFonts w:ascii="Arial" w:hAnsi="Arial" w:cs="Arial"/>
          <w:sz w:val="22"/>
          <w:szCs w:val="22"/>
        </w:rPr>
        <w:fldChar w:fldCharType="separate"/>
      </w:r>
      <w:r w:rsidR="00653AF1" w:rsidRPr="00653AF1">
        <w:rPr>
          <w:rFonts w:ascii="Arial" w:hAnsi="Arial" w:cs="Arial"/>
          <w:kern w:val="0"/>
          <w:sz w:val="22"/>
          <w:vertAlign w:val="superscript"/>
        </w:rPr>
        <w:t>51</w:t>
      </w:r>
      <w:r w:rsidR="003D08BB">
        <w:rPr>
          <w:rFonts w:ascii="Arial" w:hAnsi="Arial" w:cs="Arial"/>
          <w:sz w:val="22"/>
          <w:szCs w:val="22"/>
        </w:rPr>
        <w:fldChar w:fldCharType="end"/>
      </w:r>
      <w:r w:rsidR="003D08BB">
        <w:rPr>
          <w:rFonts w:ascii="Arial" w:hAnsi="Arial" w:cs="Arial"/>
          <w:sz w:val="22"/>
          <w:szCs w:val="22"/>
        </w:rPr>
        <w:t xml:space="preserve"> compound that was, during the time of the study, commonly used in dry cleaning, auto paint, and auto repair shops as a solvent and degreaser.</w:t>
      </w:r>
    </w:p>
    <w:p w14:paraId="61F24B6F" w14:textId="77777777" w:rsidR="003D08BB" w:rsidRPr="00F64D3B" w:rsidRDefault="003D08BB" w:rsidP="00973130">
      <w:pPr>
        <w:spacing w:line="360" w:lineRule="auto"/>
        <w:jc w:val="both"/>
        <w:rPr>
          <w:rFonts w:ascii="Arial" w:hAnsi="Arial" w:cs="Arial"/>
          <w:sz w:val="22"/>
          <w:szCs w:val="22"/>
        </w:rPr>
      </w:pPr>
    </w:p>
    <w:p w14:paraId="37F18763" w14:textId="05082E9B" w:rsidR="00A45239" w:rsidRDefault="00262FA3" w:rsidP="00973130">
      <w:pPr>
        <w:spacing w:line="360" w:lineRule="auto"/>
        <w:jc w:val="both"/>
        <w:rPr>
          <w:rFonts w:ascii="Arial" w:hAnsi="Arial" w:cs="Arial"/>
          <w:sz w:val="22"/>
          <w:szCs w:val="22"/>
        </w:rPr>
      </w:pPr>
      <w:r w:rsidRPr="00F64D3B">
        <w:rPr>
          <w:rFonts w:ascii="Arial" w:hAnsi="Arial" w:cs="Arial"/>
          <w:sz w:val="22"/>
          <w:szCs w:val="22"/>
        </w:rPr>
        <w:t>These components map onto source classes (</w:t>
      </w:r>
      <w:r w:rsidRPr="00F64D3B">
        <w:rPr>
          <w:rFonts w:ascii="Arial" w:hAnsi="Arial" w:cs="Arial"/>
          <w:b/>
          <w:bCs/>
          <w:sz w:val="22"/>
          <w:szCs w:val="22"/>
        </w:rPr>
        <w:t>Table 3</w:t>
      </w:r>
      <w:r w:rsidRPr="00F64D3B">
        <w:rPr>
          <w:rFonts w:ascii="Arial" w:hAnsi="Arial" w:cs="Arial"/>
          <w:sz w:val="22"/>
          <w:szCs w:val="22"/>
        </w:rPr>
        <w:t>)—high traffic and industrial sites scored higher on component 1 (combustion, mixed urban and industrial) and component 2 (</w:t>
      </w:r>
      <w:r w:rsidR="00D862FB">
        <w:rPr>
          <w:rFonts w:ascii="Arial" w:hAnsi="Arial" w:cs="Arial"/>
          <w:sz w:val="22"/>
          <w:szCs w:val="22"/>
        </w:rPr>
        <w:t>petroleum industry</w:t>
      </w:r>
      <w:r w:rsidRPr="00F64D3B">
        <w:rPr>
          <w:rFonts w:ascii="Arial" w:hAnsi="Arial" w:cs="Arial"/>
          <w:sz w:val="22"/>
          <w:szCs w:val="22"/>
        </w:rPr>
        <w:t xml:space="preserve">) compared to low-traffic and non-industrial sites. </w:t>
      </w:r>
      <w:r w:rsidR="00D70BF6">
        <w:rPr>
          <w:rFonts w:ascii="Arial" w:hAnsi="Arial" w:cs="Arial"/>
          <w:sz w:val="22"/>
          <w:szCs w:val="22"/>
        </w:rPr>
        <w:t xml:space="preserve">Among high-traffic sites, </w:t>
      </w:r>
      <w:r w:rsidR="005C63DF">
        <w:rPr>
          <w:rFonts w:ascii="Arial" w:hAnsi="Arial" w:cs="Arial"/>
          <w:sz w:val="22"/>
          <w:szCs w:val="22"/>
        </w:rPr>
        <w:t>those that were industrial</w:t>
      </w:r>
      <w:r w:rsidRPr="00F64D3B">
        <w:rPr>
          <w:rFonts w:ascii="Arial" w:hAnsi="Arial" w:cs="Arial"/>
          <w:sz w:val="22"/>
          <w:szCs w:val="22"/>
        </w:rPr>
        <w:t xml:space="preserve"> scored </w:t>
      </w:r>
      <w:r w:rsidR="00A45239">
        <w:rPr>
          <w:rFonts w:ascii="Arial" w:hAnsi="Arial" w:cs="Arial"/>
          <w:sz w:val="22"/>
          <w:szCs w:val="22"/>
        </w:rPr>
        <w:t>higher on</w:t>
      </w:r>
      <w:r w:rsidRPr="00F64D3B">
        <w:rPr>
          <w:rFonts w:ascii="Arial" w:hAnsi="Arial" w:cs="Arial"/>
          <w:sz w:val="22"/>
          <w:szCs w:val="22"/>
        </w:rPr>
        <w:t xml:space="preserve"> component 3 (</w:t>
      </w:r>
      <w:r w:rsidR="00743F50">
        <w:rPr>
          <w:rFonts w:ascii="Arial" w:hAnsi="Arial" w:cs="Arial"/>
          <w:sz w:val="22"/>
          <w:szCs w:val="22"/>
        </w:rPr>
        <w:t>legacy emissions</w:t>
      </w:r>
      <w:r w:rsidRPr="00F64D3B">
        <w:rPr>
          <w:rFonts w:ascii="Arial" w:hAnsi="Arial" w:cs="Arial"/>
          <w:sz w:val="22"/>
          <w:szCs w:val="22"/>
        </w:rPr>
        <w:t>)</w:t>
      </w:r>
      <w:r w:rsidR="005C63DF">
        <w:rPr>
          <w:rFonts w:ascii="Arial" w:hAnsi="Arial" w:cs="Arial"/>
          <w:sz w:val="22"/>
          <w:szCs w:val="22"/>
        </w:rPr>
        <w:t xml:space="preserve"> compared to non-industrial sites</w:t>
      </w:r>
      <w:r w:rsidR="00D70BF6">
        <w:rPr>
          <w:rFonts w:ascii="Arial" w:hAnsi="Arial" w:cs="Arial"/>
          <w:sz w:val="22"/>
          <w:szCs w:val="22"/>
        </w:rPr>
        <w:t xml:space="preserve">. </w:t>
      </w:r>
      <w:r w:rsidR="001D733A">
        <w:rPr>
          <w:rFonts w:ascii="Arial" w:hAnsi="Arial" w:cs="Arial"/>
          <w:sz w:val="22"/>
          <w:szCs w:val="22"/>
        </w:rPr>
        <w:t xml:space="preserve">Industrial sites scored lower on component 4 (industrial emissions), though because most loadings were negative for component 4, these results make sense. </w:t>
      </w:r>
    </w:p>
    <w:p w14:paraId="6771F7BD" w14:textId="77777777" w:rsidR="004415F7" w:rsidRDefault="004415F7" w:rsidP="00973130">
      <w:pPr>
        <w:spacing w:line="360" w:lineRule="auto"/>
        <w:jc w:val="both"/>
        <w:rPr>
          <w:rFonts w:ascii="Arial" w:hAnsi="Arial" w:cs="Arial"/>
          <w:sz w:val="22"/>
          <w:szCs w:val="22"/>
        </w:rPr>
      </w:pPr>
    </w:p>
    <w:p w14:paraId="20966A7F" w14:textId="23054B9A" w:rsidR="002F2E79" w:rsidRPr="00226A42" w:rsidRDefault="002F2E79" w:rsidP="00973130">
      <w:pPr>
        <w:spacing w:line="360" w:lineRule="auto"/>
        <w:jc w:val="both"/>
        <w:rPr>
          <w:rFonts w:ascii="Arial" w:hAnsi="Arial" w:cs="Arial"/>
          <w:sz w:val="22"/>
          <w:szCs w:val="22"/>
        </w:rPr>
      </w:pPr>
      <w:r>
        <w:rPr>
          <w:rFonts w:ascii="Arial" w:hAnsi="Arial" w:cs="Arial"/>
          <w:sz w:val="22"/>
          <w:szCs w:val="22"/>
        </w:rPr>
        <w:lastRenderedPageBreak/>
        <w:t xml:space="preserve">Across sensitivity analyses, PCA loadings were relatively robust. </w:t>
      </w:r>
      <w:r>
        <w:rPr>
          <w:rFonts w:ascii="Arial" w:hAnsi="Arial" w:cs="Arial"/>
          <w:sz w:val="22"/>
          <w:szCs w:val="22"/>
        </w:rPr>
        <w:t>When ignoring within-week clustering, PCA resulted in only 3 components, effectively collapsing components 3 and 4 from the primary analysis (legacy emissions and industrial solvents) into one source component</w:t>
      </w:r>
      <w:r w:rsidR="000C6E98">
        <w:rPr>
          <w:rFonts w:ascii="Arial" w:hAnsi="Arial" w:cs="Arial"/>
          <w:sz w:val="22"/>
          <w:szCs w:val="22"/>
        </w:rPr>
        <w:t xml:space="preserve"> </w:t>
      </w:r>
      <w:r w:rsidR="006F2B9F">
        <w:rPr>
          <w:rFonts w:ascii="Arial" w:hAnsi="Arial" w:cs="Arial"/>
          <w:sz w:val="22"/>
          <w:szCs w:val="22"/>
        </w:rPr>
        <w:t xml:space="preserve">(component 2 in the sensitivity analysis) </w:t>
      </w:r>
      <w:r w:rsidR="000C6E98">
        <w:rPr>
          <w:rFonts w:ascii="Arial" w:hAnsi="Arial" w:cs="Arial"/>
          <w:sz w:val="22"/>
          <w:szCs w:val="22"/>
        </w:rPr>
        <w:t>(</w:t>
      </w:r>
      <w:r w:rsidR="000C6E98">
        <w:rPr>
          <w:rFonts w:ascii="Arial" w:hAnsi="Arial" w:cs="Arial"/>
          <w:b/>
          <w:bCs/>
          <w:sz w:val="22"/>
          <w:szCs w:val="22"/>
        </w:rPr>
        <w:t>Figures S22-23</w:t>
      </w:r>
      <w:r w:rsidR="000C6E98">
        <w:rPr>
          <w:rFonts w:ascii="Arial" w:hAnsi="Arial" w:cs="Arial"/>
          <w:sz w:val="22"/>
          <w:szCs w:val="22"/>
        </w:rPr>
        <w:t>)</w:t>
      </w:r>
      <w:r w:rsidR="001A0521">
        <w:rPr>
          <w:rFonts w:ascii="Arial" w:hAnsi="Arial" w:cs="Arial"/>
          <w:sz w:val="22"/>
          <w:szCs w:val="22"/>
        </w:rPr>
        <w:t xml:space="preserve">. </w:t>
      </w:r>
      <w:r w:rsidR="005600A6">
        <w:rPr>
          <w:rFonts w:ascii="Arial" w:hAnsi="Arial" w:cs="Arial"/>
          <w:sz w:val="22"/>
          <w:szCs w:val="22"/>
        </w:rPr>
        <w:t>The primary analysis was robust to weighting vs. unweighting by total weeks samples (</w:t>
      </w:r>
      <w:r w:rsidR="005600A6">
        <w:rPr>
          <w:rFonts w:ascii="Arial" w:hAnsi="Arial" w:cs="Arial"/>
          <w:b/>
          <w:bCs/>
          <w:sz w:val="22"/>
          <w:szCs w:val="22"/>
        </w:rPr>
        <w:t>Figure S25</w:t>
      </w:r>
      <w:r w:rsidR="005600A6">
        <w:rPr>
          <w:rFonts w:ascii="Arial" w:hAnsi="Arial" w:cs="Arial"/>
          <w:sz w:val="22"/>
          <w:szCs w:val="22"/>
        </w:rPr>
        <w:t xml:space="preserve">), </w:t>
      </w:r>
      <w:r w:rsidR="00226A42">
        <w:rPr>
          <w:rFonts w:ascii="Arial" w:hAnsi="Arial" w:cs="Arial"/>
          <w:sz w:val="22"/>
          <w:szCs w:val="22"/>
        </w:rPr>
        <w:t>multilevel model choice (</w:t>
      </w:r>
      <w:r w:rsidR="00226A42">
        <w:rPr>
          <w:rFonts w:ascii="Arial" w:hAnsi="Arial" w:cs="Arial"/>
          <w:b/>
          <w:bCs/>
          <w:sz w:val="22"/>
          <w:szCs w:val="22"/>
        </w:rPr>
        <w:t>Figure S26</w:t>
      </w:r>
      <w:r w:rsidR="00226A42">
        <w:rPr>
          <w:rFonts w:ascii="Arial" w:hAnsi="Arial" w:cs="Arial"/>
          <w:sz w:val="22"/>
          <w:szCs w:val="22"/>
        </w:rPr>
        <w:t>), and when including weekly sites only (</w:t>
      </w:r>
      <w:r w:rsidR="00226A42">
        <w:rPr>
          <w:rFonts w:ascii="Arial" w:hAnsi="Arial" w:cs="Arial"/>
          <w:b/>
          <w:bCs/>
          <w:sz w:val="22"/>
          <w:szCs w:val="22"/>
        </w:rPr>
        <w:t>Figure S27</w:t>
      </w:r>
      <w:r w:rsidR="00226A42">
        <w:rPr>
          <w:rFonts w:ascii="Arial" w:hAnsi="Arial" w:cs="Arial"/>
          <w:sz w:val="22"/>
          <w:szCs w:val="22"/>
        </w:rPr>
        <w:t xml:space="preserve">). </w:t>
      </w:r>
    </w:p>
    <w:p w14:paraId="244B4250" w14:textId="77777777" w:rsidR="00764585" w:rsidRDefault="00764585" w:rsidP="00973130">
      <w:pPr>
        <w:spacing w:line="360" w:lineRule="auto"/>
        <w:jc w:val="both"/>
        <w:rPr>
          <w:rFonts w:ascii="Arial" w:hAnsi="Arial" w:cs="Arial"/>
          <w:sz w:val="22"/>
          <w:szCs w:val="22"/>
        </w:rPr>
      </w:pPr>
    </w:p>
    <w:p w14:paraId="3F5DF287" w14:textId="6EBA75CC" w:rsidR="004415F7" w:rsidRDefault="004415F7" w:rsidP="00973130">
      <w:pPr>
        <w:spacing w:line="360" w:lineRule="auto"/>
        <w:jc w:val="both"/>
        <w:rPr>
          <w:rFonts w:ascii="Arial" w:hAnsi="Arial" w:cs="Arial"/>
          <w:sz w:val="22"/>
          <w:szCs w:val="22"/>
        </w:rPr>
      </w:pPr>
      <w:r w:rsidRPr="00302946">
        <w:rPr>
          <w:rFonts w:ascii="Arial" w:hAnsi="Arial" w:cs="Arial"/>
          <w:sz w:val="22"/>
          <w:szCs w:val="22"/>
          <w:u w:val="single"/>
        </w:rPr>
        <w:t>Positive Matrix Factorization</w:t>
      </w:r>
    </w:p>
    <w:p w14:paraId="61F7EC2C" w14:textId="77D06F69" w:rsidR="00A058AC" w:rsidRDefault="00CD2ACA" w:rsidP="00973130">
      <w:pPr>
        <w:spacing w:line="360" w:lineRule="auto"/>
        <w:jc w:val="both"/>
        <w:rPr>
          <w:rFonts w:ascii="Arial" w:hAnsi="Arial" w:cs="Arial"/>
          <w:sz w:val="22"/>
          <w:szCs w:val="22"/>
        </w:rPr>
      </w:pPr>
      <w:r>
        <w:rPr>
          <w:rFonts w:ascii="Arial" w:hAnsi="Arial" w:cs="Arial"/>
          <w:sz w:val="22"/>
          <w:szCs w:val="22"/>
        </w:rPr>
        <w:t xml:space="preserve">In addition </w:t>
      </w:r>
      <w:r w:rsidR="00D05EE5">
        <w:rPr>
          <w:rFonts w:ascii="Arial" w:hAnsi="Arial" w:cs="Arial"/>
          <w:sz w:val="22"/>
          <w:szCs w:val="22"/>
        </w:rPr>
        <w:t>to excluding the same compounds</w:t>
      </w:r>
      <w:r>
        <w:rPr>
          <w:rFonts w:ascii="Arial" w:hAnsi="Arial" w:cs="Arial"/>
          <w:sz w:val="22"/>
          <w:szCs w:val="22"/>
        </w:rPr>
        <w:t xml:space="preserve"> for poor reliability and/or low detection rates in PCA analysis, we </w:t>
      </w:r>
      <w:r w:rsidR="00D05EE5">
        <w:rPr>
          <w:rFonts w:ascii="Arial" w:hAnsi="Arial" w:cs="Arial"/>
          <w:sz w:val="22"/>
          <w:szCs w:val="22"/>
        </w:rPr>
        <w:t>down-weighted the following compounds</w:t>
      </w:r>
      <w:r w:rsidR="00CC5887">
        <w:rPr>
          <w:rFonts w:ascii="Arial" w:hAnsi="Arial" w:cs="Arial"/>
          <w:sz w:val="22"/>
          <w:szCs w:val="22"/>
        </w:rPr>
        <w:t xml:space="preserve"> with 0.5 </w:t>
      </w:r>
      <w:r w:rsidR="00CC5887" w:rsidRPr="002C0187">
        <w:rPr>
          <w:rFonts w:ascii="Arial" w:hAnsi="Arial" w:cs="Arial"/>
          <w:sz w:val="22"/>
          <w:szCs w:val="22"/>
          <w:u w:val="single"/>
        </w:rPr>
        <w:t>&lt;</w:t>
      </w:r>
      <w:r w:rsidR="00CC5887">
        <w:rPr>
          <w:rFonts w:ascii="Arial" w:hAnsi="Arial" w:cs="Arial"/>
          <w:sz w:val="22"/>
          <w:szCs w:val="22"/>
        </w:rPr>
        <w:t xml:space="preserve"> S/N &lt; </w:t>
      </w:r>
      <w:r w:rsidR="00D250DE">
        <w:rPr>
          <w:rFonts w:ascii="Arial" w:hAnsi="Arial" w:cs="Arial"/>
          <w:sz w:val="22"/>
          <w:szCs w:val="22"/>
        </w:rPr>
        <w:t>1.0</w:t>
      </w:r>
      <w:r w:rsidR="00D05EE5">
        <w:rPr>
          <w:rFonts w:ascii="Arial" w:hAnsi="Arial" w:cs="Arial"/>
          <w:sz w:val="22"/>
          <w:szCs w:val="22"/>
        </w:rPr>
        <w:t xml:space="preserve"> in PMF analysis: </w:t>
      </w:r>
      <w:r w:rsidR="00CC5887">
        <w:rPr>
          <w:rFonts w:ascii="Arial" w:hAnsi="Arial" w:cs="Arial"/>
          <w:sz w:val="22"/>
          <w:szCs w:val="22"/>
        </w:rPr>
        <w:t>2-pentene, 1,2,3-trimethylbenzene</w:t>
      </w:r>
      <w:r w:rsidR="00D250DE">
        <w:rPr>
          <w:rFonts w:ascii="Arial" w:hAnsi="Arial" w:cs="Arial"/>
          <w:sz w:val="22"/>
          <w:szCs w:val="22"/>
        </w:rPr>
        <w:t xml:space="preserve">, undecane, and </w:t>
      </w:r>
      <w:proofErr w:type="spellStart"/>
      <w:r w:rsidR="00D250DE">
        <w:rPr>
          <w:rFonts w:ascii="Arial" w:hAnsi="Arial" w:cs="Arial"/>
          <w:sz w:val="22"/>
          <w:szCs w:val="22"/>
        </w:rPr>
        <w:t>decane</w:t>
      </w:r>
      <w:proofErr w:type="spellEnd"/>
      <w:r w:rsidR="00D250DE">
        <w:rPr>
          <w:rFonts w:ascii="Arial" w:hAnsi="Arial" w:cs="Arial"/>
          <w:sz w:val="22"/>
          <w:szCs w:val="22"/>
        </w:rPr>
        <w:t>. By comparing Q/</w:t>
      </w:r>
      <w:proofErr w:type="spellStart"/>
      <w:r w:rsidR="00D250DE">
        <w:rPr>
          <w:rFonts w:ascii="Arial" w:hAnsi="Arial" w:cs="Arial"/>
          <w:sz w:val="22"/>
          <w:szCs w:val="22"/>
        </w:rPr>
        <w:t>Q</w:t>
      </w:r>
      <w:r w:rsidR="00D250DE">
        <w:rPr>
          <w:rFonts w:ascii="Arial" w:hAnsi="Arial" w:cs="Arial"/>
          <w:sz w:val="22"/>
          <w:szCs w:val="22"/>
          <w:vertAlign w:val="subscript"/>
        </w:rPr>
        <w:t>exp</w:t>
      </w:r>
      <w:proofErr w:type="spellEnd"/>
      <w:r w:rsidR="00D250DE">
        <w:rPr>
          <w:rFonts w:ascii="Arial" w:hAnsi="Arial" w:cs="Arial"/>
          <w:sz w:val="22"/>
          <w:szCs w:val="22"/>
        </w:rPr>
        <w:t xml:space="preserve"> across 2 to </w:t>
      </w:r>
      <w:r w:rsidR="00154E15">
        <w:rPr>
          <w:rFonts w:ascii="Arial" w:hAnsi="Arial" w:cs="Arial"/>
          <w:sz w:val="22"/>
          <w:szCs w:val="22"/>
        </w:rPr>
        <w:t>6</w:t>
      </w:r>
      <w:r w:rsidR="00D250DE">
        <w:rPr>
          <w:rFonts w:ascii="Arial" w:hAnsi="Arial" w:cs="Arial"/>
          <w:sz w:val="22"/>
          <w:szCs w:val="22"/>
        </w:rPr>
        <w:t xml:space="preserve"> factors, </w:t>
      </w:r>
      <w:r w:rsidR="00E523F2">
        <w:rPr>
          <w:rFonts w:ascii="Arial" w:hAnsi="Arial" w:cs="Arial"/>
          <w:sz w:val="22"/>
          <w:szCs w:val="22"/>
        </w:rPr>
        <w:t xml:space="preserve">we found no clear ‘elbow’ indicating the ideal number of factors, therefore we selected a </w:t>
      </w:r>
      <w:r w:rsidR="00650C7F">
        <w:rPr>
          <w:rFonts w:ascii="Arial" w:hAnsi="Arial" w:cs="Arial"/>
          <w:sz w:val="22"/>
          <w:szCs w:val="22"/>
        </w:rPr>
        <w:t>4</w:t>
      </w:r>
      <w:r w:rsidR="00E523F2">
        <w:rPr>
          <w:rFonts w:ascii="Arial" w:hAnsi="Arial" w:cs="Arial"/>
          <w:sz w:val="22"/>
          <w:szCs w:val="22"/>
        </w:rPr>
        <w:t xml:space="preserve">-factor solution </w:t>
      </w:r>
      <w:r w:rsidR="00DE71FF">
        <w:rPr>
          <w:rFonts w:ascii="Arial" w:hAnsi="Arial" w:cs="Arial"/>
          <w:sz w:val="22"/>
          <w:szCs w:val="22"/>
        </w:rPr>
        <w:t xml:space="preserve">with </w:t>
      </w:r>
      <w:proofErr w:type="spellStart"/>
      <w:r w:rsidR="00DE71FF">
        <w:rPr>
          <w:rFonts w:ascii="Arial" w:hAnsi="Arial" w:cs="Arial"/>
          <w:sz w:val="22"/>
          <w:szCs w:val="22"/>
        </w:rPr>
        <w:t>Fpeak</w:t>
      </w:r>
      <w:proofErr w:type="spellEnd"/>
      <w:r w:rsidR="00DE71FF">
        <w:rPr>
          <w:rFonts w:ascii="Arial" w:hAnsi="Arial" w:cs="Arial"/>
          <w:sz w:val="22"/>
          <w:szCs w:val="22"/>
        </w:rPr>
        <w:t xml:space="preserve"> rotation = 0.5 </w:t>
      </w:r>
      <w:r w:rsidR="00E523F2">
        <w:rPr>
          <w:rFonts w:ascii="Arial" w:hAnsi="Arial" w:cs="Arial"/>
          <w:sz w:val="22"/>
          <w:szCs w:val="22"/>
        </w:rPr>
        <w:t xml:space="preserve">based on </w:t>
      </w:r>
      <w:r w:rsidR="00154E15">
        <w:rPr>
          <w:rFonts w:ascii="Arial" w:hAnsi="Arial" w:cs="Arial"/>
          <w:sz w:val="22"/>
          <w:szCs w:val="22"/>
        </w:rPr>
        <w:t>stability of factors across bootstrapped samples and factor interpretability.</w:t>
      </w:r>
      <w:r w:rsidR="00C31032">
        <w:rPr>
          <w:rFonts w:ascii="Arial" w:hAnsi="Arial" w:cs="Arial"/>
          <w:sz w:val="22"/>
          <w:szCs w:val="22"/>
        </w:rPr>
        <w:t xml:space="preserve"> </w:t>
      </w:r>
    </w:p>
    <w:p w14:paraId="55A630F2" w14:textId="77777777" w:rsidR="00154E15" w:rsidRDefault="00154E15" w:rsidP="00973130">
      <w:pPr>
        <w:spacing w:line="360" w:lineRule="auto"/>
        <w:jc w:val="both"/>
        <w:rPr>
          <w:rFonts w:ascii="Arial" w:hAnsi="Arial" w:cs="Arial"/>
          <w:sz w:val="22"/>
          <w:szCs w:val="22"/>
        </w:rPr>
      </w:pPr>
    </w:p>
    <w:p w14:paraId="269C04D8" w14:textId="55794F5B" w:rsidR="00481E9E" w:rsidRDefault="00481E9E" w:rsidP="00973130">
      <w:pPr>
        <w:spacing w:line="360" w:lineRule="auto"/>
        <w:jc w:val="both"/>
        <w:rPr>
          <w:rFonts w:ascii="Arial" w:hAnsi="Arial" w:cs="Arial"/>
          <w:sz w:val="22"/>
          <w:szCs w:val="22"/>
        </w:rPr>
      </w:pPr>
      <w:r>
        <w:rPr>
          <w:rFonts w:ascii="Arial" w:hAnsi="Arial" w:cs="Arial"/>
          <w:b/>
          <w:bCs/>
          <w:sz w:val="22"/>
          <w:szCs w:val="22"/>
        </w:rPr>
        <w:t>Figure 3</w:t>
      </w:r>
      <w:r>
        <w:rPr>
          <w:rFonts w:ascii="Arial" w:hAnsi="Arial" w:cs="Arial"/>
          <w:sz w:val="22"/>
          <w:szCs w:val="22"/>
        </w:rPr>
        <w:t xml:space="preserve"> shows the normalized contribution of each VOC to each PMF </w:t>
      </w:r>
      <w:r w:rsidR="00A11F45">
        <w:rPr>
          <w:rFonts w:ascii="Arial" w:hAnsi="Arial" w:cs="Arial"/>
          <w:sz w:val="22"/>
          <w:szCs w:val="22"/>
        </w:rPr>
        <w:t>factor</w:t>
      </w:r>
      <w:r>
        <w:rPr>
          <w:rFonts w:ascii="Arial" w:hAnsi="Arial" w:cs="Arial"/>
          <w:sz w:val="22"/>
          <w:szCs w:val="22"/>
        </w:rPr>
        <w:t xml:space="preserve">. </w:t>
      </w:r>
      <w:r w:rsidR="007B497A">
        <w:rPr>
          <w:rFonts w:ascii="Arial" w:hAnsi="Arial" w:cs="Arial"/>
          <w:sz w:val="22"/>
          <w:szCs w:val="22"/>
        </w:rPr>
        <w:t xml:space="preserve">Factor 1 is dominated by </w:t>
      </w:r>
      <w:r w:rsidR="0088181A">
        <w:rPr>
          <w:rFonts w:ascii="Arial" w:hAnsi="Arial" w:cs="Arial"/>
          <w:sz w:val="22"/>
          <w:szCs w:val="22"/>
        </w:rPr>
        <w:t xml:space="preserve">light branched and straight-chain alkanes, suggesting light gasoline vapors and traffic emissions (CITE).  </w:t>
      </w:r>
      <w:r w:rsidR="008F5FA5">
        <w:rPr>
          <w:rFonts w:ascii="Arial" w:hAnsi="Arial" w:cs="Arial"/>
          <w:sz w:val="22"/>
          <w:szCs w:val="22"/>
        </w:rPr>
        <w:t xml:space="preserve">This is corroborated by the fact that </w:t>
      </w:r>
      <w:r w:rsidR="00A4306D">
        <w:rPr>
          <w:rFonts w:ascii="Arial" w:hAnsi="Arial" w:cs="Arial"/>
          <w:sz w:val="22"/>
          <w:szCs w:val="22"/>
        </w:rPr>
        <w:t>factor 1 was the largest contributor to total isopentane, and n-hexane concentrations (</w:t>
      </w:r>
      <w:r w:rsidR="00A4306D">
        <w:rPr>
          <w:rFonts w:ascii="Arial" w:hAnsi="Arial" w:cs="Arial"/>
          <w:b/>
          <w:bCs/>
          <w:sz w:val="22"/>
          <w:szCs w:val="22"/>
        </w:rPr>
        <w:t xml:space="preserve">Figure </w:t>
      </w:r>
      <w:r w:rsidR="00A14E38">
        <w:rPr>
          <w:rFonts w:ascii="Arial" w:hAnsi="Arial" w:cs="Arial"/>
          <w:b/>
          <w:bCs/>
          <w:sz w:val="22"/>
          <w:szCs w:val="22"/>
        </w:rPr>
        <w:t>4</w:t>
      </w:r>
      <w:r w:rsidR="00A4306D">
        <w:rPr>
          <w:rFonts w:ascii="Arial" w:hAnsi="Arial" w:cs="Arial"/>
          <w:sz w:val="22"/>
          <w:szCs w:val="22"/>
        </w:rPr>
        <w:t xml:space="preserve">), which </w:t>
      </w:r>
      <w:r w:rsidR="00A14E38">
        <w:rPr>
          <w:rFonts w:ascii="Arial" w:hAnsi="Arial" w:cs="Arial"/>
          <w:sz w:val="22"/>
          <w:szCs w:val="22"/>
        </w:rPr>
        <w:t>indicate</w:t>
      </w:r>
      <w:r w:rsidR="007B4BE9">
        <w:rPr>
          <w:rFonts w:ascii="Arial" w:hAnsi="Arial" w:cs="Arial"/>
          <w:sz w:val="22"/>
          <w:szCs w:val="22"/>
        </w:rPr>
        <w:t xml:space="preserve"> gasoline</w:t>
      </w:r>
      <w:r w:rsidR="00A14E38">
        <w:rPr>
          <w:rFonts w:ascii="Arial" w:hAnsi="Arial" w:cs="Arial"/>
          <w:sz w:val="22"/>
          <w:szCs w:val="22"/>
        </w:rPr>
        <w:t xml:space="preserve"> vapors (CITE)</w:t>
      </w:r>
      <w:r w:rsidR="00C25690">
        <w:rPr>
          <w:rFonts w:ascii="Arial" w:hAnsi="Arial" w:cs="Arial"/>
          <w:sz w:val="22"/>
          <w:szCs w:val="22"/>
        </w:rPr>
        <w:t xml:space="preserve">, and cis-2-pentene concentrations, suggesting </w:t>
      </w:r>
      <w:r w:rsidR="00100C1F">
        <w:rPr>
          <w:rFonts w:ascii="Arial" w:hAnsi="Arial" w:cs="Arial"/>
          <w:sz w:val="22"/>
          <w:szCs w:val="22"/>
        </w:rPr>
        <w:t>combustion</w:t>
      </w:r>
      <w:r w:rsidR="00A14E38">
        <w:rPr>
          <w:rFonts w:ascii="Arial" w:hAnsi="Arial" w:cs="Arial"/>
          <w:sz w:val="22"/>
          <w:szCs w:val="22"/>
        </w:rPr>
        <w:t xml:space="preserve"> (CITE)</w:t>
      </w:r>
      <w:r w:rsidR="00A4306D">
        <w:rPr>
          <w:rFonts w:ascii="Arial" w:hAnsi="Arial" w:cs="Arial"/>
          <w:sz w:val="22"/>
          <w:szCs w:val="22"/>
        </w:rPr>
        <w:t xml:space="preserve">. </w:t>
      </w:r>
      <w:r w:rsidR="00B47C29">
        <w:rPr>
          <w:rFonts w:ascii="Arial" w:hAnsi="Arial" w:cs="Arial"/>
          <w:sz w:val="22"/>
          <w:szCs w:val="22"/>
        </w:rPr>
        <w:t>Factor 2 was dominated by BTEX compound</w:t>
      </w:r>
      <w:r w:rsidR="00197197">
        <w:rPr>
          <w:rFonts w:ascii="Arial" w:hAnsi="Arial" w:cs="Arial"/>
          <w:sz w:val="22"/>
          <w:szCs w:val="22"/>
        </w:rPr>
        <w:t xml:space="preserve">s </w:t>
      </w:r>
      <w:r w:rsidR="006E2693">
        <w:rPr>
          <w:rFonts w:ascii="Arial" w:hAnsi="Arial" w:cs="Arial"/>
          <w:sz w:val="22"/>
          <w:szCs w:val="22"/>
        </w:rPr>
        <w:t xml:space="preserve">and other aromatics, suggesting mixed traffic and industrial solvent emissions. </w:t>
      </w:r>
      <w:r w:rsidR="00041CAB">
        <w:rPr>
          <w:rFonts w:ascii="Arial" w:hAnsi="Arial" w:cs="Arial"/>
          <w:sz w:val="22"/>
          <w:szCs w:val="22"/>
        </w:rPr>
        <w:t>Factor 2 was the largest contributor to tetrachloroethylene and toluene concentrations, indicative of industrial solvents and degreasers (CITE)</w:t>
      </w:r>
      <w:r w:rsidR="004335CF">
        <w:rPr>
          <w:rFonts w:ascii="Arial" w:hAnsi="Arial" w:cs="Arial"/>
          <w:sz w:val="22"/>
          <w:szCs w:val="22"/>
        </w:rPr>
        <w:t xml:space="preserve"> (</w:t>
      </w:r>
      <w:r w:rsidR="004335CF">
        <w:rPr>
          <w:rFonts w:ascii="Arial" w:hAnsi="Arial" w:cs="Arial"/>
          <w:b/>
          <w:bCs/>
          <w:sz w:val="22"/>
          <w:szCs w:val="22"/>
        </w:rPr>
        <w:t>Figure 4</w:t>
      </w:r>
      <w:r w:rsidR="004335CF">
        <w:rPr>
          <w:rFonts w:ascii="Arial" w:hAnsi="Arial" w:cs="Arial"/>
          <w:sz w:val="22"/>
          <w:szCs w:val="22"/>
        </w:rPr>
        <w:t>)</w:t>
      </w:r>
      <w:r w:rsidR="00041CAB">
        <w:rPr>
          <w:rFonts w:ascii="Arial" w:hAnsi="Arial" w:cs="Arial"/>
          <w:sz w:val="22"/>
          <w:szCs w:val="22"/>
        </w:rPr>
        <w:t>. Factor 3 consists of primarily CFC-11</w:t>
      </w:r>
      <w:r w:rsidR="00F12FF1">
        <w:rPr>
          <w:rFonts w:ascii="Arial" w:hAnsi="Arial" w:cs="Arial"/>
          <w:sz w:val="22"/>
          <w:szCs w:val="22"/>
        </w:rPr>
        <w:t>,</w:t>
      </w:r>
      <w:r w:rsidR="00041CAB">
        <w:rPr>
          <w:rFonts w:ascii="Arial" w:hAnsi="Arial" w:cs="Arial"/>
          <w:sz w:val="22"/>
          <w:szCs w:val="22"/>
        </w:rPr>
        <w:t xml:space="preserve"> carbon tetrachlorid</w:t>
      </w:r>
      <w:r w:rsidR="00F12FF1">
        <w:rPr>
          <w:rFonts w:ascii="Arial" w:hAnsi="Arial" w:cs="Arial"/>
          <w:sz w:val="22"/>
          <w:szCs w:val="22"/>
        </w:rPr>
        <w:t>e, and benzene</w:t>
      </w:r>
      <w:r w:rsidR="00557AEC">
        <w:rPr>
          <w:rFonts w:ascii="Arial" w:hAnsi="Arial" w:cs="Arial"/>
          <w:sz w:val="22"/>
          <w:szCs w:val="22"/>
        </w:rPr>
        <w:t>. Factor 3 was the primary contributor to CFC-11 concentrations, indicating legacy emission</w:t>
      </w:r>
      <w:r w:rsidR="008519FB">
        <w:rPr>
          <w:rFonts w:ascii="Arial" w:hAnsi="Arial" w:cs="Arial"/>
          <w:sz w:val="22"/>
          <w:szCs w:val="22"/>
        </w:rPr>
        <w:t>s and suggesting that this factor reflects background air pollution</w:t>
      </w:r>
      <w:r w:rsidR="00DB2B96">
        <w:rPr>
          <w:rFonts w:ascii="Arial" w:hAnsi="Arial" w:cs="Arial"/>
          <w:sz w:val="22"/>
          <w:szCs w:val="22"/>
        </w:rPr>
        <w:t xml:space="preserve">. </w:t>
      </w:r>
      <w:r w:rsidR="008519FB">
        <w:rPr>
          <w:rFonts w:ascii="Arial" w:hAnsi="Arial" w:cs="Arial"/>
          <w:sz w:val="22"/>
          <w:szCs w:val="22"/>
        </w:rPr>
        <w:t xml:space="preserve">Factor 4 is comprised of primarily </w:t>
      </w:r>
      <w:proofErr w:type="spellStart"/>
      <w:r w:rsidR="008519FB">
        <w:rPr>
          <w:rFonts w:ascii="Arial" w:hAnsi="Arial" w:cs="Arial"/>
          <w:sz w:val="22"/>
          <w:szCs w:val="22"/>
        </w:rPr>
        <w:t>isohexane</w:t>
      </w:r>
      <w:proofErr w:type="spellEnd"/>
      <w:r w:rsidR="008519FB">
        <w:rPr>
          <w:rFonts w:ascii="Arial" w:hAnsi="Arial" w:cs="Arial"/>
          <w:sz w:val="22"/>
          <w:szCs w:val="22"/>
        </w:rPr>
        <w:t xml:space="preserve">, </w:t>
      </w:r>
      <w:proofErr w:type="spellStart"/>
      <w:r w:rsidR="008519FB">
        <w:rPr>
          <w:rFonts w:ascii="Arial" w:hAnsi="Arial" w:cs="Arial"/>
          <w:sz w:val="22"/>
          <w:szCs w:val="22"/>
        </w:rPr>
        <w:t>methylcylohexane</w:t>
      </w:r>
      <w:proofErr w:type="spellEnd"/>
      <w:r w:rsidR="008519FB">
        <w:rPr>
          <w:rFonts w:ascii="Arial" w:hAnsi="Arial" w:cs="Arial"/>
          <w:sz w:val="22"/>
          <w:szCs w:val="22"/>
        </w:rPr>
        <w:t xml:space="preserve">, and </w:t>
      </w:r>
      <w:r w:rsidR="004B0CCD">
        <w:rPr>
          <w:rFonts w:ascii="Arial" w:hAnsi="Arial" w:cs="Arial"/>
          <w:sz w:val="22"/>
          <w:szCs w:val="22"/>
        </w:rPr>
        <w:t>alkylbenzenes, suggesting petroleum-based solvent use.</w:t>
      </w:r>
      <w:r w:rsidR="00C31C4A">
        <w:rPr>
          <w:rFonts w:ascii="Arial" w:hAnsi="Arial" w:cs="Arial"/>
          <w:sz w:val="22"/>
          <w:szCs w:val="22"/>
        </w:rPr>
        <w:fldChar w:fldCharType="begin"/>
      </w:r>
      <w:r w:rsidR="00C31C4A">
        <w:rPr>
          <w:rFonts w:ascii="Arial" w:hAnsi="Arial" w:cs="Arial"/>
          <w:sz w:val="22"/>
          <w:szCs w:val="22"/>
        </w:rPr>
        <w:instrText xml:space="preserve"> ADDIN ZOTERO_ITEM CSL_CITATION {"citationID":"2E6fIGXF","properties":{"formattedCitation":"\\super 47\\nosupersub{}","plainCitation":"47","noteIndex":0},"citationItems":[{"id":16874,"uris":["http://zotero.org/groups/4923232/items/XXCZ6M3B"],"itemData":{"id":16874,"type":"article-journal","abstract":"A gap in emission inventories of urban volatile organic compound (VOC) sources, which contribute to regional ozone and aerosol burdens, has increased as transportation emissions in the United States and Europe have declined rapidly. A detailed mass balance demonstrates that the use of volatile chemical products (VCPs)—including pesticides, coatings, printing inks, adhesives, cleaning agents, and personal care products—now constitutes half of fossil fuel VOC emissions in industrialized cities. The high fraction of VCP emissions is consistent with observed urban outdoor and indoor air measurements. We show that human exposure to carbonaceous aerosols of fossil origin is transitioning away from transportation-related sources and toward VCPs. Existing U.S. regulations on VCPs emphasize mitigating ozone and air toxics, but they currently exempt many chemicals that lead to secondary organic aerosols.","container-title":"Science","DOI":"10.1126/science.aaq0524","issue":"6377","note":"publisher: American Association for the Advancement of Science","page":"760-764","source":"science.org (Atypon)","title":"Volatile chemical products emerging as largest petrochemical source of urban organic emissions","volume":"359","author":[{"family":"McDonald","given":"Brian C."},{"family":"Gouw","given":"Joost A.","non-dropping-particle":"de"},{"family":"Gilman","given":"Jessica B."},{"family":"Jathar","given":"Shantanu H."},{"family":"Akherati","given":"Ali"},{"family":"Cappa","given":"Christopher D."},{"family":"Jimenez","given":"Jose L."},{"family":"Lee-Taylor","given":"Julia"},{"family":"Hayes","given":"Patrick L."},{"family":"McKeen","given":"Stuart A."},{"family":"Cui","given":"Yu Yan"},{"family":"Kim","given":"Si-Wan"},{"family":"Gentner","given":"Drew R."},{"family":"Isaacman-VanWertz","given":"Gabriel"},{"family":"Goldstein","given":"Allen H."},{"family":"Harley","given":"Robert A."},{"family":"Frost","given":"Gregory J."},{"family":"Roberts","given":"James M."},{"family":"Ryerson","given":"Thomas B."},{"family":"Trainer","given":"Michael"}],"issued":{"date-parts":[["2018",2,16]]}}}],"schema":"https://github.com/citation-style-language/schema/raw/master/csl-citation.json"} </w:instrText>
      </w:r>
      <w:r w:rsidR="00C31C4A">
        <w:rPr>
          <w:rFonts w:ascii="Arial" w:hAnsi="Arial" w:cs="Arial"/>
          <w:sz w:val="22"/>
          <w:szCs w:val="22"/>
        </w:rPr>
        <w:fldChar w:fldCharType="separate"/>
      </w:r>
      <w:r w:rsidR="00C31C4A" w:rsidRPr="00C31C4A">
        <w:rPr>
          <w:rFonts w:ascii="Arial" w:hAnsi="Arial" w:cs="Arial"/>
          <w:kern w:val="0"/>
          <w:sz w:val="22"/>
          <w:vertAlign w:val="superscript"/>
        </w:rPr>
        <w:t>47</w:t>
      </w:r>
      <w:r w:rsidR="00C31C4A">
        <w:rPr>
          <w:rFonts w:ascii="Arial" w:hAnsi="Arial" w:cs="Arial"/>
          <w:sz w:val="22"/>
          <w:szCs w:val="22"/>
        </w:rPr>
        <w:fldChar w:fldCharType="end"/>
      </w:r>
      <w:r w:rsidR="000D39F7">
        <w:rPr>
          <w:rFonts w:ascii="Arial" w:hAnsi="Arial" w:cs="Arial"/>
          <w:sz w:val="22"/>
          <w:szCs w:val="22"/>
        </w:rPr>
        <w:t xml:space="preserve"> </w:t>
      </w:r>
    </w:p>
    <w:p w14:paraId="5B98AEAD" w14:textId="77777777" w:rsidR="00520091" w:rsidRDefault="00520091" w:rsidP="00973130">
      <w:pPr>
        <w:spacing w:line="360" w:lineRule="auto"/>
        <w:jc w:val="both"/>
        <w:rPr>
          <w:rFonts w:ascii="Arial" w:hAnsi="Arial" w:cs="Arial"/>
          <w:sz w:val="22"/>
          <w:szCs w:val="22"/>
        </w:rPr>
      </w:pPr>
    </w:p>
    <w:p w14:paraId="3381095D" w14:textId="4FF8FB2C" w:rsidR="00520091" w:rsidRDefault="00520091" w:rsidP="00973130">
      <w:pPr>
        <w:spacing w:line="360" w:lineRule="auto"/>
        <w:jc w:val="both"/>
        <w:rPr>
          <w:rFonts w:ascii="Arial" w:hAnsi="Arial" w:cs="Arial"/>
          <w:sz w:val="22"/>
          <w:szCs w:val="22"/>
        </w:rPr>
      </w:pPr>
      <w:r>
        <w:rPr>
          <w:rFonts w:ascii="Arial" w:hAnsi="Arial" w:cs="Arial"/>
          <w:sz w:val="22"/>
          <w:szCs w:val="22"/>
        </w:rPr>
        <w:t>By considering factor contributions to total VOC mass by site (</w:t>
      </w:r>
      <w:r>
        <w:rPr>
          <w:rFonts w:ascii="Arial" w:hAnsi="Arial" w:cs="Arial"/>
          <w:b/>
          <w:bCs/>
          <w:sz w:val="22"/>
          <w:szCs w:val="22"/>
        </w:rPr>
        <w:t xml:space="preserve">Figure </w:t>
      </w:r>
      <w:r w:rsidR="004335CF">
        <w:rPr>
          <w:rFonts w:ascii="Arial" w:hAnsi="Arial" w:cs="Arial"/>
          <w:b/>
          <w:bCs/>
          <w:sz w:val="22"/>
          <w:szCs w:val="22"/>
        </w:rPr>
        <w:t>S28</w:t>
      </w:r>
      <w:r>
        <w:rPr>
          <w:rFonts w:ascii="Arial" w:hAnsi="Arial" w:cs="Arial"/>
          <w:sz w:val="22"/>
          <w:szCs w:val="22"/>
        </w:rPr>
        <w:t xml:space="preserve">), </w:t>
      </w:r>
      <w:r w:rsidR="004335CF">
        <w:rPr>
          <w:rFonts w:ascii="Arial" w:hAnsi="Arial" w:cs="Arial"/>
          <w:sz w:val="22"/>
          <w:szCs w:val="22"/>
        </w:rPr>
        <w:t>factor</w:t>
      </w:r>
      <w:r>
        <w:rPr>
          <w:rFonts w:ascii="Arial" w:hAnsi="Arial" w:cs="Arial"/>
          <w:sz w:val="22"/>
          <w:szCs w:val="22"/>
        </w:rPr>
        <w:t xml:space="preserve"> 4 (</w:t>
      </w:r>
      <w:r w:rsidR="004335CF">
        <w:rPr>
          <w:rFonts w:ascii="Arial" w:hAnsi="Arial" w:cs="Arial"/>
          <w:sz w:val="22"/>
          <w:szCs w:val="22"/>
        </w:rPr>
        <w:t>petroleum-based solvents</w:t>
      </w:r>
      <w:r>
        <w:rPr>
          <w:rFonts w:ascii="Arial" w:hAnsi="Arial" w:cs="Arial"/>
          <w:sz w:val="22"/>
          <w:szCs w:val="22"/>
        </w:rPr>
        <w:t>)</w:t>
      </w:r>
      <w:r w:rsidR="00B878B7">
        <w:rPr>
          <w:rFonts w:ascii="Arial" w:hAnsi="Arial" w:cs="Arial"/>
          <w:sz w:val="22"/>
          <w:szCs w:val="22"/>
        </w:rPr>
        <w:t xml:space="preserve"> dominates in only two sites</w:t>
      </w:r>
      <w:r w:rsidR="008A7361">
        <w:rPr>
          <w:rFonts w:ascii="Arial" w:hAnsi="Arial" w:cs="Arial"/>
          <w:sz w:val="22"/>
          <w:szCs w:val="22"/>
        </w:rPr>
        <w:t xml:space="preserve"> (</w:t>
      </w:r>
      <w:r w:rsidR="00B878B7">
        <w:rPr>
          <w:rFonts w:ascii="Arial" w:hAnsi="Arial" w:cs="Arial"/>
          <w:sz w:val="22"/>
          <w:szCs w:val="22"/>
        </w:rPr>
        <w:t>28</w:t>
      </w:r>
      <w:r w:rsidR="00B878B7" w:rsidRPr="00B878B7">
        <w:rPr>
          <w:rFonts w:ascii="Arial" w:hAnsi="Arial" w:cs="Arial"/>
          <w:sz w:val="22"/>
          <w:szCs w:val="22"/>
          <w:vertAlign w:val="superscript"/>
        </w:rPr>
        <w:t>th</w:t>
      </w:r>
      <w:r w:rsidR="00B878B7">
        <w:rPr>
          <w:rFonts w:ascii="Arial" w:hAnsi="Arial" w:cs="Arial"/>
          <w:sz w:val="22"/>
          <w:szCs w:val="22"/>
        </w:rPr>
        <w:t xml:space="preserve"> and </w:t>
      </w:r>
      <w:proofErr w:type="spellStart"/>
      <w:r w:rsidR="00B878B7">
        <w:rPr>
          <w:rFonts w:ascii="Arial" w:hAnsi="Arial" w:cs="Arial"/>
          <w:sz w:val="22"/>
          <w:szCs w:val="22"/>
        </w:rPr>
        <w:t>Passyunk</w:t>
      </w:r>
      <w:proofErr w:type="spellEnd"/>
      <w:r w:rsidR="00B878B7">
        <w:rPr>
          <w:rFonts w:ascii="Arial" w:hAnsi="Arial" w:cs="Arial"/>
          <w:sz w:val="22"/>
          <w:szCs w:val="22"/>
        </w:rPr>
        <w:t xml:space="preserve"> and 26</w:t>
      </w:r>
      <w:r w:rsidR="00B878B7" w:rsidRPr="00B878B7">
        <w:rPr>
          <w:rFonts w:ascii="Arial" w:hAnsi="Arial" w:cs="Arial"/>
          <w:sz w:val="22"/>
          <w:szCs w:val="22"/>
          <w:vertAlign w:val="superscript"/>
        </w:rPr>
        <w:t>th</w:t>
      </w:r>
      <w:r w:rsidR="00B878B7">
        <w:rPr>
          <w:rFonts w:ascii="Arial" w:hAnsi="Arial" w:cs="Arial"/>
          <w:sz w:val="22"/>
          <w:szCs w:val="22"/>
        </w:rPr>
        <w:t xml:space="preserve"> &amp; </w:t>
      </w:r>
      <w:proofErr w:type="spellStart"/>
      <w:r w:rsidR="00B878B7">
        <w:rPr>
          <w:rFonts w:ascii="Arial" w:hAnsi="Arial" w:cs="Arial"/>
          <w:sz w:val="22"/>
          <w:szCs w:val="22"/>
        </w:rPr>
        <w:t>Hartranft</w:t>
      </w:r>
      <w:proofErr w:type="spellEnd"/>
      <w:r w:rsidR="008A7361">
        <w:rPr>
          <w:rFonts w:ascii="Arial" w:hAnsi="Arial" w:cs="Arial"/>
          <w:sz w:val="22"/>
          <w:szCs w:val="22"/>
        </w:rPr>
        <w:t xml:space="preserve">), both of which are </w:t>
      </w:r>
      <w:proofErr w:type="gramStart"/>
      <w:r w:rsidR="008A7361">
        <w:rPr>
          <w:rFonts w:ascii="Arial" w:hAnsi="Arial" w:cs="Arial"/>
          <w:sz w:val="22"/>
          <w:szCs w:val="22"/>
        </w:rPr>
        <w:t>in close proximity to</w:t>
      </w:r>
      <w:proofErr w:type="gramEnd"/>
      <w:r w:rsidR="008A7361">
        <w:rPr>
          <w:rFonts w:ascii="Arial" w:hAnsi="Arial" w:cs="Arial"/>
          <w:sz w:val="22"/>
          <w:szCs w:val="22"/>
        </w:rPr>
        <w:t xml:space="preserve"> an active oil terminal, lie on the perimeter of the former refinery site,</w:t>
      </w:r>
      <w:r w:rsidR="004335CF">
        <w:rPr>
          <w:rFonts w:ascii="Arial" w:hAnsi="Arial" w:cs="Arial"/>
          <w:sz w:val="22"/>
          <w:szCs w:val="22"/>
        </w:rPr>
        <w:t xml:space="preserve"> and </w:t>
      </w:r>
      <w:r w:rsidR="008A7361">
        <w:rPr>
          <w:rFonts w:ascii="Arial" w:hAnsi="Arial" w:cs="Arial"/>
          <w:sz w:val="22"/>
          <w:szCs w:val="22"/>
        </w:rPr>
        <w:t>are along high-traffic streets</w:t>
      </w:r>
      <w:r w:rsidR="004335CF">
        <w:rPr>
          <w:rFonts w:ascii="Arial" w:hAnsi="Arial" w:cs="Arial"/>
          <w:sz w:val="22"/>
          <w:szCs w:val="22"/>
        </w:rPr>
        <w:t>.</w:t>
      </w:r>
      <w:r w:rsidR="00D04185">
        <w:rPr>
          <w:rFonts w:ascii="Arial" w:hAnsi="Arial" w:cs="Arial"/>
          <w:sz w:val="22"/>
          <w:szCs w:val="22"/>
        </w:rPr>
        <w:t xml:space="preserve"> </w:t>
      </w:r>
      <w:r w:rsidR="004335CF">
        <w:rPr>
          <w:rFonts w:ascii="Arial" w:hAnsi="Arial" w:cs="Arial"/>
          <w:sz w:val="22"/>
          <w:szCs w:val="22"/>
        </w:rPr>
        <w:t xml:space="preserve">These </w:t>
      </w:r>
      <w:r w:rsidR="00D04185">
        <w:rPr>
          <w:rFonts w:ascii="Arial" w:hAnsi="Arial" w:cs="Arial"/>
          <w:sz w:val="22"/>
          <w:szCs w:val="22"/>
        </w:rPr>
        <w:t xml:space="preserve">sites also exhibit smaller contributions from factors 2 and 3 (mixed urban/industrial and background pollution), </w:t>
      </w:r>
      <w:r w:rsidR="0067046C">
        <w:rPr>
          <w:rFonts w:ascii="Arial" w:hAnsi="Arial" w:cs="Arial"/>
          <w:sz w:val="22"/>
          <w:szCs w:val="22"/>
        </w:rPr>
        <w:t xml:space="preserve">particularly when compared to the only two greenspace sites, Wharton </w:t>
      </w:r>
      <w:proofErr w:type="gramStart"/>
      <w:r w:rsidR="0067046C">
        <w:rPr>
          <w:rFonts w:ascii="Arial" w:hAnsi="Arial" w:cs="Arial"/>
          <w:sz w:val="22"/>
          <w:szCs w:val="22"/>
        </w:rPr>
        <w:t>Park</w:t>
      </w:r>
      <w:proofErr w:type="gramEnd"/>
      <w:r w:rsidR="0067046C">
        <w:rPr>
          <w:rFonts w:ascii="Arial" w:hAnsi="Arial" w:cs="Arial"/>
          <w:sz w:val="22"/>
          <w:szCs w:val="22"/>
        </w:rPr>
        <w:t xml:space="preserve"> and Bartram’s Garden, where </w:t>
      </w:r>
      <w:r w:rsidR="0067046C">
        <w:rPr>
          <w:rFonts w:ascii="Arial" w:hAnsi="Arial" w:cs="Arial"/>
          <w:sz w:val="22"/>
          <w:szCs w:val="22"/>
        </w:rPr>
        <w:lastRenderedPageBreak/>
        <w:t>factors 2 and 3 dominate the total VOC mass</w:t>
      </w:r>
      <w:r w:rsidR="005548DC">
        <w:rPr>
          <w:rFonts w:ascii="Arial" w:hAnsi="Arial" w:cs="Arial"/>
          <w:sz w:val="22"/>
          <w:szCs w:val="22"/>
        </w:rPr>
        <w:t xml:space="preserve"> throughout the year (</w:t>
      </w:r>
      <w:r w:rsidR="005548DC">
        <w:rPr>
          <w:rFonts w:ascii="Arial" w:hAnsi="Arial" w:cs="Arial"/>
          <w:b/>
          <w:bCs/>
          <w:sz w:val="22"/>
          <w:szCs w:val="22"/>
        </w:rPr>
        <w:t xml:space="preserve">Figure </w:t>
      </w:r>
      <w:r w:rsidR="005B2F5E">
        <w:rPr>
          <w:rFonts w:ascii="Arial" w:hAnsi="Arial" w:cs="Arial"/>
          <w:b/>
          <w:bCs/>
          <w:sz w:val="22"/>
          <w:szCs w:val="22"/>
        </w:rPr>
        <w:t>S29</w:t>
      </w:r>
      <w:r w:rsidR="005B2F5E">
        <w:rPr>
          <w:rFonts w:ascii="Arial" w:hAnsi="Arial" w:cs="Arial"/>
          <w:sz w:val="22"/>
          <w:szCs w:val="22"/>
        </w:rPr>
        <w:t>)</w:t>
      </w:r>
      <w:r w:rsidR="0067046C">
        <w:rPr>
          <w:rFonts w:ascii="Arial" w:hAnsi="Arial" w:cs="Arial"/>
          <w:sz w:val="22"/>
          <w:szCs w:val="22"/>
        </w:rPr>
        <w:t xml:space="preserve">. </w:t>
      </w:r>
      <w:r w:rsidR="005E3FFB">
        <w:rPr>
          <w:rFonts w:ascii="Arial" w:hAnsi="Arial" w:cs="Arial"/>
          <w:sz w:val="22"/>
          <w:szCs w:val="22"/>
        </w:rPr>
        <w:t>Factor 1 (gasoline/traffic)</w:t>
      </w:r>
      <w:r w:rsidR="00C97C1D">
        <w:rPr>
          <w:rFonts w:ascii="Arial" w:hAnsi="Arial" w:cs="Arial"/>
          <w:sz w:val="22"/>
          <w:szCs w:val="22"/>
        </w:rPr>
        <w:t xml:space="preserve"> is more difficult to interpret across sites—</w:t>
      </w:r>
      <w:r w:rsidR="001A0845">
        <w:rPr>
          <w:rFonts w:ascii="Arial" w:hAnsi="Arial" w:cs="Arial"/>
          <w:sz w:val="22"/>
          <w:szCs w:val="22"/>
        </w:rPr>
        <w:t>one would expect that sites classified as high-traffic would have larger gasoline/traffic factor contributions, but this is not seen</w:t>
      </w:r>
      <w:r w:rsidR="004335CF">
        <w:rPr>
          <w:rFonts w:ascii="Arial" w:hAnsi="Arial" w:cs="Arial"/>
          <w:sz w:val="22"/>
          <w:szCs w:val="22"/>
        </w:rPr>
        <w:t xml:space="preserve">. </w:t>
      </w:r>
      <w:r w:rsidR="004E66BA">
        <w:rPr>
          <w:rFonts w:ascii="Arial" w:hAnsi="Arial" w:cs="Arial"/>
          <w:sz w:val="22"/>
          <w:szCs w:val="22"/>
        </w:rPr>
        <w:t xml:space="preserve">Wind patterns and variations in traffic density beyond the 30-meter buffer used to categorize sites may explain these inconsistencies. </w:t>
      </w:r>
    </w:p>
    <w:p w14:paraId="1FB7FD09" w14:textId="77777777" w:rsidR="00CA3F5B" w:rsidRDefault="00CA3F5B" w:rsidP="00973130">
      <w:pPr>
        <w:spacing w:line="360" w:lineRule="auto"/>
        <w:jc w:val="both"/>
        <w:rPr>
          <w:rFonts w:ascii="Arial" w:hAnsi="Arial" w:cs="Arial"/>
          <w:sz w:val="22"/>
          <w:szCs w:val="22"/>
        </w:rPr>
      </w:pPr>
    </w:p>
    <w:p w14:paraId="479B1DBD" w14:textId="7A426921" w:rsidR="00CA3F5B" w:rsidRDefault="00767415" w:rsidP="00973130">
      <w:pPr>
        <w:spacing w:line="360" w:lineRule="auto"/>
        <w:jc w:val="both"/>
        <w:rPr>
          <w:rFonts w:ascii="Arial" w:hAnsi="Arial" w:cs="Arial"/>
          <w:sz w:val="22"/>
          <w:szCs w:val="22"/>
        </w:rPr>
      </w:pPr>
      <w:r>
        <w:rPr>
          <w:rFonts w:ascii="Arial" w:hAnsi="Arial" w:cs="Arial"/>
          <w:sz w:val="22"/>
          <w:szCs w:val="22"/>
        </w:rPr>
        <w:t xml:space="preserve">When PMF analysis was repeated for weekly sites only, </w:t>
      </w:r>
      <w:r w:rsidR="00FD4463">
        <w:rPr>
          <w:rFonts w:ascii="Arial" w:hAnsi="Arial" w:cs="Arial"/>
          <w:sz w:val="22"/>
          <w:szCs w:val="22"/>
        </w:rPr>
        <w:t>the factor order changed but otherwise results were identical to the main analysis (</w:t>
      </w:r>
      <w:r w:rsidR="00FD4463" w:rsidRPr="00CD5EDF">
        <w:rPr>
          <w:rFonts w:ascii="Arial" w:hAnsi="Arial" w:cs="Arial"/>
          <w:b/>
          <w:bCs/>
          <w:sz w:val="22"/>
          <w:szCs w:val="22"/>
        </w:rPr>
        <w:t>Figure S</w:t>
      </w:r>
      <w:r w:rsidR="001A6AE8">
        <w:rPr>
          <w:rFonts w:ascii="Arial" w:hAnsi="Arial" w:cs="Arial"/>
          <w:b/>
          <w:bCs/>
          <w:sz w:val="22"/>
          <w:szCs w:val="22"/>
        </w:rPr>
        <w:t>30</w:t>
      </w:r>
      <w:r w:rsidR="00FD4463">
        <w:rPr>
          <w:rFonts w:ascii="Arial" w:hAnsi="Arial" w:cs="Arial"/>
          <w:sz w:val="22"/>
          <w:szCs w:val="22"/>
        </w:rPr>
        <w:t xml:space="preserve">). Factor 1 did not change, factor 2 in the sensitivity analysis is </w:t>
      </w:r>
      <w:r w:rsidR="00DC7503">
        <w:rPr>
          <w:rFonts w:ascii="Arial" w:hAnsi="Arial" w:cs="Arial"/>
          <w:sz w:val="22"/>
          <w:szCs w:val="22"/>
        </w:rPr>
        <w:t xml:space="preserve">the same as factor 3 in the primary analysis; factor 3 in the sensitivity analysis matches factor 2 in the primary analysis, and factor 4 in the sensitivity analysis matches factor 2 in the primary analysis. </w:t>
      </w:r>
      <w:r w:rsidR="00FD4463">
        <w:rPr>
          <w:rFonts w:ascii="Arial" w:hAnsi="Arial" w:cs="Arial"/>
          <w:sz w:val="22"/>
          <w:szCs w:val="22"/>
        </w:rPr>
        <w:t xml:space="preserve"> </w:t>
      </w:r>
    </w:p>
    <w:p w14:paraId="77B2AB71" w14:textId="77777777" w:rsidR="00CA3F5B" w:rsidRPr="00CA3F5B" w:rsidRDefault="00CA3F5B" w:rsidP="00973130">
      <w:pPr>
        <w:spacing w:line="360" w:lineRule="auto"/>
        <w:jc w:val="both"/>
        <w:rPr>
          <w:rFonts w:ascii="Arial" w:hAnsi="Arial" w:cs="Arial"/>
          <w:sz w:val="22"/>
          <w:szCs w:val="22"/>
        </w:rPr>
      </w:pPr>
    </w:p>
    <w:p w14:paraId="6257670F" w14:textId="77777777" w:rsidR="00650FF9" w:rsidRPr="00F64D3B" w:rsidRDefault="00650FF9" w:rsidP="00973130">
      <w:pPr>
        <w:spacing w:line="360" w:lineRule="auto"/>
        <w:jc w:val="both"/>
        <w:rPr>
          <w:rFonts w:ascii="Arial" w:hAnsi="Arial" w:cs="Arial"/>
          <w:sz w:val="22"/>
          <w:szCs w:val="22"/>
        </w:rPr>
      </w:pPr>
    </w:p>
    <w:p w14:paraId="6C9C33E4" w14:textId="487D1678" w:rsidR="00714296" w:rsidRPr="00F64D3B" w:rsidRDefault="00714296" w:rsidP="00973130">
      <w:pPr>
        <w:spacing w:line="360" w:lineRule="auto"/>
        <w:jc w:val="both"/>
        <w:rPr>
          <w:rFonts w:ascii="Arial" w:hAnsi="Arial" w:cs="Arial"/>
          <w:b/>
          <w:bCs/>
          <w:sz w:val="22"/>
          <w:szCs w:val="22"/>
        </w:rPr>
      </w:pPr>
      <w:r w:rsidRPr="00F64D3B">
        <w:rPr>
          <w:rFonts w:ascii="Arial" w:hAnsi="Arial" w:cs="Arial"/>
          <w:b/>
          <w:bCs/>
          <w:sz w:val="22"/>
          <w:szCs w:val="22"/>
        </w:rPr>
        <w:t>DISCUSSION</w:t>
      </w:r>
    </w:p>
    <w:p w14:paraId="27A2C27D" w14:textId="3492DC1B" w:rsidR="004309A2" w:rsidRDefault="00974425" w:rsidP="00973130">
      <w:pPr>
        <w:spacing w:line="360" w:lineRule="auto"/>
        <w:jc w:val="both"/>
        <w:rPr>
          <w:rFonts w:ascii="Arial" w:hAnsi="Arial" w:cs="Arial"/>
          <w:sz w:val="22"/>
          <w:szCs w:val="22"/>
        </w:rPr>
      </w:pPr>
      <w:r w:rsidRPr="00F64D3B">
        <w:rPr>
          <w:rFonts w:ascii="Arial" w:hAnsi="Arial" w:cs="Arial"/>
          <w:sz w:val="22"/>
          <w:szCs w:val="22"/>
        </w:rPr>
        <w:t xml:space="preserve">The </w:t>
      </w:r>
      <w:proofErr w:type="spellStart"/>
      <w:r w:rsidRPr="00F64D3B">
        <w:rPr>
          <w:rFonts w:ascii="Arial" w:hAnsi="Arial" w:cs="Arial"/>
          <w:sz w:val="22"/>
          <w:szCs w:val="22"/>
        </w:rPr>
        <w:t>THRIVEair</w:t>
      </w:r>
      <w:proofErr w:type="spellEnd"/>
      <w:r w:rsidRPr="00F64D3B">
        <w:rPr>
          <w:rFonts w:ascii="Arial" w:hAnsi="Arial" w:cs="Arial"/>
          <w:sz w:val="22"/>
          <w:szCs w:val="22"/>
        </w:rPr>
        <w:t xml:space="preserve"> study was a community-based air monitoring project in S/SW Philadelphia from summer 2023 to summer 2024. Following community-based participatory research methods, we co-designed our air monitoring network and report-back protocols with Philly Thrive, a local environmental justice organization</w:t>
      </w:r>
      <w:r w:rsidR="00D914C0">
        <w:rPr>
          <w:rFonts w:ascii="Arial" w:hAnsi="Arial" w:cs="Arial"/>
          <w:sz w:val="22"/>
          <w:szCs w:val="22"/>
        </w:rPr>
        <w:t xml:space="preserve"> (</w:t>
      </w:r>
      <w:r w:rsidR="00D914C0" w:rsidRPr="00D914C0">
        <w:rPr>
          <w:rFonts w:ascii="Arial" w:hAnsi="Arial" w:cs="Arial"/>
          <w:sz w:val="22"/>
          <w:szCs w:val="22"/>
          <w:highlight w:val="yellow"/>
        </w:rPr>
        <w:t>CITE CBPR PAPER</w:t>
      </w:r>
      <w:r w:rsidR="00D914C0">
        <w:rPr>
          <w:rFonts w:ascii="Arial" w:hAnsi="Arial" w:cs="Arial"/>
          <w:sz w:val="22"/>
          <w:szCs w:val="22"/>
        </w:rPr>
        <w:t>)</w:t>
      </w:r>
      <w:r w:rsidRPr="00F64D3B">
        <w:rPr>
          <w:rFonts w:ascii="Arial" w:hAnsi="Arial" w:cs="Arial"/>
          <w:sz w:val="22"/>
          <w:szCs w:val="22"/>
        </w:rPr>
        <w:t>.</w:t>
      </w:r>
      <w:r w:rsidR="004309A2" w:rsidRPr="004309A2">
        <w:rPr>
          <w:rFonts w:ascii="Arial" w:hAnsi="Arial" w:cs="Arial"/>
          <w:sz w:val="22"/>
          <w:szCs w:val="22"/>
        </w:rPr>
        <w:t xml:space="preserve"> </w:t>
      </w:r>
      <w:r w:rsidR="0081573E">
        <w:rPr>
          <w:rFonts w:ascii="Arial" w:hAnsi="Arial" w:cs="Arial"/>
          <w:sz w:val="22"/>
          <w:szCs w:val="22"/>
        </w:rPr>
        <w:t>We measured VOCs for one year</w:t>
      </w:r>
      <w:r w:rsidR="0081573E" w:rsidRPr="004309A2">
        <w:rPr>
          <w:rFonts w:ascii="Arial" w:hAnsi="Arial" w:cs="Arial"/>
          <w:sz w:val="22"/>
          <w:szCs w:val="22"/>
        </w:rPr>
        <w:t xml:space="preserve">, using highly sensitive analytic methods allowing for the detection of </w:t>
      </w:r>
      <w:r w:rsidR="0081573E">
        <w:rPr>
          <w:rFonts w:ascii="Arial" w:hAnsi="Arial" w:cs="Arial"/>
          <w:sz w:val="22"/>
          <w:szCs w:val="22"/>
        </w:rPr>
        <w:t xml:space="preserve">38 </w:t>
      </w:r>
      <w:r w:rsidR="0081573E" w:rsidRPr="004309A2">
        <w:rPr>
          <w:rFonts w:ascii="Arial" w:hAnsi="Arial" w:cs="Arial"/>
          <w:sz w:val="22"/>
          <w:szCs w:val="22"/>
        </w:rPr>
        <w:t>VOCs at low concentrations</w:t>
      </w:r>
      <w:r w:rsidR="0081573E">
        <w:rPr>
          <w:rFonts w:ascii="Arial" w:hAnsi="Arial" w:cs="Arial"/>
          <w:sz w:val="22"/>
          <w:szCs w:val="22"/>
        </w:rPr>
        <w:t xml:space="preserve">. </w:t>
      </w:r>
      <w:r w:rsidR="004F5AA2">
        <w:rPr>
          <w:rFonts w:ascii="Arial" w:hAnsi="Arial" w:cs="Arial"/>
          <w:sz w:val="22"/>
          <w:szCs w:val="22"/>
        </w:rPr>
        <w:t xml:space="preserve">While we focused only on benzene, toluene, ethylbenzene, and xylenes (BTEX) in our community-facing report-backs, </w:t>
      </w:r>
      <w:r w:rsidR="00796B1B">
        <w:rPr>
          <w:rFonts w:ascii="Arial" w:hAnsi="Arial" w:cs="Arial"/>
          <w:sz w:val="22"/>
          <w:szCs w:val="22"/>
        </w:rPr>
        <w:t>in this analysis we sought to examine groupings of VOCs using multivariate methods to identify local VOC sources and source contributions.</w:t>
      </w:r>
      <w:r w:rsidR="00D74CBE">
        <w:rPr>
          <w:rFonts w:ascii="Arial" w:hAnsi="Arial" w:cs="Arial"/>
          <w:sz w:val="22"/>
          <w:szCs w:val="22"/>
        </w:rPr>
        <w:t xml:space="preserve"> </w:t>
      </w:r>
    </w:p>
    <w:p w14:paraId="1FC5283A" w14:textId="77777777" w:rsidR="00826408" w:rsidRPr="00F64D3B" w:rsidRDefault="00826408" w:rsidP="00973130">
      <w:pPr>
        <w:spacing w:line="360" w:lineRule="auto"/>
        <w:jc w:val="both"/>
        <w:rPr>
          <w:rFonts w:ascii="Arial" w:hAnsi="Arial" w:cs="Arial"/>
          <w:sz w:val="22"/>
          <w:szCs w:val="22"/>
        </w:rPr>
      </w:pPr>
    </w:p>
    <w:p w14:paraId="2BD33A58" w14:textId="6ECE1DCA" w:rsidR="00BD673C" w:rsidRDefault="002C1821" w:rsidP="00973130">
      <w:pPr>
        <w:spacing w:line="360" w:lineRule="auto"/>
        <w:jc w:val="both"/>
        <w:rPr>
          <w:rFonts w:ascii="Arial" w:hAnsi="Arial" w:cs="Arial"/>
          <w:sz w:val="22"/>
          <w:szCs w:val="22"/>
        </w:rPr>
      </w:pPr>
      <w:r>
        <w:rPr>
          <w:rFonts w:ascii="Arial" w:hAnsi="Arial" w:cs="Arial"/>
          <w:sz w:val="22"/>
          <w:szCs w:val="22"/>
        </w:rPr>
        <w:t>Through our co-design process, c</w:t>
      </w:r>
      <w:r w:rsidR="00F17C23" w:rsidRPr="00F64D3B">
        <w:rPr>
          <w:rFonts w:ascii="Arial" w:hAnsi="Arial" w:cs="Arial"/>
          <w:sz w:val="22"/>
          <w:szCs w:val="22"/>
        </w:rPr>
        <w:t xml:space="preserve">ommunity members </w:t>
      </w:r>
      <w:r>
        <w:rPr>
          <w:rFonts w:ascii="Arial" w:hAnsi="Arial" w:cs="Arial"/>
          <w:sz w:val="22"/>
          <w:szCs w:val="22"/>
        </w:rPr>
        <w:t xml:space="preserve">reported being most </w:t>
      </w:r>
      <w:r w:rsidR="00F17C23" w:rsidRPr="00F64D3B">
        <w:rPr>
          <w:rFonts w:ascii="Arial" w:hAnsi="Arial" w:cs="Arial"/>
          <w:sz w:val="22"/>
          <w:szCs w:val="22"/>
        </w:rPr>
        <w:t>concerned about</w:t>
      </w:r>
      <w:r w:rsidR="00826408" w:rsidRPr="00F64D3B">
        <w:rPr>
          <w:rFonts w:ascii="Arial" w:hAnsi="Arial" w:cs="Arial"/>
          <w:sz w:val="22"/>
          <w:szCs w:val="22"/>
        </w:rPr>
        <w:t xml:space="preserve"> </w:t>
      </w:r>
      <w:r w:rsidR="00F17C23" w:rsidRPr="00F64D3B">
        <w:rPr>
          <w:rFonts w:ascii="Arial" w:hAnsi="Arial" w:cs="Arial"/>
          <w:sz w:val="22"/>
          <w:szCs w:val="22"/>
        </w:rPr>
        <w:t>benzene, toluene, ethylbenzene, and xylenes (BTEX) emissions</w:t>
      </w:r>
      <w:r>
        <w:rPr>
          <w:rFonts w:ascii="Arial" w:hAnsi="Arial" w:cs="Arial"/>
          <w:sz w:val="22"/>
          <w:szCs w:val="22"/>
        </w:rPr>
        <w:t xml:space="preserve"> from traffic and from construction at a former refinery site undergoing redevelopment. Throughout the year, </w:t>
      </w:r>
      <w:r w:rsidR="00F17C23" w:rsidRPr="00F64D3B">
        <w:rPr>
          <w:rFonts w:ascii="Arial" w:hAnsi="Arial" w:cs="Arial"/>
          <w:sz w:val="22"/>
          <w:szCs w:val="22"/>
        </w:rPr>
        <w:t xml:space="preserve">we measured low </w:t>
      </w:r>
      <w:r>
        <w:rPr>
          <w:rFonts w:ascii="Arial" w:hAnsi="Arial" w:cs="Arial"/>
          <w:sz w:val="22"/>
          <w:szCs w:val="22"/>
        </w:rPr>
        <w:t xml:space="preserve">benzene concentrations (mean = </w:t>
      </w:r>
      <w:r w:rsidR="00853AD7" w:rsidRPr="00F64D3B">
        <w:rPr>
          <w:rFonts w:ascii="Arial" w:hAnsi="Arial" w:cs="Arial"/>
          <w:sz w:val="22"/>
          <w:szCs w:val="22"/>
        </w:rPr>
        <w:t>1.3</w:t>
      </w:r>
      <w:r w:rsidR="00B74632">
        <w:rPr>
          <w:rFonts w:ascii="Arial" w:hAnsi="Arial" w:cs="Arial"/>
          <w:sz w:val="22"/>
          <w:szCs w:val="22"/>
        </w:rPr>
        <w:t>7</w:t>
      </w:r>
      <w:r w:rsidR="00853AD7" w:rsidRPr="00F64D3B">
        <w:rPr>
          <w:rFonts w:ascii="Arial" w:hAnsi="Arial" w:cs="Arial"/>
          <w:sz w:val="22"/>
          <w:szCs w:val="22"/>
        </w:rPr>
        <w:t xml:space="preserve"> µg/m</w:t>
      </w:r>
      <w:r w:rsidR="00853AD7" w:rsidRPr="00F64D3B">
        <w:rPr>
          <w:rFonts w:ascii="Arial" w:hAnsi="Arial" w:cs="Arial"/>
          <w:sz w:val="22"/>
          <w:szCs w:val="22"/>
          <w:vertAlign w:val="superscript"/>
        </w:rPr>
        <w:t>3</w:t>
      </w:r>
      <w:r w:rsidR="00853AD7" w:rsidRPr="00F64D3B">
        <w:rPr>
          <w:rFonts w:ascii="Arial" w:hAnsi="Arial" w:cs="Arial"/>
          <w:sz w:val="22"/>
          <w:szCs w:val="22"/>
        </w:rPr>
        <w:t xml:space="preserve">, </w:t>
      </w:r>
      <w:r>
        <w:rPr>
          <w:rFonts w:ascii="Arial" w:hAnsi="Arial" w:cs="Arial"/>
          <w:sz w:val="22"/>
          <w:szCs w:val="22"/>
        </w:rPr>
        <w:t xml:space="preserve">range = </w:t>
      </w:r>
      <w:r w:rsidR="00853AD7" w:rsidRPr="00F64D3B">
        <w:rPr>
          <w:rFonts w:ascii="Arial" w:hAnsi="Arial" w:cs="Arial"/>
          <w:sz w:val="22"/>
          <w:szCs w:val="22"/>
        </w:rPr>
        <w:t>0.3 to 9.</w:t>
      </w:r>
      <w:r w:rsidR="00B74632">
        <w:rPr>
          <w:rFonts w:ascii="Arial" w:hAnsi="Arial" w:cs="Arial"/>
          <w:sz w:val="22"/>
          <w:szCs w:val="22"/>
        </w:rPr>
        <w:t>4</w:t>
      </w:r>
      <w:r>
        <w:rPr>
          <w:rFonts w:ascii="Arial" w:hAnsi="Arial" w:cs="Arial"/>
          <w:sz w:val="22"/>
          <w:szCs w:val="22"/>
        </w:rPr>
        <w:t>)</w:t>
      </w:r>
      <w:r w:rsidR="00982CCF">
        <w:rPr>
          <w:rFonts w:ascii="Arial" w:hAnsi="Arial" w:cs="Arial"/>
          <w:sz w:val="22"/>
          <w:szCs w:val="22"/>
        </w:rPr>
        <w:t xml:space="preserve"> </w:t>
      </w:r>
      <w:r w:rsidR="00982CCF">
        <w:rPr>
          <w:rFonts w:ascii="Arial" w:hAnsi="Arial" w:cs="Arial"/>
          <w:sz w:val="22"/>
          <w:szCs w:val="22"/>
        </w:rPr>
        <w:t>consistent with previously published concentrations in urban areas in Europe and the Americas, with mean benzene concentrations below 2 µg/m</w:t>
      </w:r>
      <w:r w:rsidR="00982CCF" w:rsidRPr="00925F3E">
        <w:rPr>
          <w:rFonts w:ascii="Arial" w:hAnsi="Arial" w:cs="Arial"/>
          <w:sz w:val="22"/>
          <w:szCs w:val="22"/>
          <w:vertAlign w:val="superscript"/>
        </w:rPr>
        <w:t>3</w:t>
      </w:r>
      <w:r w:rsidR="00982CCF">
        <w:rPr>
          <w:rFonts w:ascii="Arial" w:hAnsi="Arial" w:cs="Arial"/>
          <w:sz w:val="22"/>
          <w:szCs w:val="22"/>
        </w:rPr>
        <w:t xml:space="preserve"> (</w:t>
      </w:r>
      <w:r w:rsidR="00982CCF">
        <w:rPr>
          <w:rFonts w:ascii="Arial" w:hAnsi="Arial" w:cs="Arial"/>
          <w:b/>
          <w:bCs/>
          <w:sz w:val="22"/>
          <w:szCs w:val="22"/>
        </w:rPr>
        <w:t>Table S4</w:t>
      </w:r>
      <w:r w:rsidR="00982CCF">
        <w:rPr>
          <w:rFonts w:ascii="Arial" w:hAnsi="Arial" w:cs="Arial"/>
          <w:sz w:val="22"/>
          <w:szCs w:val="22"/>
        </w:rPr>
        <w:t>).</w:t>
      </w:r>
      <w:r w:rsidR="00982CCF">
        <w:rPr>
          <w:rFonts w:ascii="Arial" w:hAnsi="Arial" w:cs="Arial"/>
          <w:sz w:val="22"/>
          <w:szCs w:val="22"/>
        </w:rPr>
        <w:fldChar w:fldCharType="begin"/>
      </w:r>
      <w:r w:rsidR="00653AF1">
        <w:rPr>
          <w:rFonts w:ascii="Arial" w:hAnsi="Arial" w:cs="Arial"/>
          <w:sz w:val="22"/>
          <w:szCs w:val="22"/>
        </w:rPr>
        <w:instrText xml:space="preserve"> ADDIN ZOTERO_ITEM CSL_CITATION {"citationID":"C32Xon8M","properties":{"formattedCitation":"\\super 52\\uc0\\u8211{}56\\nosupersub{}","plainCitation":"52–56","noteIndex":0},"citationItems":[{"id":16384,"uris":["http://zotero.org/groups/4923232/items/C9KWZ3G6"],"itemData":{"id":16384,"type":"article-journal","container-title":"Chemosphere","DOI":"10.1016/j.chemosphere.2021.131808","ISSN":"00456535","journalAbbreviation":"Chemosphere","language":"en","note":"PMID: 34461330\nPMCID: PMC8612956","page":"131808","source":"DOI.org (Crossref)","title":"Diffusive uptake rates for passive air sampling: Application to volatile organic compound exposure during FIREX-AQ campaign","title-short":"Diffusive uptake rates for passive air sampling","volume":"287","author":[{"family":"Miller","given":"Dylan D."},{"family":"Bajracharya","given":"Aakriti"},{"family":"Dickinson","given":"Gabrielle N."},{"family":"Durbin","given":"Timbre A."},{"family":"McGarry","given":"John K.P."},{"family":"Moser","given":"Elijah P."},{"family":"Nuñez","given":"Laurel A."},{"family":"Pukkila","given":"Elias J."},{"family":"Scott","given":"Phillip S."},{"family":"Sutton","given":"Parke J."},{"family":"Johnston","given":"Nancy A.C."}],"issued":{"date-parts":[["2022",1]]}}},{"id":16535,"uris":["http://zotero.org/groups/4923232/items/H8PX59WL"],"itemData":{"id":16535,"type":"article-journal","abstract":"Passive ambient air sampling for nitrogen dioxide (NO2) and volatile organic compounds (VOCs) was conducted at 25 school and two compliance sites in Detroit and Dearborn, Michigan, USA during the summer of 2005. Geographic Information System (GIS) data were calculated at each of 116 schools. The 25 selected schools were monitored to assess and model intra-urban gradients of air pollutants to evaluate impact of traffic and urban emissions on pollutant levels. Schools were chosen to be statistically representative of urban land use variables such as distance to major roadways, traffic intensity around the schools, distance to nearest point sources, population density, and distance to nearest border crossing. Two approaches were used to investigate spatial variability. First, Kruskal–Wallis analyses and pairwise comparisons on data from the schools examined coarse spatial differences based on city section and distance from heavily trafficked roads. Secondly, spatial variation on a finer scale and as a response to multiple factors was evaluated through land use regression (LUR) models via multiple linear regression. For weeklong exposures, VOCs did not exhibit spatial variability by city section or distance from major roads; NO2 was significantly elevated in a section dominated by traffic and industrial influence versus a residential section. Somewhat in contrast to coarse spatial analyses, LUR results revealed spatial gradients in NO2 and selected VOCs across the area. The process used to select spatially representative sites for air sampling and the results of coarse and fine spatial variability of air pollutants provide insights that may guide future air quality studies in assessing intra-urban gradients.","container-title":"Science of The Total Environment","DOI":"10.1016/j.scitotenv.2009.04.030","ISSN":"0048-9697","issue":"16","journalAbbreviation":"Science of The Total Environment","note":"PMID: 19467697","page":"4642-4651","source":"ScienceDirect","title":"Spatial analysis and land use regression of VOCs and NO2 from school-based urban air monitoring in Detroit/Dearborn, USA","volume":"407","author":[{"family":"Mukerjee","given":"Shaibal"},{"family":"Smith","given":"Luther A."},{"family":"Johnson","given":"Mary M."},{"family":"Neas","given":"Lucas M."},{"family":"Stallings","given":"Casson A."}],"issued":{"date-parts":[["2009",8,1]]}}},{"id":16540,"uris":["http://zotero.org/groups/4923232/items/TB32D9JZ"],"itemData":{"id":16540,"type":"article-journal","abstract":"Benzene, toluene, ethylbenzene, and xylenes (BTEX) are hazardous air pollutants commonly found in outdoor air. Several studies have explored the potential of vegetation to mitigate BTEX in outdoor air, but they are limited to a northern temperate climate and their results lack consensus. To investigate this subject in a subtropical climate, we deployed passive air samplers for two weeks in parks and outside nearby residences at four locations: three in an urban area and one in a rural area in Alabama, USA. All BTEX concentrations were below health-based guidelines and were comparable to those found in several other studies in populated settings. Concentrations of TEX, but not benzene, were 3–39% lower in parks than at nearby residences, and the differences were significant. Site type (park vs. residential) was a significant predictor of TEX concentrations, while distance to the nearest major road was a significant predictor of BTX concentrations. In and around two of the parks, toluene : benzene ratios fell outside the range expected for vehicular emissions (p &lt; 0.01), suggesting that there were additional, industrial sources of benzene near these two locations. The ratio of m-,p-xylene : ethylbenzene was high at all locations except one residential area, indicating that BTEX were freshly emitted. Concentrations of individual BTEX compounds were highly correlated with each other in most cases, except for locations that may have been impacted by nearby industrial sources of benzene. Results of this study suggest that parks can help reduce exposure to TEX by a modest amount in some situations.","container-title":"Environmental Science: Processes &amp; Impacts","DOI":"10.1039/C8EM00252E","ISSN":"2050-7895","issue":"1","journalAbbreviation":"Environ. Sci.: Processes Impacts","language":"en","note":"publisher: The Royal Society of Chemistry\nPMID: 30426129","page":"40-50","source":"pubs.rsc.org","title":"Potential for city parks to reduce exposure to BTEX in air","volume":"21","author":[{"family":"Milazzo","given":"Michael J."},{"family":"Gohlke","given":"Julia M."},{"family":"Gallagher","given":"Daniel L."},{"family":"Scott","given":"Anna A."},{"family":"Zaitchik","given":"Benjamin F."},{"family":"Marr","given":"Linsey C."}],"issued":{"date-parts":[["2019",1,23]]}}},{"id":16487,"uris":["http://zotero.org/groups/4923232/items/KWLYJJTM"],"itemData":{"id":16487,"type":"article-journal","abstract":"The major threat to clean air in developed and industrializing countries is now posed by traffic emissions. The effects of traffic road modifications on the air quality are, however, rarely reported in the literature. The aim of this study was to determine the influence of the modernization and renovation of a traffic artery in the region of Mortsel (Antwerp, Belgium) on the concentration of volatile organic compounds such as: benzene, toluene, ethylbenzene and m-, p-, o-xylenes (BTEX). The original goal of the reconstruction works was to reduce the traffic lanes of one of the busiest streets in Antwerp, in order to discourage the road traffic and in consequence also to improve the air quality in this region. The average concentrations of BTEX before these works in 2003 were: 1.6, 7.0, 0.9, 2.3, and 0.9μg/m3, for benzene, toluene, ethylbenzene, m+p xylenes, and o-xylene, respectively. However, after the completion of the works, in 2005, they were slightly higher: 2.5, 9.5, 1.6, 3.4, and 1.3μg/m3, respectively. The scatter plots of benzene against toluene, ethylbenzene and xylenes in 2003 and 2005 showed very good correlations. This fact indicated that all of the measured compounds originated from the same source, namely the road traffic. Moreover, the data obtained from an air-monitoring station at less than 6km distance from the sampling site (operated by the Flemish Environment Agency, and located in Borgerhout, Antwerp), confirmed the lack of influence of background concentrations of BTEX. The obtained results led to the conclusion that the reduction of the number of traffic lanes had apparently increased the traffic jams and also increased the emission from cars. Therefore, these modernization works had even a negative impact on the local concentration of traffic-related pollutants as BTEX.","container-title":"Atmospheric Environment","DOI":"10.1016/j.atmosenv.2008.09.071","ISSN":"1352-2310","issue":"2","journalAbbreviation":"Atmospheric Environment","page":"311-318","source":"ScienceDirect","title":"Atmospheric BTEX-concentrations in an area with intensive street traffic","volume":"43","author":[{"family":"Buczynska","given":"Anna Jolanta"},{"family":"Krata","given":"Agnieszka"},{"family":"Stranger","given":"Marianne"},{"family":"Locateli Godoi","given":"Ana Flavia"},{"family":"Kontozova-Deutsch","given":"Velichka"},{"family":"Bencs","given":"László"},{"family":"Naveau","given":"Inge"},{"family":"Roekens","given":"Edward"},{"family":"Van Grieken","given":"René"}],"issued":{"date-parts":[["2009",1,1]]}}},{"id":16490,"uris":["http://zotero.org/groups/4923232/items/5JQHC2Y9"],"itemData":{"id":16490,"type":"article-journal","abstract":"The paper presents and discusses the results of atmospheric air quality research conducted in 2012 with reference to the level of BTEX compounds in the Tri-City agglomeration—Gdansk, Gdynia, and Sopot (northern Poland). At the stage of BTEX sampling from the ambient air, Radiello® diffusive passive samplers were applied. The annual time-weighted average concentrations for benzene, toluene, ethylbenzene, and xylenes (BTEX) in the Tri-City agglomeration were as follows: Gdansk—0.75 ± 0.67 μg/m3, 1.08 ± 0.43 μg/m3, 0.30 ± 0.12 μg/m3, 1.34 ± 0.52 μg/m3; Gdynia—0.66 ± 0.51 μg/m3, 0.88 ± 0.40 μg/m3, 0.24 ± 0.12 μg/m3, 1.15 ± 0.53 μg/m3; Sopot—0.63 ± 0.55 μg/m3, 0.84 ± 0.37 μg/m3, 0.13 ± 0.05 μg/m3, 0.67 ± 0.23 μg/m3. The values of the B:T:E:X inter-species concentration ratio and the toluene/benzene, (m, p)-xylene/benzene, o-xylene/benzene, (m, p)-xylene/ethylbenzene concentration ratio were also determined. Based on the results obtained, one can conclude that the main sources of emissions into the atmospheric air, regarding BTEX compounds in the Tri-City agglomeration, especially the Gdansk and Gdynia areas are motor vehicles powered by internal combustion engines and domestic heating systems characterized by low efficiency.","container-title":"Air Quality, Atmosphere &amp; Health","DOI":"10.1007/s11869-014-0247-x","ISSN":"1873-9326","issue":"4","journalAbbreviation":"Air Qual Atmos Health","language":"en","page":"489-504","source":"Springer Link","title":"BTEX concentration levels in urban air in the area of the Tri-City agglomeration (Gdansk, Gdynia, Sopot), Poland","volume":"7","author":[{"family":"Marć","given":"Mariusz"},{"family":"Namieśnik","given":"Jacek"},{"family":"Zabiegała","given":"Bożena"}],"issued":{"date-parts":[["2014",12,1]]}}}],"schema":"https://github.com/citation-style-language/schema/raw/master/csl-citation.json"} </w:instrText>
      </w:r>
      <w:r w:rsidR="00982CCF">
        <w:rPr>
          <w:rFonts w:ascii="Arial" w:hAnsi="Arial" w:cs="Arial"/>
          <w:sz w:val="22"/>
          <w:szCs w:val="22"/>
        </w:rPr>
        <w:fldChar w:fldCharType="separate"/>
      </w:r>
      <w:r w:rsidR="00653AF1" w:rsidRPr="00653AF1">
        <w:rPr>
          <w:rFonts w:ascii="Arial" w:hAnsi="Arial" w:cs="Arial"/>
          <w:kern w:val="0"/>
          <w:sz w:val="22"/>
          <w:vertAlign w:val="superscript"/>
        </w:rPr>
        <w:t>52–56</w:t>
      </w:r>
      <w:r w:rsidR="00982CCF">
        <w:rPr>
          <w:rFonts w:ascii="Arial" w:hAnsi="Arial" w:cs="Arial"/>
          <w:sz w:val="22"/>
          <w:szCs w:val="22"/>
        </w:rPr>
        <w:fldChar w:fldCharType="end"/>
      </w:r>
      <w:r w:rsidR="00982CCF" w:rsidRPr="00982CCF">
        <w:rPr>
          <w:rFonts w:ascii="Arial" w:hAnsi="Arial" w:cs="Arial"/>
          <w:sz w:val="22"/>
          <w:szCs w:val="22"/>
        </w:rPr>
        <w:t xml:space="preserve"> </w:t>
      </w:r>
      <w:r w:rsidR="00982CCF">
        <w:rPr>
          <w:rFonts w:ascii="Arial" w:hAnsi="Arial" w:cs="Arial"/>
          <w:sz w:val="22"/>
          <w:szCs w:val="22"/>
        </w:rPr>
        <w:t>Importantly, benzene concentrations on the whole measured lower than they did when the PES refinery was active in 2015.</w:t>
      </w:r>
      <w:r w:rsidR="00982CCF">
        <w:rPr>
          <w:rFonts w:ascii="Arial" w:hAnsi="Arial" w:cs="Arial"/>
          <w:sz w:val="22"/>
          <w:szCs w:val="22"/>
        </w:rPr>
        <w:fldChar w:fldCharType="begin"/>
      </w:r>
      <w:r w:rsidR="00D85090">
        <w:rPr>
          <w:rFonts w:ascii="Arial" w:hAnsi="Arial" w:cs="Arial"/>
          <w:sz w:val="22"/>
          <w:szCs w:val="22"/>
        </w:rPr>
        <w:instrText xml:space="preserve"> ADDIN ZOTERO_ITEM CSL_CITATION {"citationID":"hEWXYscq","properties":{"formattedCitation":"\\super 15\\nosupersub{}","plainCitation":"15","noteIndex":0},"citationItems":[{"id":16753,"uris":["http://zotero.org/groups/4923232/items/M3TJ8VFK"],"itemData":{"id":16753,"type":"article-journal","abstract":"Select volatile organic compounds (VOCs) were measured in the vicinity of a petroleum refinery and related operations in South Philadelphia, Pennsylvania, USA, using passive air sampling and laboratory analysis methods. Two-week, time-integrated samplers were deployed at 17 sites, which were aggregated into five site groups of varying distances from the refinery. Benzene, toluene, ethylbenzene, and xylene isomers (BTEX) and styrene concentrations were higher near the refinery's fenceline than for groups at the refinery's south edge, mid-distance, and farther removed locations. The near fenceline group was significantly higher than the refinery's north edge group for benzene and toluene but not for ethylbenzene or xylene isomers; styrene was lower at the near fenceline group versus the north edge group. For BTEX and styrene, the magnitude of estimated differences generally increased when proceeding through groups ever farther away from the petroleum refining. Perchloroethylene results were not suggestive of an influence from refining. These results suggest that emissions from the refinery complex contribute to higher concentrations of BTEX species and styrene in the vicinity of the plant, with this influence declining as distance from the petroleum refining increases.\nIMPLICATIONS: Passive sampling methodology for VOCs as discussed here is employed in recently enacted U.S. Environmental Protection Agency Methods 325A/B for determination of benzene concentrations at refinery fenceline locations. Spatial gradients of VOC concentration near the refinery fenceline were discerned in an area containing traffic and other VOC-related sources. Though limited, these findings can be useful in application of the method at such facilities to ascertain source influence.","container-title":"Journal of the Air &amp; Waste Management Association (1995)","DOI":"10.1080/10962247.2016.1147505","ISSN":"1096-2247","issue":"5","journalAbbreviation":"J Air Waste Manag Assoc","language":"eng","note":"PMID: 26828464","page":"492-498","source":"PubMed","title":"Spatial analysis of volatile organic compounds in South Philadelphia using passive samplers","volume":"66","author":[{"family":"Mukerjee","given":"Shaibal"},{"family":"Smith","given":"Luther A."},{"family":"Thoma","given":"Eben D."},{"family":"Oliver","given":"Karen D."},{"family":"Whitaker","given":"Donald A."},{"family":"Wu","given":"Tai"},{"family":"Colon","given":"Maribel"},{"family":"Alston","given":"Lillian"},{"family":"Cousett","given":"Tamira A."},{"family":"Stallings","given":"Casson"}],"issued":{"date-parts":[["2016",5]]}}}],"schema":"https://github.com/citation-style-language/schema/raw/master/csl-citation.json"} </w:instrText>
      </w:r>
      <w:r w:rsidR="00982CCF">
        <w:rPr>
          <w:rFonts w:ascii="Arial" w:hAnsi="Arial" w:cs="Arial"/>
          <w:sz w:val="22"/>
          <w:szCs w:val="22"/>
        </w:rPr>
        <w:fldChar w:fldCharType="separate"/>
      </w:r>
      <w:r w:rsidR="00D85090" w:rsidRPr="00D85090">
        <w:rPr>
          <w:rFonts w:ascii="Arial" w:hAnsi="Arial" w:cs="Arial"/>
          <w:kern w:val="0"/>
          <w:sz w:val="22"/>
          <w:vertAlign w:val="superscript"/>
        </w:rPr>
        <w:t>15</w:t>
      </w:r>
      <w:r w:rsidR="00982CCF">
        <w:rPr>
          <w:rFonts w:ascii="Arial" w:hAnsi="Arial" w:cs="Arial"/>
          <w:sz w:val="22"/>
          <w:szCs w:val="22"/>
        </w:rPr>
        <w:fldChar w:fldCharType="end"/>
      </w:r>
      <w:r w:rsidR="00982CCF">
        <w:rPr>
          <w:rFonts w:ascii="Arial" w:hAnsi="Arial" w:cs="Arial"/>
          <w:sz w:val="22"/>
          <w:szCs w:val="22"/>
        </w:rPr>
        <w:t xml:space="preserve"> </w:t>
      </w:r>
      <w:r w:rsidR="00CC6D70">
        <w:rPr>
          <w:rFonts w:ascii="Arial" w:hAnsi="Arial" w:cs="Arial"/>
          <w:sz w:val="22"/>
          <w:szCs w:val="22"/>
        </w:rPr>
        <w:t xml:space="preserve">Though </w:t>
      </w:r>
      <w:r w:rsidR="0061192F">
        <w:rPr>
          <w:rFonts w:ascii="Arial" w:hAnsi="Arial" w:cs="Arial"/>
          <w:sz w:val="22"/>
          <w:szCs w:val="22"/>
        </w:rPr>
        <w:t xml:space="preserve">average concentration of </w:t>
      </w:r>
      <w:r w:rsidR="00092EFF">
        <w:rPr>
          <w:rFonts w:ascii="Arial" w:hAnsi="Arial" w:cs="Arial"/>
          <w:sz w:val="22"/>
          <w:szCs w:val="22"/>
        </w:rPr>
        <w:t>benzene</w:t>
      </w:r>
      <w:r w:rsidR="00DE2C80">
        <w:rPr>
          <w:rFonts w:ascii="Arial" w:hAnsi="Arial" w:cs="Arial"/>
          <w:sz w:val="22"/>
          <w:szCs w:val="22"/>
        </w:rPr>
        <w:t xml:space="preserve"> was low, concentrations of toluene</w:t>
      </w:r>
      <w:r w:rsidR="00BB0812">
        <w:rPr>
          <w:rFonts w:ascii="Arial" w:hAnsi="Arial" w:cs="Arial"/>
          <w:sz w:val="22"/>
          <w:szCs w:val="22"/>
        </w:rPr>
        <w:t xml:space="preserve">, </w:t>
      </w:r>
      <w:r w:rsidR="00BC18DF">
        <w:rPr>
          <w:rFonts w:ascii="Arial" w:hAnsi="Arial" w:cs="Arial"/>
          <w:sz w:val="22"/>
          <w:szCs w:val="22"/>
        </w:rPr>
        <w:t>ethylbenzene, and (</w:t>
      </w:r>
      <w:proofErr w:type="spellStart"/>
      <w:r w:rsidR="00BC18DF" w:rsidRPr="00DF3519">
        <w:rPr>
          <w:rFonts w:ascii="Arial" w:hAnsi="Arial" w:cs="Arial"/>
          <w:i/>
          <w:iCs/>
          <w:sz w:val="22"/>
          <w:szCs w:val="22"/>
        </w:rPr>
        <w:t>m,p</w:t>
      </w:r>
      <w:proofErr w:type="spellEnd"/>
      <w:r w:rsidR="00BC18DF">
        <w:rPr>
          <w:rFonts w:ascii="Arial" w:hAnsi="Arial" w:cs="Arial"/>
          <w:sz w:val="22"/>
          <w:szCs w:val="22"/>
        </w:rPr>
        <w:t>)-</w:t>
      </w:r>
      <w:r w:rsidR="00DF3519">
        <w:rPr>
          <w:rFonts w:ascii="Arial" w:hAnsi="Arial" w:cs="Arial"/>
          <w:sz w:val="22"/>
          <w:szCs w:val="22"/>
        </w:rPr>
        <w:t>x</w:t>
      </w:r>
      <w:r w:rsidR="00BC18DF">
        <w:rPr>
          <w:rFonts w:ascii="Arial" w:hAnsi="Arial" w:cs="Arial"/>
          <w:sz w:val="22"/>
          <w:szCs w:val="22"/>
        </w:rPr>
        <w:t xml:space="preserve">ylenes </w:t>
      </w:r>
      <w:r w:rsidR="00DE2C80">
        <w:rPr>
          <w:rFonts w:ascii="Arial" w:hAnsi="Arial" w:cs="Arial"/>
          <w:sz w:val="22"/>
          <w:szCs w:val="22"/>
        </w:rPr>
        <w:t>were similar to those during active refinery operation</w:t>
      </w:r>
      <w:r w:rsidR="00BC18DF">
        <w:rPr>
          <w:rFonts w:ascii="Arial" w:hAnsi="Arial" w:cs="Arial"/>
          <w:sz w:val="22"/>
          <w:szCs w:val="22"/>
        </w:rPr>
        <w:t>, suggesting other prominent sources in the area.</w:t>
      </w:r>
      <w:r w:rsidR="0039087C">
        <w:rPr>
          <w:rFonts w:ascii="Arial" w:hAnsi="Arial" w:cs="Arial"/>
          <w:sz w:val="22"/>
          <w:szCs w:val="22"/>
        </w:rPr>
        <w:t xml:space="preserve"> We also observed some concerning peaks – the maximum </w:t>
      </w:r>
      <w:r w:rsidR="0039087C" w:rsidRPr="00F64D3B">
        <w:rPr>
          <w:rFonts w:ascii="Arial" w:hAnsi="Arial" w:cs="Arial"/>
          <w:i/>
          <w:iCs/>
          <w:sz w:val="22"/>
          <w:szCs w:val="22"/>
        </w:rPr>
        <w:t>(</w:t>
      </w:r>
      <w:proofErr w:type="spellStart"/>
      <w:proofErr w:type="gramStart"/>
      <w:r w:rsidR="0039087C" w:rsidRPr="00F64D3B">
        <w:rPr>
          <w:rFonts w:ascii="Arial" w:hAnsi="Arial" w:cs="Arial"/>
          <w:i/>
          <w:iCs/>
          <w:sz w:val="22"/>
          <w:szCs w:val="22"/>
        </w:rPr>
        <w:t>m,p</w:t>
      </w:r>
      <w:proofErr w:type="spellEnd"/>
      <w:proofErr w:type="gramEnd"/>
      <w:r w:rsidR="0039087C" w:rsidRPr="00F64D3B">
        <w:rPr>
          <w:rFonts w:ascii="Arial" w:hAnsi="Arial" w:cs="Arial"/>
          <w:i/>
          <w:iCs/>
          <w:sz w:val="22"/>
          <w:szCs w:val="22"/>
        </w:rPr>
        <w:t>)-</w:t>
      </w:r>
      <w:r w:rsidR="0039087C" w:rsidRPr="00F64D3B">
        <w:rPr>
          <w:rFonts w:ascii="Arial" w:hAnsi="Arial" w:cs="Arial"/>
          <w:sz w:val="22"/>
          <w:szCs w:val="22"/>
        </w:rPr>
        <w:t xml:space="preserve">xylenes concentration was </w:t>
      </w:r>
      <w:r w:rsidR="00982CCF">
        <w:rPr>
          <w:rFonts w:ascii="Arial" w:hAnsi="Arial" w:cs="Arial"/>
          <w:sz w:val="22"/>
          <w:szCs w:val="22"/>
        </w:rPr>
        <w:t>60</w:t>
      </w:r>
      <w:r w:rsidR="0039087C" w:rsidRPr="00F64D3B">
        <w:rPr>
          <w:rFonts w:ascii="Arial" w:hAnsi="Arial" w:cs="Arial"/>
          <w:sz w:val="22"/>
          <w:szCs w:val="22"/>
        </w:rPr>
        <w:t xml:space="preserve"> µg/m</w:t>
      </w:r>
      <w:r w:rsidR="0039087C" w:rsidRPr="00F64D3B">
        <w:rPr>
          <w:rFonts w:ascii="Arial" w:hAnsi="Arial" w:cs="Arial"/>
          <w:sz w:val="22"/>
          <w:szCs w:val="22"/>
          <w:vertAlign w:val="superscript"/>
        </w:rPr>
        <w:t>3</w:t>
      </w:r>
      <w:r w:rsidR="0039087C">
        <w:rPr>
          <w:rFonts w:ascii="Arial" w:hAnsi="Arial" w:cs="Arial"/>
          <w:sz w:val="22"/>
          <w:szCs w:val="22"/>
        </w:rPr>
        <w:t xml:space="preserve"> (</w:t>
      </w:r>
      <w:r w:rsidR="0039087C">
        <w:rPr>
          <w:rFonts w:ascii="Arial" w:hAnsi="Arial" w:cs="Arial"/>
          <w:b/>
          <w:bCs/>
          <w:sz w:val="22"/>
          <w:szCs w:val="22"/>
        </w:rPr>
        <w:t>Figure S</w:t>
      </w:r>
      <w:r w:rsidR="000C6F58">
        <w:rPr>
          <w:rFonts w:ascii="Arial" w:hAnsi="Arial" w:cs="Arial"/>
          <w:b/>
          <w:bCs/>
          <w:sz w:val="22"/>
          <w:szCs w:val="22"/>
        </w:rPr>
        <w:t>11</w:t>
      </w:r>
      <w:r w:rsidR="0039087C">
        <w:rPr>
          <w:rFonts w:ascii="Arial" w:hAnsi="Arial" w:cs="Arial"/>
          <w:sz w:val="22"/>
          <w:szCs w:val="22"/>
        </w:rPr>
        <w:t>)</w:t>
      </w:r>
      <w:r w:rsidR="0039087C" w:rsidRPr="00F64D3B">
        <w:rPr>
          <w:rFonts w:ascii="Arial" w:hAnsi="Arial" w:cs="Arial"/>
          <w:sz w:val="22"/>
          <w:szCs w:val="22"/>
        </w:rPr>
        <w:t xml:space="preserve">. </w:t>
      </w:r>
      <w:r w:rsidR="0039087C">
        <w:rPr>
          <w:rFonts w:ascii="Arial" w:hAnsi="Arial" w:cs="Arial"/>
          <w:sz w:val="22"/>
          <w:szCs w:val="22"/>
        </w:rPr>
        <w:t xml:space="preserve">Notably, we measured average </w:t>
      </w:r>
      <w:r w:rsidR="0039087C">
        <w:rPr>
          <w:rFonts w:ascii="Arial" w:hAnsi="Arial" w:cs="Arial"/>
          <w:i/>
          <w:iCs/>
          <w:sz w:val="22"/>
          <w:szCs w:val="22"/>
        </w:rPr>
        <w:t>(</w:t>
      </w:r>
      <w:proofErr w:type="spellStart"/>
      <w:r w:rsidR="0039087C">
        <w:rPr>
          <w:rFonts w:ascii="Arial" w:hAnsi="Arial" w:cs="Arial"/>
          <w:i/>
          <w:iCs/>
          <w:sz w:val="22"/>
          <w:szCs w:val="22"/>
        </w:rPr>
        <w:t>m,p</w:t>
      </w:r>
      <w:proofErr w:type="spellEnd"/>
      <w:r w:rsidR="0039087C">
        <w:rPr>
          <w:rFonts w:ascii="Arial" w:hAnsi="Arial" w:cs="Arial"/>
          <w:i/>
          <w:iCs/>
          <w:sz w:val="22"/>
          <w:szCs w:val="22"/>
        </w:rPr>
        <w:t>)</w:t>
      </w:r>
      <w:r w:rsidR="0039087C">
        <w:rPr>
          <w:rFonts w:ascii="Arial" w:hAnsi="Arial" w:cs="Arial"/>
          <w:sz w:val="22"/>
          <w:szCs w:val="22"/>
        </w:rPr>
        <w:t>-</w:t>
      </w:r>
      <w:r w:rsidR="00DF3519">
        <w:rPr>
          <w:rFonts w:ascii="Arial" w:hAnsi="Arial" w:cs="Arial"/>
          <w:sz w:val="22"/>
          <w:szCs w:val="22"/>
        </w:rPr>
        <w:t>x</w:t>
      </w:r>
      <w:r w:rsidR="0039087C">
        <w:rPr>
          <w:rFonts w:ascii="Arial" w:hAnsi="Arial" w:cs="Arial"/>
          <w:sz w:val="22"/>
          <w:szCs w:val="22"/>
        </w:rPr>
        <w:t xml:space="preserve">ylenes concentrations that were </w:t>
      </w:r>
      <w:r w:rsidR="0039087C">
        <w:rPr>
          <w:rFonts w:ascii="Arial" w:hAnsi="Arial" w:cs="Arial"/>
          <w:sz w:val="22"/>
          <w:szCs w:val="22"/>
        </w:rPr>
        <w:lastRenderedPageBreak/>
        <w:t>higher than those reported in most other urban studies (</w:t>
      </w:r>
      <w:r w:rsidR="0039087C">
        <w:rPr>
          <w:rFonts w:ascii="Arial" w:hAnsi="Arial" w:cs="Arial"/>
          <w:b/>
          <w:bCs/>
          <w:sz w:val="22"/>
          <w:szCs w:val="22"/>
        </w:rPr>
        <w:t>Table S</w:t>
      </w:r>
      <w:r w:rsidR="00933F9C">
        <w:rPr>
          <w:rFonts w:ascii="Arial" w:hAnsi="Arial" w:cs="Arial"/>
          <w:b/>
          <w:bCs/>
          <w:sz w:val="22"/>
          <w:szCs w:val="22"/>
        </w:rPr>
        <w:t>4</w:t>
      </w:r>
      <w:r w:rsidR="00933F9C">
        <w:rPr>
          <w:rFonts w:ascii="Arial" w:hAnsi="Arial" w:cs="Arial"/>
          <w:sz w:val="22"/>
          <w:szCs w:val="22"/>
        </w:rPr>
        <w:t xml:space="preserve">) </w:t>
      </w:r>
      <w:r w:rsidR="0039087C">
        <w:rPr>
          <w:rFonts w:ascii="Arial" w:hAnsi="Arial" w:cs="Arial"/>
          <w:sz w:val="22"/>
          <w:szCs w:val="22"/>
        </w:rPr>
        <w:t xml:space="preserve">– our study-wide average was </w:t>
      </w:r>
      <w:r w:rsidR="00C26B78">
        <w:rPr>
          <w:rFonts w:ascii="Arial" w:hAnsi="Arial" w:cs="Arial"/>
          <w:sz w:val="22"/>
          <w:szCs w:val="22"/>
        </w:rPr>
        <w:t xml:space="preserve">4.7 </w:t>
      </w:r>
      <w:r w:rsidR="0039087C" w:rsidRPr="00F64D3B">
        <w:rPr>
          <w:rFonts w:ascii="Arial" w:hAnsi="Arial" w:cs="Arial"/>
          <w:sz w:val="22"/>
          <w:szCs w:val="22"/>
        </w:rPr>
        <w:t>µg/m</w:t>
      </w:r>
      <w:r w:rsidR="0039087C" w:rsidRPr="00F64D3B">
        <w:rPr>
          <w:rFonts w:ascii="Arial" w:hAnsi="Arial" w:cs="Arial"/>
          <w:sz w:val="22"/>
          <w:szCs w:val="22"/>
          <w:vertAlign w:val="superscript"/>
        </w:rPr>
        <w:t>3</w:t>
      </w:r>
      <w:r w:rsidR="0039087C">
        <w:rPr>
          <w:rFonts w:ascii="Arial" w:hAnsi="Arial" w:cs="Arial"/>
          <w:sz w:val="22"/>
          <w:szCs w:val="22"/>
        </w:rPr>
        <w:t xml:space="preserve">, </w:t>
      </w:r>
      <w:r w:rsidR="00BD673C">
        <w:rPr>
          <w:rFonts w:ascii="Arial" w:hAnsi="Arial" w:cs="Arial"/>
          <w:sz w:val="22"/>
          <w:szCs w:val="22"/>
        </w:rPr>
        <w:t xml:space="preserve">much </w:t>
      </w:r>
      <w:r w:rsidR="0039087C">
        <w:rPr>
          <w:rFonts w:ascii="Arial" w:hAnsi="Arial" w:cs="Arial"/>
          <w:sz w:val="22"/>
          <w:szCs w:val="22"/>
        </w:rPr>
        <w:t>higher than other North American urban studies,</w:t>
      </w:r>
      <w:r w:rsidR="0039087C">
        <w:rPr>
          <w:rFonts w:ascii="Arial" w:hAnsi="Arial" w:cs="Arial"/>
          <w:sz w:val="22"/>
          <w:szCs w:val="22"/>
        </w:rPr>
        <w:fldChar w:fldCharType="begin"/>
      </w:r>
      <w:r w:rsidR="00653AF1">
        <w:rPr>
          <w:rFonts w:ascii="Arial" w:hAnsi="Arial" w:cs="Arial"/>
          <w:sz w:val="22"/>
          <w:szCs w:val="22"/>
        </w:rPr>
        <w:instrText xml:space="preserve"> ADDIN ZOTERO_ITEM CSL_CITATION {"citationID":"7aVAMVkl","properties":{"formattedCitation":"\\super 52\\uc0\\u8211{}54\\nosupersub{}","plainCitation":"52–54","noteIndex":0},"citationItems":[{"id":16384,"uris":["http://zotero.org/groups/4923232/items/C9KWZ3G6"],"itemData":{"id":16384,"type":"article-journal","container-title":"Chemosphere","DOI":"10.1016/j.chemosphere.2021.131808","ISSN":"00456535","journalAbbreviation":"Chemosphere","language":"en","note":"PMID: 34461330\nPMCID: PMC8612956","page":"131808","source":"DOI.org (Crossref)","title":"Diffusive uptake rates for passive air sampling: Application to volatile organic compound exposure during FIREX-AQ campaign","title-short":"Diffusive uptake rates for passive air sampling","volume":"287","author":[{"family":"Miller","given":"Dylan D."},{"family":"Bajracharya","given":"Aakriti"},{"family":"Dickinson","given":"Gabrielle N."},{"family":"Durbin","given":"Timbre A."},{"family":"McGarry","given":"John K.P."},{"family":"Moser","given":"Elijah P."},{"family":"Nuñez","given":"Laurel A."},{"family":"Pukkila","given":"Elias J."},{"family":"Scott","given":"Phillip S."},{"family":"Sutton","given":"Parke J."},{"family":"Johnston","given":"Nancy A.C."}],"issued":{"date-parts":[["2022",1]]}}},{"id":16535,"uris":["http://zotero.org/groups/4923232/items/H8PX59WL"],"itemData":{"id":16535,"type":"article-journal","abstract":"Passive ambient air sampling for nitrogen dioxide (NO2) and volatile organic compounds (VOCs) was conducted at 25 school and two compliance sites in Detroit and Dearborn, Michigan, USA during the summer of 2005. Geographic Information System (GIS) data were calculated at each of 116 schools. The 25 selected schools were monitored to assess and model intra-urban gradients of air pollutants to evaluate impact of traffic and urban emissions on pollutant levels. Schools were chosen to be statistically representative of urban land use variables such as distance to major roadways, traffic intensity around the schools, distance to nearest point sources, population density, and distance to nearest border crossing. Two approaches were used to investigate spatial variability. First, Kruskal–Wallis analyses and pairwise comparisons on data from the schools examined coarse spatial differences based on city section and distance from heavily trafficked roads. Secondly, spatial variation on a finer scale and as a response to multiple factors was evaluated through land use regression (LUR) models via multiple linear regression. For weeklong exposures, VOCs did not exhibit spatial variability by city section or distance from major roads; NO2 was significantly elevated in a section dominated by traffic and industrial influence versus a residential section. Somewhat in contrast to coarse spatial analyses, LUR results revealed spatial gradients in NO2 and selected VOCs across the area. The process used to select spatially representative sites for air sampling and the results of coarse and fine spatial variability of air pollutants provide insights that may guide future air quality studies in assessing intra-urban gradients.","container-title":"Science of The Total Environment","DOI":"10.1016/j.scitotenv.2009.04.030","ISSN":"0048-9697","issue":"16","journalAbbreviation":"Science of The Total Environment","note":"PMID: 19467697","page":"4642-4651","source":"ScienceDirect","title":"Spatial analysis and land use regression of VOCs and NO2 from school-based urban air monitoring in Detroit/Dearborn, USA","volume":"407","author":[{"family":"Mukerjee","given":"Shaibal"},{"family":"Smith","given":"Luther A."},{"family":"Johnson","given":"Mary M."},{"family":"Neas","given":"Lucas M."},{"family":"Stallings","given":"Casson A."}],"issued":{"date-parts":[["2009",8,1]]}}},{"id":16540,"uris":["http://zotero.org/groups/4923232/items/TB32D9JZ"],"itemData":{"id":16540,"type":"article-journal","abstract":"Benzene, toluene, ethylbenzene, and xylenes (BTEX) are hazardous air pollutants commonly found in outdoor air. Several studies have explored the potential of vegetation to mitigate BTEX in outdoor air, but they are limited to a northern temperate climate and their results lack consensus. To investigate this subject in a subtropical climate, we deployed passive air samplers for two weeks in parks and outside nearby residences at four locations: three in an urban area and one in a rural area in Alabama, USA. All BTEX concentrations were below health-based guidelines and were comparable to those found in several other studies in populated settings. Concentrations of TEX, but not benzene, were 3–39% lower in parks than at nearby residences, and the differences were significant. Site type (park vs. residential) was a significant predictor of TEX concentrations, while distance to the nearest major road was a significant predictor of BTX concentrations. In and around two of the parks, toluene : benzene ratios fell outside the range expected for vehicular emissions (p &lt; 0.01), suggesting that there were additional, industrial sources of benzene near these two locations. The ratio of m-,p-xylene : ethylbenzene was high at all locations except one residential area, indicating that BTEX were freshly emitted. Concentrations of individual BTEX compounds were highly correlated with each other in most cases, except for locations that may have been impacted by nearby industrial sources of benzene. Results of this study suggest that parks can help reduce exposure to TEX by a modest amount in some situations.","container-title":"Environmental Science: Processes &amp; Impacts","DOI":"10.1039/C8EM00252E","ISSN":"2050-7895","issue":"1","journalAbbreviation":"Environ. Sci.: Processes Impacts","language":"en","note":"publisher: The Royal Society of Chemistry\nPMID: 30426129","page":"40-50","source":"pubs.rsc.org","title":"Potential for city parks to reduce exposure to BTEX in air","volume":"21","author":[{"family":"Milazzo","given":"Michael J."},{"family":"Gohlke","given":"Julia M."},{"family":"Gallagher","given":"Daniel L."},{"family":"Scott","given":"Anna A."},{"family":"Zaitchik","given":"Benjamin F."},{"family":"Marr","given":"Linsey C."}],"issued":{"date-parts":[["2019",1,23]]}}}],"schema":"https://github.com/citation-style-language/schema/raw/master/csl-citation.json"} </w:instrText>
      </w:r>
      <w:r w:rsidR="0039087C">
        <w:rPr>
          <w:rFonts w:ascii="Arial" w:hAnsi="Arial" w:cs="Arial"/>
          <w:sz w:val="22"/>
          <w:szCs w:val="22"/>
        </w:rPr>
        <w:fldChar w:fldCharType="separate"/>
      </w:r>
      <w:r w:rsidR="00653AF1" w:rsidRPr="00653AF1">
        <w:rPr>
          <w:rFonts w:ascii="Arial" w:hAnsi="Arial" w:cs="Arial"/>
          <w:kern w:val="0"/>
          <w:sz w:val="22"/>
          <w:vertAlign w:val="superscript"/>
        </w:rPr>
        <w:t>52–54</w:t>
      </w:r>
      <w:r w:rsidR="0039087C">
        <w:rPr>
          <w:rFonts w:ascii="Arial" w:hAnsi="Arial" w:cs="Arial"/>
          <w:sz w:val="22"/>
          <w:szCs w:val="22"/>
        </w:rPr>
        <w:fldChar w:fldCharType="end"/>
      </w:r>
      <w:r w:rsidR="0039087C">
        <w:rPr>
          <w:rFonts w:ascii="Arial" w:hAnsi="Arial" w:cs="Arial"/>
          <w:sz w:val="22"/>
          <w:szCs w:val="22"/>
        </w:rPr>
        <w:t xml:space="preserve"> and align</w:t>
      </w:r>
      <w:r w:rsidR="00BD673C">
        <w:rPr>
          <w:rFonts w:ascii="Arial" w:hAnsi="Arial" w:cs="Arial"/>
          <w:sz w:val="22"/>
          <w:szCs w:val="22"/>
        </w:rPr>
        <w:t>ing</w:t>
      </w:r>
      <w:r w:rsidR="0039087C">
        <w:rPr>
          <w:rFonts w:ascii="Arial" w:hAnsi="Arial" w:cs="Arial"/>
          <w:sz w:val="22"/>
          <w:szCs w:val="22"/>
        </w:rPr>
        <w:t xml:space="preserve"> more with mixed use and industrial sites in large cities such as La Plata, Argentina</w:t>
      </w:r>
      <w:r w:rsidR="0039087C">
        <w:rPr>
          <w:rFonts w:ascii="Arial" w:hAnsi="Arial" w:cs="Arial"/>
          <w:sz w:val="22"/>
          <w:szCs w:val="22"/>
        </w:rPr>
        <w:fldChar w:fldCharType="begin"/>
      </w:r>
      <w:r w:rsidR="00653AF1">
        <w:rPr>
          <w:rFonts w:ascii="Arial" w:hAnsi="Arial" w:cs="Arial"/>
          <w:sz w:val="22"/>
          <w:szCs w:val="22"/>
        </w:rPr>
        <w:instrText xml:space="preserve"> ADDIN ZOTERO_ITEM CSL_CITATION {"citationID":"WrvxSUba","properties":{"formattedCitation":"\\super 57\\nosupersub{}","plainCitation":"57","noteIndex":0},"citationItems":[{"id":16529,"uris":["http://zotero.org/groups/4923232/items/8MYZ4B67"],"itemData":{"id":16529,"type":"article-journal","abstract":"After reductions of fugitive and diffuse emissions by an industrial complex, a follow-up study was performed to determine the time variability of volatile organic compounds (VOCs) and the lifetime cancer risk (LCR). Passive samplers (3 M monitors) were placed outdoors (n = 179) and indoors (n = 75) in industrial, urban, and control areas for 4 weeks. Twenty-five compounds including n-alkanes, cycloalkanes, aromatics, chlorinated hydrocarbons, and terpenes were determined by GC/MS. The results show a significant decrease of all VOCs, especially in the industrial area and to a lesser extent in the urban area. The median outdoor concentration of benzene in the industrial area declined compared to the former study, around 85 % and about 50 % in the urban area, which in the past was strongly influenced by industrial emissions. Other carcinogenic compounds like styrene and tetrachloroethylene were reduced to approximately 60 %. VOC concentrations in control areas remained nearly unchanged. According to the determined BTEX ratios and interspecies correlations, in contrast to the previous study, traffic was identified as the main emission source in the urban and control areas and showed an increased influence in the industrial area. The LCR, calculated for benzene, styrene, and tetrachloroethylene, shows a decrease of one order of magnitude in accordance to the decreased total VOC concentrations and is now acceptable according to values proposed by the World Health Organization.","container-title":"Environmental Science and Pollution Research","DOI":"10.1007/s11356-014-2904-x","ISSN":"1614-7499","issue":"16","journalAbbreviation":"Environ Sci Pollut Res","language":"en","note":"PMID: 24788932","page":"9676-9688","source":"Springer Link","title":"Improvement of health risk factors after reduction of VOC concentrations in industrial and urban areas","volume":"21","author":[{"family":"Lerner","given":"Jorge Esteban Colman"},{"family":"Kohajda","given":"Tibor"},{"family":"Aguilar","given":"Myriam Elisabeth"},{"family":"Massolo","given":"Laura Andrea"},{"family":"Sánchez","given":"Erica Yanina"},{"family":"Porta","given":"Atilio Andrés"},{"family":"Opitz","given":"Philipp"},{"family":"Wichmann","given":"Gunnar"},{"family":"Herbarth","given":"Olf"},{"family":"Mueller","given":"Andrea"}],"issued":{"date-parts":[["2014",8,1]]}}}],"schema":"https://github.com/citation-style-language/schema/raw/master/csl-citation.json"} </w:instrText>
      </w:r>
      <w:r w:rsidR="0039087C">
        <w:rPr>
          <w:rFonts w:ascii="Arial" w:hAnsi="Arial" w:cs="Arial"/>
          <w:sz w:val="22"/>
          <w:szCs w:val="22"/>
        </w:rPr>
        <w:fldChar w:fldCharType="separate"/>
      </w:r>
      <w:r w:rsidR="00653AF1" w:rsidRPr="00653AF1">
        <w:rPr>
          <w:rFonts w:ascii="Arial" w:hAnsi="Arial" w:cs="Arial"/>
          <w:kern w:val="0"/>
          <w:sz w:val="22"/>
          <w:vertAlign w:val="superscript"/>
        </w:rPr>
        <w:t>57</w:t>
      </w:r>
      <w:r w:rsidR="0039087C">
        <w:rPr>
          <w:rFonts w:ascii="Arial" w:hAnsi="Arial" w:cs="Arial"/>
          <w:sz w:val="22"/>
          <w:szCs w:val="22"/>
        </w:rPr>
        <w:fldChar w:fldCharType="end"/>
      </w:r>
      <w:r w:rsidR="0039087C">
        <w:rPr>
          <w:rFonts w:ascii="Arial" w:hAnsi="Arial" w:cs="Arial"/>
          <w:sz w:val="22"/>
          <w:szCs w:val="22"/>
        </w:rPr>
        <w:t xml:space="preserve"> and Ulsan, South Korea.</w:t>
      </w:r>
      <w:r w:rsidR="0039087C">
        <w:rPr>
          <w:rFonts w:ascii="Arial" w:hAnsi="Arial" w:cs="Arial"/>
          <w:sz w:val="22"/>
          <w:szCs w:val="22"/>
        </w:rPr>
        <w:fldChar w:fldCharType="begin"/>
      </w:r>
      <w:r w:rsidR="00653AF1">
        <w:rPr>
          <w:rFonts w:ascii="Arial" w:hAnsi="Arial" w:cs="Arial"/>
          <w:sz w:val="22"/>
          <w:szCs w:val="22"/>
        </w:rPr>
        <w:instrText xml:space="preserve"> ADDIN ZOTERO_ITEM CSL_CITATION {"citationID":"GcztIEPh","properties":{"formattedCitation":"\\super 58\\nosupersub{}","plainCitation":"58","noteIndex":0},"citationItems":[{"id":16493,"uris":["http://zotero.org/groups/4923232/items/AMN7DHWN"],"itemData":{"id":16493,"type":"article-journal","abstract":"The source-receptor relationship of volatile organic compounds (VOCs) is an important environmental concern, particularly in large industrial cities; however, only a few studies have identified VOC sources using high spatial resolution data. In this study, 28 VOCs were monitored in Ulsan, the biggest multi-industrial city in Korea. Passive air samplers were seasonally deployed at eight urban and six industrial sites. The target compounds were detected at all sites. No significant seasonal variations of VOCs were observed probably due to the continuous emissions from major industrial facilities. Benzene, toluene, ethylbenzene, xylenes, and styrene accounted for 66–86% of the concentration of Σ28 VOCs. The spatial distribution of the individual VOCs clearly indicated that petrochemical, automobile, non-ferrous, and shipbuilding industries were major VOC sources. Seasonal wind patterns were found to play a role in the spatial distribution of VOCs. Diagnostic ratios also confirmed that the industrial complexes were the dominant VOC sources. The results of principal component analysis and correlation analyses identified the influence of specific compounds from each industrial complex on individual sites. To the best of our knowledge, this is the first comprehensive report on the seasonal distribution of VOCs with high spatial resolution in a metropolitan industrial city in Korea.","container-title":"Environmental Science and Pollution Research","DOI":"10.1007/s11356-018-4032-5","ISSN":"1614-7499","issue":"6","journalAbbreviation":"Environ Sci Pollut Res","language":"en","note":"PMID: 30613884","page":"5831-5841","source":"Springer Link","title":"Spatial and temporal variations of volatile organic compounds using passive air samplers in the multi-industrial city of Ulsan, Korea","volume":"26","author":[{"family":"Kim","given":"Seong-Joon"},{"family":"Kwon","given":"Hye-Ok"},{"family":"Lee","given":"Myoung-In"},{"family":"Seo","given":"Yongwon"},{"family":"Choi","given":"Sung-Deuk"}],"issued":{"date-parts":[["2019",2,1]]}}}],"schema":"https://github.com/citation-style-language/schema/raw/master/csl-citation.json"} </w:instrText>
      </w:r>
      <w:r w:rsidR="0039087C">
        <w:rPr>
          <w:rFonts w:ascii="Arial" w:hAnsi="Arial" w:cs="Arial"/>
          <w:sz w:val="22"/>
          <w:szCs w:val="22"/>
        </w:rPr>
        <w:fldChar w:fldCharType="separate"/>
      </w:r>
      <w:r w:rsidR="00653AF1" w:rsidRPr="00653AF1">
        <w:rPr>
          <w:rFonts w:ascii="Arial" w:hAnsi="Arial" w:cs="Arial"/>
          <w:kern w:val="0"/>
          <w:sz w:val="22"/>
          <w:vertAlign w:val="superscript"/>
        </w:rPr>
        <w:t>58</w:t>
      </w:r>
      <w:r w:rsidR="0039087C">
        <w:rPr>
          <w:rFonts w:ascii="Arial" w:hAnsi="Arial" w:cs="Arial"/>
          <w:sz w:val="22"/>
          <w:szCs w:val="22"/>
        </w:rPr>
        <w:fldChar w:fldCharType="end"/>
      </w:r>
      <w:r w:rsidR="007D65D8">
        <w:rPr>
          <w:rFonts w:ascii="Arial" w:hAnsi="Arial" w:cs="Arial"/>
          <w:sz w:val="22"/>
          <w:szCs w:val="22"/>
        </w:rPr>
        <w:t xml:space="preserve"> </w:t>
      </w:r>
      <w:r w:rsidR="000C6F58">
        <w:rPr>
          <w:rFonts w:ascii="Arial" w:hAnsi="Arial" w:cs="Arial"/>
          <w:sz w:val="22"/>
          <w:szCs w:val="22"/>
        </w:rPr>
        <w:t>Much of these high concentrations were driven by extreme values at 28</w:t>
      </w:r>
      <w:r w:rsidR="000C6F58" w:rsidRPr="000C6F58">
        <w:rPr>
          <w:rFonts w:ascii="Arial" w:hAnsi="Arial" w:cs="Arial"/>
          <w:sz w:val="22"/>
          <w:szCs w:val="22"/>
          <w:vertAlign w:val="superscript"/>
        </w:rPr>
        <w:t>th</w:t>
      </w:r>
      <w:r w:rsidR="000C6F58">
        <w:rPr>
          <w:rFonts w:ascii="Arial" w:hAnsi="Arial" w:cs="Arial"/>
          <w:sz w:val="22"/>
          <w:szCs w:val="22"/>
        </w:rPr>
        <w:t xml:space="preserve"> and </w:t>
      </w:r>
      <w:proofErr w:type="spellStart"/>
      <w:r w:rsidR="000C6F58">
        <w:rPr>
          <w:rFonts w:ascii="Arial" w:hAnsi="Arial" w:cs="Arial"/>
          <w:sz w:val="22"/>
          <w:szCs w:val="22"/>
        </w:rPr>
        <w:t>Passyunk</w:t>
      </w:r>
      <w:proofErr w:type="spellEnd"/>
      <w:r w:rsidR="000C6F58">
        <w:rPr>
          <w:rFonts w:ascii="Arial" w:hAnsi="Arial" w:cs="Arial"/>
          <w:sz w:val="22"/>
          <w:szCs w:val="22"/>
        </w:rPr>
        <w:t xml:space="preserve">, though the study-wide average excluding this site remains high (4.0 </w:t>
      </w:r>
      <w:r w:rsidR="000C6F58" w:rsidRPr="00F64D3B">
        <w:rPr>
          <w:rFonts w:ascii="Arial" w:hAnsi="Arial" w:cs="Arial"/>
          <w:sz w:val="22"/>
          <w:szCs w:val="22"/>
        </w:rPr>
        <w:t>µg/m</w:t>
      </w:r>
      <w:r w:rsidR="000C6F58" w:rsidRPr="00F64D3B">
        <w:rPr>
          <w:rFonts w:ascii="Arial" w:hAnsi="Arial" w:cs="Arial"/>
          <w:sz w:val="22"/>
          <w:szCs w:val="22"/>
          <w:vertAlign w:val="superscript"/>
        </w:rPr>
        <w:t>3</w:t>
      </w:r>
      <w:r w:rsidR="000C6F58">
        <w:rPr>
          <w:rFonts w:ascii="Arial" w:hAnsi="Arial" w:cs="Arial"/>
          <w:sz w:val="22"/>
          <w:szCs w:val="22"/>
        </w:rPr>
        <w:t xml:space="preserve">) when compared to similar urban environments. </w:t>
      </w:r>
      <w:r w:rsidR="007D65D8">
        <w:rPr>
          <w:rFonts w:ascii="Arial" w:hAnsi="Arial" w:cs="Arial"/>
          <w:sz w:val="22"/>
          <w:szCs w:val="22"/>
        </w:rPr>
        <w:t>We also reported</w:t>
      </w:r>
      <w:r w:rsidR="007B2C25">
        <w:rPr>
          <w:rFonts w:ascii="Arial" w:hAnsi="Arial" w:cs="Arial"/>
          <w:sz w:val="22"/>
          <w:szCs w:val="22"/>
        </w:rPr>
        <w:t xml:space="preserve"> high</w:t>
      </w:r>
      <w:r w:rsidR="007D65D8">
        <w:rPr>
          <w:rFonts w:ascii="Arial" w:hAnsi="Arial" w:cs="Arial"/>
          <w:sz w:val="22"/>
          <w:szCs w:val="22"/>
        </w:rPr>
        <w:t xml:space="preserve"> </w:t>
      </w:r>
      <w:r w:rsidR="007B2C25">
        <w:rPr>
          <w:rFonts w:ascii="Arial" w:hAnsi="Arial" w:cs="Arial"/>
          <w:sz w:val="22"/>
          <w:szCs w:val="22"/>
        </w:rPr>
        <w:t>(</w:t>
      </w:r>
      <w:proofErr w:type="spellStart"/>
      <w:proofErr w:type="gramStart"/>
      <w:r w:rsidR="007B2C25">
        <w:rPr>
          <w:rFonts w:ascii="Arial" w:hAnsi="Arial" w:cs="Arial"/>
          <w:i/>
          <w:iCs/>
          <w:sz w:val="22"/>
          <w:szCs w:val="22"/>
        </w:rPr>
        <w:t>m,p</w:t>
      </w:r>
      <w:proofErr w:type="spellEnd"/>
      <w:proofErr w:type="gramEnd"/>
      <w:r w:rsidR="007B2C25">
        <w:rPr>
          <w:rFonts w:ascii="Arial" w:hAnsi="Arial" w:cs="Arial"/>
          <w:sz w:val="22"/>
          <w:szCs w:val="22"/>
        </w:rPr>
        <w:t>)-</w:t>
      </w:r>
      <w:proofErr w:type="spellStart"/>
      <w:r w:rsidR="007B2C25">
        <w:rPr>
          <w:rFonts w:ascii="Arial" w:hAnsi="Arial" w:cs="Arial"/>
          <w:sz w:val="22"/>
          <w:szCs w:val="22"/>
        </w:rPr>
        <w:t>xylenes:ethylbenzene</w:t>
      </w:r>
      <w:proofErr w:type="spellEnd"/>
      <w:r w:rsidR="007B2C25">
        <w:rPr>
          <w:rFonts w:ascii="Arial" w:hAnsi="Arial" w:cs="Arial"/>
          <w:sz w:val="22"/>
          <w:szCs w:val="22"/>
        </w:rPr>
        <w:t xml:space="preserve"> </w:t>
      </w:r>
      <w:r w:rsidR="00D16DDC">
        <w:rPr>
          <w:rFonts w:ascii="Arial" w:hAnsi="Arial" w:cs="Arial"/>
          <w:sz w:val="22"/>
          <w:szCs w:val="22"/>
        </w:rPr>
        <w:t xml:space="preserve">(X/E) </w:t>
      </w:r>
      <w:r w:rsidR="007B2C25">
        <w:rPr>
          <w:rFonts w:ascii="Arial" w:hAnsi="Arial" w:cs="Arial"/>
          <w:sz w:val="22"/>
          <w:szCs w:val="22"/>
        </w:rPr>
        <w:t xml:space="preserve">ratios when compared to other studies, driven by high xylenes concentrations, rather than low ethylbenzene concentrations. </w:t>
      </w:r>
    </w:p>
    <w:p w14:paraId="4F190984" w14:textId="77777777" w:rsidR="00330F4A" w:rsidRDefault="00330F4A" w:rsidP="00973130">
      <w:pPr>
        <w:spacing w:line="360" w:lineRule="auto"/>
        <w:jc w:val="both"/>
        <w:rPr>
          <w:rFonts w:ascii="Arial" w:hAnsi="Arial" w:cs="Arial"/>
          <w:sz w:val="22"/>
          <w:szCs w:val="22"/>
        </w:rPr>
      </w:pPr>
    </w:p>
    <w:p w14:paraId="1C4F9EE0" w14:textId="61403336" w:rsidR="00330F4A" w:rsidRPr="00933F9C" w:rsidRDefault="00330F4A" w:rsidP="00973130">
      <w:pPr>
        <w:spacing w:line="360" w:lineRule="auto"/>
        <w:jc w:val="both"/>
        <w:rPr>
          <w:rFonts w:ascii="Arial" w:hAnsi="Arial" w:cs="Arial"/>
          <w:sz w:val="22"/>
          <w:szCs w:val="22"/>
        </w:rPr>
      </w:pPr>
      <w:r w:rsidRPr="00F64D3B">
        <w:rPr>
          <w:rFonts w:ascii="Arial" w:hAnsi="Arial" w:cs="Arial"/>
          <w:sz w:val="22"/>
          <w:szCs w:val="22"/>
        </w:rPr>
        <w:t>Out of the 20 sites we monitored, three sites stood out with high VOC concentrations</w:t>
      </w:r>
      <w:r w:rsidR="00694EBB">
        <w:rPr>
          <w:rFonts w:ascii="Arial" w:hAnsi="Arial" w:cs="Arial"/>
          <w:sz w:val="22"/>
          <w:szCs w:val="22"/>
        </w:rPr>
        <w:t xml:space="preserve"> across VOC categories</w:t>
      </w:r>
      <w:r w:rsidRPr="00F64D3B">
        <w:rPr>
          <w:rFonts w:ascii="Arial" w:hAnsi="Arial" w:cs="Arial"/>
          <w:sz w:val="22"/>
          <w:szCs w:val="22"/>
        </w:rPr>
        <w:t>: 28</w:t>
      </w:r>
      <w:r w:rsidRPr="00F64D3B">
        <w:rPr>
          <w:rFonts w:ascii="Arial" w:hAnsi="Arial" w:cs="Arial"/>
          <w:sz w:val="22"/>
          <w:szCs w:val="22"/>
          <w:vertAlign w:val="superscript"/>
        </w:rPr>
        <w:t>th</w:t>
      </w:r>
      <w:r w:rsidRPr="00F64D3B">
        <w:rPr>
          <w:rFonts w:ascii="Arial" w:hAnsi="Arial" w:cs="Arial"/>
          <w:sz w:val="22"/>
          <w:szCs w:val="22"/>
        </w:rPr>
        <w:t xml:space="preserve"> and </w:t>
      </w:r>
      <w:proofErr w:type="spellStart"/>
      <w:r w:rsidRPr="00F64D3B">
        <w:rPr>
          <w:rFonts w:ascii="Arial" w:hAnsi="Arial" w:cs="Arial"/>
          <w:sz w:val="22"/>
          <w:szCs w:val="22"/>
        </w:rPr>
        <w:t>Passyunk</w:t>
      </w:r>
      <w:proofErr w:type="spellEnd"/>
      <w:r w:rsidRPr="00F64D3B">
        <w:rPr>
          <w:rFonts w:ascii="Arial" w:hAnsi="Arial" w:cs="Arial"/>
          <w:sz w:val="22"/>
          <w:szCs w:val="22"/>
        </w:rPr>
        <w:t>, 61</w:t>
      </w:r>
      <w:r w:rsidRPr="00F64D3B">
        <w:rPr>
          <w:rFonts w:ascii="Arial" w:hAnsi="Arial" w:cs="Arial"/>
          <w:sz w:val="22"/>
          <w:szCs w:val="22"/>
          <w:vertAlign w:val="superscript"/>
        </w:rPr>
        <w:t>st</w:t>
      </w:r>
      <w:r w:rsidRPr="00F64D3B">
        <w:rPr>
          <w:rFonts w:ascii="Arial" w:hAnsi="Arial" w:cs="Arial"/>
          <w:sz w:val="22"/>
          <w:szCs w:val="22"/>
        </w:rPr>
        <w:t xml:space="preserve"> and </w:t>
      </w:r>
      <w:proofErr w:type="spellStart"/>
      <w:r w:rsidRPr="00F64D3B">
        <w:rPr>
          <w:rFonts w:ascii="Arial" w:hAnsi="Arial" w:cs="Arial"/>
          <w:sz w:val="22"/>
          <w:szCs w:val="22"/>
        </w:rPr>
        <w:t>Passyunk</w:t>
      </w:r>
      <w:proofErr w:type="spellEnd"/>
      <w:r w:rsidRPr="00F64D3B">
        <w:rPr>
          <w:rFonts w:ascii="Arial" w:hAnsi="Arial" w:cs="Arial"/>
          <w:sz w:val="22"/>
          <w:szCs w:val="22"/>
        </w:rPr>
        <w:t>, and 26</w:t>
      </w:r>
      <w:r w:rsidRPr="00F64D3B">
        <w:rPr>
          <w:rFonts w:ascii="Arial" w:hAnsi="Arial" w:cs="Arial"/>
          <w:sz w:val="22"/>
          <w:szCs w:val="22"/>
          <w:vertAlign w:val="superscript"/>
        </w:rPr>
        <w:t>th</w:t>
      </w:r>
      <w:r w:rsidRPr="00F64D3B">
        <w:rPr>
          <w:rFonts w:ascii="Arial" w:hAnsi="Arial" w:cs="Arial"/>
          <w:sz w:val="22"/>
          <w:szCs w:val="22"/>
        </w:rPr>
        <w:t xml:space="preserve"> and </w:t>
      </w:r>
      <w:proofErr w:type="spellStart"/>
      <w:r w:rsidRPr="00F64D3B">
        <w:rPr>
          <w:rFonts w:ascii="Arial" w:hAnsi="Arial" w:cs="Arial"/>
          <w:sz w:val="22"/>
          <w:szCs w:val="22"/>
        </w:rPr>
        <w:t>Harntranft</w:t>
      </w:r>
      <w:proofErr w:type="spellEnd"/>
      <w:r w:rsidRPr="00F64D3B">
        <w:rPr>
          <w:rFonts w:ascii="Arial" w:hAnsi="Arial" w:cs="Arial"/>
          <w:sz w:val="22"/>
          <w:szCs w:val="22"/>
        </w:rPr>
        <w:t>. All three sites border the former refinery site, sit on major roads with significant diesel truck traffic, and lie adjacent to active industrial areas. In comparison, our rotating community sites, located mostly in residential areas, tended to show lower concentrations of</w:t>
      </w:r>
      <w:r>
        <w:rPr>
          <w:rFonts w:ascii="Arial" w:hAnsi="Arial" w:cs="Arial"/>
          <w:sz w:val="22"/>
          <w:szCs w:val="22"/>
        </w:rPr>
        <w:t xml:space="preserve"> most VOCs. </w:t>
      </w:r>
      <w:r w:rsidR="009354F1">
        <w:rPr>
          <w:rFonts w:ascii="Arial" w:hAnsi="Arial" w:cs="Arial"/>
          <w:sz w:val="22"/>
          <w:szCs w:val="22"/>
        </w:rPr>
        <w:t>28</w:t>
      </w:r>
      <w:r w:rsidR="009354F1" w:rsidRPr="009354F1">
        <w:rPr>
          <w:rFonts w:ascii="Arial" w:hAnsi="Arial" w:cs="Arial"/>
          <w:sz w:val="22"/>
          <w:szCs w:val="22"/>
          <w:vertAlign w:val="superscript"/>
        </w:rPr>
        <w:t>th</w:t>
      </w:r>
      <w:r w:rsidR="009354F1">
        <w:rPr>
          <w:rFonts w:ascii="Arial" w:hAnsi="Arial" w:cs="Arial"/>
          <w:sz w:val="22"/>
          <w:szCs w:val="22"/>
        </w:rPr>
        <w:t xml:space="preserve"> and </w:t>
      </w:r>
      <w:proofErr w:type="spellStart"/>
      <w:r w:rsidR="009354F1">
        <w:rPr>
          <w:rFonts w:ascii="Arial" w:hAnsi="Arial" w:cs="Arial"/>
          <w:sz w:val="22"/>
          <w:szCs w:val="22"/>
        </w:rPr>
        <w:t>Passyunk</w:t>
      </w:r>
      <w:proofErr w:type="spellEnd"/>
      <w:r w:rsidR="009354F1">
        <w:rPr>
          <w:rFonts w:ascii="Arial" w:hAnsi="Arial" w:cs="Arial"/>
          <w:sz w:val="22"/>
          <w:szCs w:val="22"/>
        </w:rPr>
        <w:t xml:space="preserve"> sat adjacent to an active oil </w:t>
      </w:r>
      <w:r w:rsidR="00BA6BE0">
        <w:rPr>
          <w:rFonts w:ascii="Arial" w:hAnsi="Arial" w:cs="Arial"/>
          <w:sz w:val="22"/>
          <w:szCs w:val="22"/>
        </w:rPr>
        <w:t>terminal and</w:t>
      </w:r>
      <w:r w:rsidR="00D16683">
        <w:rPr>
          <w:rFonts w:ascii="Arial" w:hAnsi="Arial" w:cs="Arial"/>
          <w:sz w:val="22"/>
          <w:szCs w:val="22"/>
        </w:rPr>
        <w:t xml:space="preserve"> had consistently higher concentrations of nearly all VOCs compared to other sites, in some cases to a staggering degree. While the former refinery site </w:t>
      </w:r>
      <w:r w:rsidR="00B76F5B">
        <w:rPr>
          <w:rFonts w:ascii="Arial" w:hAnsi="Arial" w:cs="Arial"/>
          <w:sz w:val="22"/>
          <w:szCs w:val="22"/>
        </w:rPr>
        <w:t xml:space="preserve">is no longer active, our results highlight the existing oil terminal as a potential source of concern, though high concentrations seem very localized. </w:t>
      </w:r>
      <w:r w:rsidR="00F30E27">
        <w:rPr>
          <w:rFonts w:ascii="Arial" w:hAnsi="Arial" w:cs="Arial"/>
          <w:sz w:val="22"/>
          <w:szCs w:val="22"/>
        </w:rPr>
        <w:t xml:space="preserve">Importantly, </w:t>
      </w:r>
      <w:r w:rsidR="0091707A">
        <w:rPr>
          <w:rFonts w:ascii="Arial" w:hAnsi="Arial" w:cs="Arial"/>
          <w:sz w:val="22"/>
          <w:szCs w:val="22"/>
        </w:rPr>
        <w:t>a recent study identified gasoline pump stations and tanker loading operations as key contributors to BTEX emissions in oil and natural gas operations.</w:t>
      </w:r>
      <w:r w:rsidR="0091707A">
        <w:rPr>
          <w:rFonts w:ascii="Arial" w:hAnsi="Arial" w:cs="Arial"/>
          <w:sz w:val="22"/>
          <w:szCs w:val="22"/>
        </w:rPr>
        <w:fldChar w:fldCharType="begin"/>
      </w:r>
      <w:r w:rsidR="00653AF1">
        <w:rPr>
          <w:rFonts w:ascii="Arial" w:hAnsi="Arial" w:cs="Arial"/>
          <w:sz w:val="22"/>
          <w:szCs w:val="22"/>
        </w:rPr>
        <w:instrText xml:space="preserve"> ADDIN ZOTERO_ITEM CSL_CITATION {"citationID":"OR55bpI9","properties":{"formattedCitation":"\\super 59\\nosupersub{}","plainCitation":"59","noteIndex":0},"citationItems":[{"id":16871,"uris":["http://zotero.org/groups/4923232/items/5WJ959C4"],"itemData":{"id":16871,"type":"article-journal","abstract":"The ONG industry emits VOC such as BTEX, which pose health risks to workers. This study analyzed peer-reviewed research articles to provide BTEX emission profiles from three primary ONG operations and their associated health risks. PRISMA (Preferred Reporting Items for Systematic Reviews) was used to choose relevant articles for this review paper. The analysis revealed that in ONG operation, upstream operations involving gas flaring (benzene: 0.115 ± 0.1 ppmv, toluene: 0.029 ± 0.001 ppmv, ethylbenzene: 0.002 ± 0.001 ppmv, xylene: 0.123 ± 0.001 ppmv) contributed to relatively lower concentration of BTEX emission. Meanwhile, midstream operation involving tanker loading (benzene: 5.391 ± 28.670 ppmv, toluene:10.376 ± 48.929 ppmv, ethylbenzene:1.583 ± 6.563 ppmv, xylene:2.067 ± 9.211 ppmv) contributed to significant BTEX emission. On the other hand, downstream operations involving refinery operation zone (benzene: 3.5 ± 1.69 ppmv, toluene: 4 ± 0.87 ppmv, ethylbenzene: 1.2 ± 0.24 ppmv, xylene: 6.6 ± 1.34 ppmv) and refueling station (benzene: 1.164 ± 0.408 ppmv, toluene: 2.394 ± 1.086 ppmv, ethylbenzene: 1.301 ± 0.779 ppmv, xylene: 1.736 ± 0.898 ppmv) exhibited higher BTEX emissions. The Lifetime Cancer Risk (LCRi) for benzene was greater than 10−6 near gasoline pump stations (1400 × 10−6) and during loading operations (160 × 10−6). Ethylbenzene also had a significant LCRi value of 1000 × 10−6 during loading operations. Other ONG activities like gas flaring, inspection operations, and gasoline station pumps have hazard ratio value of &gt; 1. The study highlights BTEX emissions in all three ONG sectors, with significant contributions from midstream tanker loading and downstream refinery and refueling stations. E-nose techniques are promising for BTEX detection due to their real-time measurement capabilities and ease of use. Some Asian countries have reported benzene concentrations exceeding permissible limits during tanker loading and refueling operations. Overall, BTEX emissions are a cause for concern and should be addressed in ONG operations.","container-title":"Environmental Science and Pollution Research","DOI":"10.1007/s11356-024-35698-1","ISSN":"1614-7499","issue":"1","journalAbbreviation":"Environ Sci Pollut Res","language":"en","page":"1-22","source":"Springer Link","title":"Systematic review on benzene, toluene, ethylbenzene, and xylene (BTEX) emissions; health impact assessment; and detection techniques in oil and natural gas operations","volume":"32","author":[{"family":"Das","given":"Alisha"},{"family":"Giri","given":"Balendu Shekher"},{"family":"Manjunatha","given":"Roopa"}],"issued":{"date-parts":[["2025",1,1]]}}}],"schema":"https://github.com/citation-style-language/schema/raw/master/csl-citation.json"} </w:instrText>
      </w:r>
      <w:r w:rsidR="0091707A">
        <w:rPr>
          <w:rFonts w:ascii="Arial" w:hAnsi="Arial" w:cs="Arial"/>
          <w:sz w:val="22"/>
          <w:szCs w:val="22"/>
        </w:rPr>
        <w:fldChar w:fldCharType="separate"/>
      </w:r>
      <w:r w:rsidR="00653AF1" w:rsidRPr="00653AF1">
        <w:rPr>
          <w:rFonts w:ascii="Arial" w:hAnsi="Arial" w:cs="Arial"/>
          <w:kern w:val="0"/>
          <w:sz w:val="22"/>
          <w:vertAlign w:val="superscript"/>
        </w:rPr>
        <w:t>59</w:t>
      </w:r>
      <w:r w:rsidR="0091707A">
        <w:rPr>
          <w:rFonts w:ascii="Arial" w:hAnsi="Arial" w:cs="Arial"/>
          <w:sz w:val="22"/>
          <w:szCs w:val="22"/>
        </w:rPr>
        <w:fldChar w:fldCharType="end"/>
      </w:r>
    </w:p>
    <w:p w14:paraId="6F5CFFFE" w14:textId="77777777" w:rsidR="00BD673C" w:rsidRDefault="00BD673C" w:rsidP="00973130">
      <w:pPr>
        <w:spacing w:line="360" w:lineRule="auto"/>
        <w:jc w:val="both"/>
        <w:rPr>
          <w:rFonts w:ascii="Arial" w:hAnsi="Arial" w:cs="Arial"/>
          <w:sz w:val="22"/>
          <w:szCs w:val="22"/>
        </w:rPr>
      </w:pPr>
    </w:p>
    <w:p w14:paraId="07C31EEA" w14:textId="5313FCFE" w:rsidR="00AC4FC5" w:rsidRDefault="00AC4FC5" w:rsidP="00973130">
      <w:pPr>
        <w:spacing w:line="360" w:lineRule="auto"/>
        <w:jc w:val="both"/>
        <w:rPr>
          <w:rFonts w:ascii="Arial" w:hAnsi="Arial" w:cs="Arial"/>
          <w:sz w:val="22"/>
          <w:szCs w:val="22"/>
        </w:rPr>
      </w:pPr>
      <w:r>
        <w:rPr>
          <w:rFonts w:ascii="Arial" w:hAnsi="Arial" w:cs="Arial"/>
          <w:sz w:val="22"/>
          <w:szCs w:val="22"/>
        </w:rPr>
        <w:t xml:space="preserve">We found </w:t>
      </w:r>
      <w:r w:rsidR="00D16DDC">
        <w:rPr>
          <w:rFonts w:ascii="Arial" w:hAnsi="Arial" w:cs="Arial"/>
          <w:sz w:val="22"/>
          <w:szCs w:val="22"/>
        </w:rPr>
        <w:t xml:space="preserve">that </w:t>
      </w:r>
      <w:r>
        <w:rPr>
          <w:rFonts w:ascii="Arial" w:hAnsi="Arial" w:cs="Arial"/>
          <w:sz w:val="22"/>
          <w:szCs w:val="22"/>
        </w:rPr>
        <w:t>BTEX ratios, which have been used by several studies to understand source signatures and photochemical aging, to be less informative for source</w:t>
      </w:r>
      <w:r w:rsidR="004520C8">
        <w:rPr>
          <w:rFonts w:ascii="Arial" w:hAnsi="Arial" w:cs="Arial"/>
          <w:sz w:val="22"/>
          <w:szCs w:val="22"/>
        </w:rPr>
        <w:t xml:space="preserve"> identification</w:t>
      </w:r>
      <w:r>
        <w:rPr>
          <w:rFonts w:ascii="Arial" w:hAnsi="Arial" w:cs="Arial"/>
          <w:sz w:val="22"/>
          <w:szCs w:val="22"/>
        </w:rPr>
        <w:t xml:space="preserve"> in this study. Generally, we found higher </w:t>
      </w:r>
      <w:proofErr w:type="spellStart"/>
      <w:proofErr w:type="gramStart"/>
      <w:r w:rsidR="00D16DDC">
        <w:rPr>
          <w:rFonts w:ascii="Arial" w:hAnsi="Arial" w:cs="Arial"/>
          <w:sz w:val="22"/>
          <w:szCs w:val="22"/>
        </w:rPr>
        <w:t>toluene:benzene</w:t>
      </w:r>
      <w:proofErr w:type="spellEnd"/>
      <w:proofErr w:type="gramEnd"/>
      <w:r w:rsidR="00D16DDC">
        <w:rPr>
          <w:rFonts w:ascii="Arial" w:hAnsi="Arial" w:cs="Arial"/>
          <w:sz w:val="22"/>
          <w:szCs w:val="22"/>
        </w:rPr>
        <w:t xml:space="preserve"> (T/B) </w:t>
      </w:r>
      <w:r>
        <w:rPr>
          <w:rFonts w:ascii="Arial" w:hAnsi="Arial" w:cs="Arial"/>
          <w:sz w:val="22"/>
          <w:szCs w:val="22"/>
        </w:rPr>
        <w:t xml:space="preserve">ratios in industrial, compared to non-industrial areas, </w:t>
      </w:r>
      <w:r w:rsidR="00FF3928">
        <w:rPr>
          <w:rFonts w:ascii="Arial" w:hAnsi="Arial" w:cs="Arial"/>
          <w:sz w:val="22"/>
          <w:szCs w:val="22"/>
        </w:rPr>
        <w:t>consistent with fresh petroleum sources</w:t>
      </w:r>
      <w:r w:rsidR="00BD673C">
        <w:rPr>
          <w:rFonts w:ascii="Arial" w:hAnsi="Arial" w:cs="Arial"/>
          <w:sz w:val="22"/>
          <w:szCs w:val="22"/>
        </w:rPr>
        <w:t>, though patterns were not consistent across sites</w:t>
      </w:r>
      <w:r w:rsidR="00FF3928">
        <w:rPr>
          <w:rFonts w:ascii="Arial" w:hAnsi="Arial" w:cs="Arial"/>
          <w:sz w:val="22"/>
          <w:szCs w:val="22"/>
        </w:rPr>
        <w:t xml:space="preserve">. Similar patterns were reported in </w:t>
      </w:r>
      <w:r w:rsidR="007C4069">
        <w:rPr>
          <w:rFonts w:ascii="Arial" w:hAnsi="Arial" w:cs="Arial"/>
          <w:sz w:val="22"/>
          <w:szCs w:val="22"/>
        </w:rPr>
        <w:t xml:space="preserve">Kim et al.’s </w:t>
      </w:r>
      <w:r w:rsidR="00CC2804">
        <w:rPr>
          <w:rFonts w:ascii="Arial" w:hAnsi="Arial" w:cs="Arial"/>
          <w:sz w:val="22"/>
          <w:szCs w:val="22"/>
        </w:rPr>
        <w:t>2019 study in Ulsan</w:t>
      </w:r>
      <w:r w:rsidR="00CC2804">
        <w:rPr>
          <w:rFonts w:ascii="Arial" w:hAnsi="Arial" w:cs="Arial"/>
          <w:sz w:val="22"/>
          <w:szCs w:val="22"/>
        </w:rPr>
        <w:fldChar w:fldCharType="begin"/>
      </w:r>
      <w:r w:rsidR="00653AF1">
        <w:rPr>
          <w:rFonts w:ascii="Arial" w:hAnsi="Arial" w:cs="Arial"/>
          <w:sz w:val="22"/>
          <w:szCs w:val="22"/>
        </w:rPr>
        <w:instrText xml:space="preserve"> ADDIN ZOTERO_ITEM CSL_CITATION {"citationID":"1BlbRaXe","properties":{"formattedCitation":"\\super 58\\nosupersub{}","plainCitation":"58","noteIndex":0},"citationItems":[{"id":16493,"uris":["http://zotero.org/groups/4923232/items/AMN7DHWN"],"itemData":{"id":16493,"type":"article-journal","abstract":"The source-receptor relationship of volatile organic compounds (VOCs) is an important environmental concern, particularly in large industrial cities; however, only a few studies have identified VOC sources using high spatial resolution data. In this study, 28 VOCs were monitored in Ulsan, the biggest multi-industrial city in Korea. Passive air samplers were seasonally deployed at eight urban and six industrial sites. The target compounds were detected at all sites. No significant seasonal variations of VOCs were observed probably due to the continuous emissions from major industrial facilities. Benzene, toluene, ethylbenzene, xylenes, and styrene accounted for 66–86% of the concentration of Σ28 VOCs. The spatial distribution of the individual VOCs clearly indicated that petrochemical, automobile, non-ferrous, and shipbuilding industries were major VOC sources. Seasonal wind patterns were found to play a role in the spatial distribution of VOCs. Diagnostic ratios also confirmed that the industrial complexes were the dominant VOC sources. The results of principal component analysis and correlation analyses identified the influence of specific compounds from each industrial complex on individual sites. To the best of our knowledge, this is the first comprehensive report on the seasonal distribution of VOCs with high spatial resolution in a metropolitan industrial city in Korea.","container-title":"Environmental Science and Pollution Research","DOI":"10.1007/s11356-018-4032-5","ISSN":"1614-7499","issue":"6","journalAbbreviation":"Environ Sci Pollut Res","language":"en","note":"PMID: 30613884","page":"5831-5841","source":"Springer Link","title":"Spatial and temporal variations of volatile organic compounds using passive air samplers in the multi-industrial city of Ulsan, Korea","volume":"26","author":[{"family":"Kim","given":"Seong-Joon"},{"family":"Kwon","given":"Hye-Ok"},{"family":"Lee","given":"Myoung-In"},{"family":"Seo","given":"Yongwon"},{"family":"Choi","given":"Sung-Deuk"}],"issued":{"date-parts":[["2019",2,1]]}}}],"schema":"https://github.com/citation-style-language/schema/raw/master/csl-citation.json"} </w:instrText>
      </w:r>
      <w:r w:rsidR="00CC2804">
        <w:rPr>
          <w:rFonts w:ascii="Arial" w:hAnsi="Arial" w:cs="Arial"/>
          <w:sz w:val="22"/>
          <w:szCs w:val="22"/>
        </w:rPr>
        <w:fldChar w:fldCharType="separate"/>
      </w:r>
      <w:r w:rsidR="00653AF1" w:rsidRPr="00653AF1">
        <w:rPr>
          <w:rFonts w:ascii="Arial" w:hAnsi="Arial" w:cs="Arial"/>
          <w:kern w:val="0"/>
          <w:sz w:val="22"/>
          <w:vertAlign w:val="superscript"/>
        </w:rPr>
        <w:t>58</w:t>
      </w:r>
      <w:r w:rsidR="00CC2804">
        <w:rPr>
          <w:rFonts w:ascii="Arial" w:hAnsi="Arial" w:cs="Arial"/>
          <w:sz w:val="22"/>
          <w:szCs w:val="22"/>
        </w:rPr>
        <w:fldChar w:fldCharType="end"/>
      </w:r>
      <w:r w:rsidR="00CC2804">
        <w:rPr>
          <w:rFonts w:ascii="Arial" w:hAnsi="Arial" w:cs="Arial"/>
          <w:sz w:val="22"/>
          <w:szCs w:val="22"/>
        </w:rPr>
        <w:t xml:space="preserve"> </w:t>
      </w:r>
      <w:r w:rsidR="004B60F1">
        <w:rPr>
          <w:rFonts w:ascii="Arial" w:hAnsi="Arial" w:cs="Arial"/>
          <w:sz w:val="22"/>
          <w:szCs w:val="22"/>
        </w:rPr>
        <w:t>and Hoque’s 2008 study in Delhi.</w:t>
      </w:r>
      <w:r w:rsidR="004B60F1">
        <w:rPr>
          <w:rFonts w:ascii="Arial" w:hAnsi="Arial" w:cs="Arial"/>
          <w:sz w:val="22"/>
          <w:szCs w:val="22"/>
        </w:rPr>
        <w:fldChar w:fldCharType="begin"/>
      </w:r>
      <w:r w:rsidR="00653AF1">
        <w:rPr>
          <w:rFonts w:ascii="Arial" w:hAnsi="Arial" w:cs="Arial"/>
          <w:sz w:val="22"/>
          <w:szCs w:val="22"/>
        </w:rPr>
        <w:instrText xml:space="preserve"> ADDIN ZOTERO_ITEM CSL_CITATION {"citationID":"jApC7mNO","properties":{"formattedCitation":"\\super 60\\nosupersub{}","plainCitation":"60","noteIndex":0},"citationItems":[{"id":16562,"uris":["http://zotero.org/groups/4923232/items/KTQMKSVF"],"itemData":{"id":16562,"type":"article-journal","abstract":"Benzene, toluene, ethylbenzene and xylene (BTEX) form an important group of aromatic Volatile Organic Compounds (VOCs) because of their role in the tropospheric chemistry and the risk posed by them to human health. Concentrations of BTEX were determined at different sampling points in the ambient air of Delhi in order to investigate their temporal and spatial distributions. Significant positive correlation coefficient (p&lt;0.01) was found between inter-species concentrations at all the sampling locations. Inter-species ratio and Pearson's correlations indicate that gasoline vehicular exhaust could be the major source of BTEX in Delhi. The inter-species ratios exhibit clear seasonal variations indicating differential reactivity of the VOC species in different seasons. Xylenes were found the largest contributor to the ozone formation followed by toluene.","container-title":"Science of The Total Environment","DOI":"10.1016/j.scitotenv.2007.08.036","ISSN":"0048-9697","issue":"1","journalAbbreviation":"Science of The Total Environment","note":"PMID: 18067950","page":"30-40","source":"ScienceDirect","title":"Spatial and temporal variation of BTEX in the urban atmosphere of Delhi, India","volume":"392","author":[{"family":"Hoque","given":"Raza Rafiqul"},{"family":"Khillare","given":"P. S."},{"family":"Agarwal","given":"Tripti"},{"family":"Shridhar","given":"Vijay"},{"family":"Balachandran","given":"S."}],"issued":{"date-parts":[["2008",3,15]]}}}],"schema":"https://github.com/citation-style-language/schema/raw/master/csl-citation.json"} </w:instrText>
      </w:r>
      <w:r w:rsidR="004B60F1">
        <w:rPr>
          <w:rFonts w:ascii="Arial" w:hAnsi="Arial" w:cs="Arial"/>
          <w:sz w:val="22"/>
          <w:szCs w:val="22"/>
        </w:rPr>
        <w:fldChar w:fldCharType="separate"/>
      </w:r>
      <w:r w:rsidR="00653AF1" w:rsidRPr="00653AF1">
        <w:rPr>
          <w:rFonts w:ascii="Arial" w:hAnsi="Arial" w:cs="Arial"/>
          <w:kern w:val="0"/>
          <w:sz w:val="22"/>
          <w:vertAlign w:val="superscript"/>
        </w:rPr>
        <w:t>60</w:t>
      </w:r>
      <w:r w:rsidR="004B60F1">
        <w:rPr>
          <w:rFonts w:ascii="Arial" w:hAnsi="Arial" w:cs="Arial"/>
          <w:sz w:val="22"/>
          <w:szCs w:val="22"/>
        </w:rPr>
        <w:fldChar w:fldCharType="end"/>
      </w:r>
      <w:r w:rsidR="00235AEF">
        <w:rPr>
          <w:rFonts w:ascii="Arial" w:hAnsi="Arial" w:cs="Arial"/>
          <w:sz w:val="22"/>
          <w:szCs w:val="22"/>
        </w:rPr>
        <w:t xml:space="preserve"> Conversely, </w:t>
      </w:r>
      <w:r w:rsidR="0019736B">
        <w:rPr>
          <w:rFonts w:ascii="Arial" w:hAnsi="Arial" w:cs="Arial"/>
          <w:sz w:val="22"/>
          <w:szCs w:val="22"/>
        </w:rPr>
        <w:t>Lerner et al. reported the lowest T</w:t>
      </w:r>
      <w:r w:rsidR="00BD673C">
        <w:rPr>
          <w:rFonts w:ascii="Arial" w:hAnsi="Arial" w:cs="Arial"/>
          <w:sz w:val="22"/>
          <w:szCs w:val="22"/>
        </w:rPr>
        <w:t>/</w:t>
      </w:r>
      <w:r w:rsidR="0019736B">
        <w:rPr>
          <w:rFonts w:ascii="Arial" w:hAnsi="Arial" w:cs="Arial"/>
          <w:sz w:val="22"/>
          <w:szCs w:val="22"/>
        </w:rPr>
        <w:t>B ratios in industrial, compared to semiurban and urban sites in La Plata,</w:t>
      </w:r>
      <w:r w:rsidR="00F93C90">
        <w:rPr>
          <w:rFonts w:ascii="Arial" w:hAnsi="Arial" w:cs="Arial"/>
          <w:sz w:val="22"/>
          <w:szCs w:val="22"/>
        </w:rPr>
        <w:fldChar w:fldCharType="begin"/>
      </w:r>
      <w:r w:rsidR="00653AF1">
        <w:rPr>
          <w:rFonts w:ascii="Arial" w:hAnsi="Arial" w:cs="Arial"/>
          <w:sz w:val="22"/>
          <w:szCs w:val="22"/>
        </w:rPr>
        <w:instrText xml:space="preserve"> ADDIN ZOTERO_ITEM CSL_CITATION {"citationID":"MT68e3qU","properties":{"formattedCitation":"\\super 57\\nosupersub{}","plainCitation":"57","noteIndex":0},"citationItems":[{"id":16529,"uris":["http://zotero.org/groups/4923232/items/8MYZ4B67"],"itemData":{"id":16529,"type":"article-journal","abstract":"After reductions of fugitive and diffuse emissions by an industrial complex, a follow-up study was performed to determine the time variability of volatile organic compounds (VOCs) and the lifetime cancer risk (LCR). Passive samplers (3 M monitors) were placed outdoors (n = 179) and indoors (n = 75) in industrial, urban, and control areas for 4 weeks. Twenty-five compounds including n-alkanes, cycloalkanes, aromatics, chlorinated hydrocarbons, and terpenes were determined by GC/MS. The results show a significant decrease of all VOCs, especially in the industrial area and to a lesser extent in the urban area. The median outdoor concentration of benzene in the industrial area declined compared to the former study, around 85 % and about 50 % in the urban area, which in the past was strongly influenced by industrial emissions. Other carcinogenic compounds like styrene and tetrachloroethylene were reduced to approximately 60 %. VOC concentrations in control areas remained nearly unchanged. According to the determined BTEX ratios and interspecies correlations, in contrast to the previous study, traffic was identified as the main emission source in the urban and control areas and showed an increased influence in the industrial area. The LCR, calculated for benzene, styrene, and tetrachloroethylene, shows a decrease of one order of magnitude in accordance to the decreased total VOC concentrations and is now acceptable according to values proposed by the World Health Organization.","container-title":"Environmental Science and Pollution Research","DOI":"10.1007/s11356-014-2904-x","ISSN":"1614-7499","issue":"16","journalAbbreviation":"Environ Sci Pollut Res","language":"en","note":"PMID: 24788932","page":"9676-9688","source":"Springer Link","title":"Improvement of health risk factors after reduction of VOC concentrations in industrial and urban areas","volume":"21","author":[{"family":"Lerner","given":"Jorge Esteban Colman"},{"family":"Kohajda","given":"Tibor"},{"family":"Aguilar","given":"Myriam Elisabeth"},{"family":"Massolo","given":"Laura Andrea"},{"family":"Sánchez","given":"Erica Yanina"},{"family":"Porta","given":"Atilio Andrés"},{"family":"Opitz","given":"Philipp"},{"family":"Wichmann","given":"Gunnar"},{"family":"Herbarth","given":"Olf"},{"family":"Mueller","given":"Andrea"}],"issued":{"date-parts":[["2014",8,1]]}}}],"schema":"https://github.com/citation-style-language/schema/raw/master/csl-citation.json"} </w:instrText>
      </w:r>
      <w:r w:rsidR="00F93C90">
        <w:rPr>
          <w:rFonts w:ascii="Arial" w:hAnsi="Arial" w:cs="Arial"/>
          <w:sz w:val="22"/>
          <w:szCs w:val="22"/>
        </w:rPr>
        <w:fldChar w:fldCharType="separate"/>
      </w:r>
      <w:r w:rsidR="00653AF1" w:rsidRPr="00653AF1">
        <w:rPr>
          <w:rFonts w:ascii="Arial" w:hAnsi="Arial" w:cs="Arial"/>
          <w:kern w:val="0"/>
          <w:sz w:val="22"/>
          <w:vertAlign w:val="superscript"/>
        </w:rPr>
        <w:t>57</w:t>
      </w:r>
      <w:r w:rsidR="00F93C90">
        <w:rPr>
          <w:rFonts w:ascii="Arial" w:hAnsi="Arial" w:cs="Arial"/>
          <w:sz w:val="22"/>
          <w:szCs w:val="22"/>
        </w:rPr>
        <w:fldChar w:fldCharType="end"/>
      </w:r>
      <w:r w:rsidR="0019736B">
        <w:rPr>
          <w:rFonts w:ascii="Arial" w:hAnsi="Arial" w:cs="Arial"/>
          <w:sz w:val="22"/>
          <w:szCs w:val="22"/>
        </w:rPr>
        <w:t xml:space="preserve"> </w:t>
      </w:r>
      <w:r w:rsidR="00F93C90">
        <w:rPr>
          <w:rFonts w:ascii="Arial" w:hAnsi="Arial" w:cs="Arial"/>
          <w:sz w:val="22"/>
          <w:szCs w:val="22"/>
        </w:rPr>
        <w:t>and there were no differences in T</w:t>
      </w:r>
      <w:r w:rsidR="00BD673C">
        <w:rPr>
          <w:rFonts w:ascii="Arial" w:hAnsi="Arial" w:cs="Arial"/>
          <w:sz w:val="22"/>
          <w:szCs w:val="22"/>
        </w:rPr>
        <w:t>/</w:t>
      </w:r>
      <w:r w:rsidR="00F93C90">
        <w:rPr>
          <w:rFonts w:ascii="Arial" w:hAnsi="Arial" w:cs="Arial"/>
          <w:sz w:val="22"/>
          <w:szCs w:val="22"/>
        </w:rPr>
        <w:t>B ratios when comparing sites near and far from the active PES refinery in Philadelphia</w:t>
      </w:r>
      <w:r w:rsidR="000E60CB">
        <w:rPr>
          <w:rFonts w:ascii="Arial" w:hAnsi="Arial" w:cs="Arial"/>
          <w:sz w:val="22"/>
          <w:szCs w:val="22"/>
        </w:rPr>
        <w:t xml:space="preserve"> in 2015</w:t>
      </w:r>
      <w:r w:rsidR="0019736B">
        <w:rPr>
          <w:rFonts w:ascii="Arial" w:hAnsi="Arial" w:cs="Arial"/>
          <w:sz w:val="22"/>
          <w:szCs w:val="22"/>
        </w:rPr>
        <w:t>.</w:t>
      </w:r>
      <w:r w:rsidR="00F93C90">
        <w:rPr>
          <w:rFonts w:ascii="Arial" w:hAnsi="Arial" w:cs="Arial"/>
          <w:sz w:val="22"/>
          <w:szCs w:val="22"/>
        </w:rPr>
        <w:fldChar w:fldCharType="begin"/>
      </w:r>
      <w:r w:rsidR="00D85090">
        <w:rPr>
          <w:rFonts w:ascii="Arial" w:hAnsi="Arial" w:cs="Arial"/>
          <w:sz w:val="22"/>
          <w:szCs w:val="22"/>
        </w:rPr>
        <w:instrText xml:space="preserve"> ADDIN ZOTERO_ITEM CSL_CITATION {"citationID":"O0xZdK0e","properties":{"formattedCitation":"\\super 15\\nosupersub{}","plainCitation":"15","noteIndex":0},"citationItems":[{"id":16753,"uris":["http://zotero.org/groups/4923232/items/M3TJ8VFK"],"itemData":{"id":16753,"type":"article-journal","abstract":"Select volatile organic compounds (VOCs) were measured in the vicinity of a petroleum refinery and related operations in South Philadelphia, Pennsylvania, USA, using passive air sampling and laboratory analysis methods. Two-week, time-integrated samplers were deployed at 17 sites, which were aggregated into five site groups of varying distances from the refinery. Benzene, toluene, ethylbenzene, and xylene isomers (BTEX) and styrene concentrations were higher near the refinery's fenceline than for groups at the refinery's south edge, mid-distance, and farther removed locations. The near fenceline group was significantly higher than the refinery's north edge group for benzene and toluene but not for ethylbenzene or xylene isomers; styrene was lower at the near fenceline group versus the north edge group. For BTEX and styrene, the magnitude of estimated differences generally increased when proceeding through groups ever farther away from the petroleum refining. Perchloroethylene results were not suggestive of an influence from refining. These results suggest that emissions from the refinery complex contribute to higher concentrations of BTEX species and styrene in the vicinity of the plant, with this influence declining as distance from the petroleum refining increases.\nIMPLICATIONS: Passive sampling methodology for VOCs as discussed here is employed in recently enacted U.S. Environmental Protection Agency Methods 325A/B for determination of benzene concentrations at refinery fenceline locations. Spatial gradients of VOC concentration near the refinery fenceline were discerned in an area containing traffic and other VOC-related sources. Though limited, these findings can be useful in application of the method at such facilities to ascertain source influence.","container-title":"Journal of the Air &amp; Waste Management Association (1995)","DOI":"10.1080/10962247.2016.1147505","ISSN":"1096-2247","issue":"5","journalAbbreviation":"J Air Waste Manag Assoc","language":"eng","note":"PMID: 26828464","page":"492-498","source":"PubMed","title":"Spatial analysis of volatile organic compounds in South Philadelphia using passive samplers","volume":"66","author":[{"family":"Mukerjee","given":"Shaibal"},{"family":"Smith","given":"Luther A."},{"family":"Thoma","given":"Eben D."},{"family":"Oliver","given":"Karen D."},{"family":"Whitaker","given":"Donald A."},{"family":"Wu","given":"Tai"},{"family":"Colon","given":"Maribel"},{"family":"Alston","given":"Lillian"},{"family":"Cousett","given":"Tamira A."},{"family":"Stallings","given":"Casson"}],"issued":{"date-parts":[["2016",5]]}}}],"schema":"https://github.com/citation-style-language/schema/raw/master/csl-citation.json"} </w:instrText>
      </w:r>
      <w:r w:rsidR="00F93C90">
        <w:rPr>
          <w:rFonts w:ascii="Arial" w:hAnsi="Arial" w:cs="Arial"/>
          <w:sz w:val="22"/>
          <w:szCs w:val="22"/>
        </w:rPr>
        <w:fldChar w:fldCharType="separate"/>
      </w:r>
      <w:r w:rsidR="00D85090" w:rsidRPr="00D85090">
        <w:rPr>
          <w:rFonts w:ascii="Arial" w:hAnsi="Arial" w:cs="Arial"/>
          <w:kern w:val="0"/>
          <w:sz w:val="22"/>
          <w:vertAlign w:val="superscript"/>
        </w:rPr>
        <w:t>15</w:t>
      </w:r>
      <w:r w:rsidR="00F93C90">
        <w:rPr>
          <w:rFonts w:ascii="Arial" w:hAnsi="Arial" w:cs="Arial"/>
          <w:sz w:val="22"/>
          <w:szCs w:val="22"/>
        </w:rPr>
        <w:fldChar w:fldCharType="end"/>
      </w:r>
      <w:r w:rsidR="00F93C90" w:rsidRPr="00F64D3B">
        <w:rPr>
          <w:rFonts w:ascii="Arial" w:hAnsi="Arial" w:cs="Arial"/>
          <w:sz w:val="22"/>
          <w:szCs w:val="22"/>
        </w:rPr>
        <w:t xml:space="preserve"> </w:t>
      </w:r>
      <w:r w:rsidR="00AE78E0">
        <w:rPr>
          <w:rFonts w:ascii="Arial" w:hAnsi="Arial" w:cs="Arial"/>
          <w:sz w:val="22"/>
          <w:szCs w:val="22"/>
        </w:rPr>
        <w:t xml:space="preserve">We identified </w:t>
      </w:r>
      <w:r w:rsidR="00793AB6">
        <w:rPr>
          <w:rFonts w:ascii="Arial" w:hAnsi="Arial" w:cs="Arial"/>
          <w:sz w:val="22"/>
          <w:szCs w:val="22"/>
        </w:rPr>
        <w:t xml:space="preserve">few differences </w:t>
      </w:r>
      <w:r w:rsidR="00D16DDC">
        <w:rPr>
          <w:rFonts w:ascii="Arial" w:hAnsi="Arial" w:cs="Arial"/>
          <w:sz w:val="22"/>
          <w:szCs w:val="22"/>
        </w:rPr>
        <w:t xml:space="preserve">in X/E </w:t>
      </w:r>
      <w:r w:rsidR="00793AB6">
        <w:rPr>
          <w:rFonts w:ascii="Arial" w:hAnsi="Arial" w:cs="Arial"/>
          <w:sz w:val="22"/>
          <w:szCs w:val="22"/>
        </w:rPr>
        <w:t xml:space="preserve">ratios across sites, though industrial sites showed slightly higher </w:t>
      </w:r>
      <w:r w:rsidR="007D65D8">
        <w:rPr>
          <w:rFonts w:ascii="Arial" w:hAnsi="Arial" w:cs="Arial"/>
          <w:sz w:val="22"/>
          <w:szCs w:val="22"/>
        </w:rPr>
        <w:t>ratios</w:t>
      </w:r>
      <w:r w:rsidR="00D16DDC">
        <w:rPr>
          <w:rFonts w:ascii="Arial" w:hAnsi="Arial" w:cs="Arial"/>
          <w:sz w:val="22"/>
          <w:szCs w:val="22"/>
        </w:rPr>
        <w:t>,</w:t>
      </w:r>
      <w:r w:rsidR="007D65D8">
        <w:rPr>
          <w:rFonts w:ascii="Arial" w:hAnsi="Arial" w:cs="Arial"/>
          <w:sz w:val="22"/>
          <w:szCs w:val="22"/>
        </w:rPr>
        <w:t xml:space="preserve"> suggestive of fresh emissions. </w:t>
      </w:r>
    </w:p>
    <w:p w14:paraId="5DF2E31D" w14:textId="77777777" w:rsidR="00A44E7E" w:rsidRDefault="00A44E7E" w:rsidP="00973130">
      <w:pPr>
        <w:spacing w:line="360" w:lineRule="auto"/>
        <w:jc w:val="both"/>
        <w:rPr>
          <w:rFonts w:ascii="Arial" w:hAnsi="Arial" w:cs="Arial"/>
          <w:sz w:val="22"/>
          <w:szCs w:val="22"/>
        </w:rPr>
      </w:pPr>
    </w:p>
    <w:p w14:paraId="32F97A1D" w14:textId="197CEDDC" w:rsidR="00CA66F4" w:rsidRDefault="00694EBB" w:rsidP="00973130">
      <w:pPr>
        <w:spacing w:line="360" w:lineRule="auto"/>
        <w:jc w:val="both"/>
        <w:rPr>
          <w:rFonts w:ascii="Arial" w:hAnsi="Arial" w:cs="Arial"/>
          <w:sz w:val="22"/>
          <w:szCs w:val="22"/>
        </w:rPr>
      </w:pPr>
      <w:r>
        <w:rPr>
          <w:rFonts w:ascii="Arial" w:hAnsi="Arial" w:cs="Arial"/>
          <w:sz w:val="22"/>
          <w:szCs w:val="22"/>
        </w:rPr>
        <w:lastRenderedPageBreak/>
        <w:t xml:space="preserve">Both principal component analysis (PCA) and positive matrix factorization (PMF) pointed toward four </w:t>
      </w:r>
      <w:r w:rsidR="00A44E7E">
        <w:rPr>
          <w:rFonts w:ascii="Arial" w:hAnsi="Arial" w:cs="Arial"/>
          <w:sz w:val="22"/>
          <w:szCs w:val="22"/>
        </w:rPr>
        <w:t>VOC source</w:t>
      </w:r>
      <w:r>
        <w:rPr>
          <w:rFonts w:ascii="Arial" w:hAnsi="Arial" w:cs="Arial"/>
          <w:sz w:val="22"/>
          <w:szCs w:val="22"/>
        </w:rPr>
        <w:t xml:space="preserve"> classes</w:t>
      </w:r>
      <w:r w:rsidR="00A44E7E">
        <w:rPr>
          <w:rFonts w:ascii="Arial" w:hAnsi="Arial" w:cs="Arial"/>
          <w:sz w:val="22"/>
          <w:szCs w:val="22"/>
        </w:rPr>
        <w:t>: (1)</w:t>
      </w:r>
      <w:r w:rsidR="004520C8">
        <w:rPr>
          <w:rFonts w:ascii="Arial" w:hAnsi="Arial" w:cs="Arial"/>
          <w:sz w:val="22"/>
          <w:szCs w:val="22"/>
        </w:rPr>
        <w:t xml:space="preserve"> mixed urban/industrial combustion sources</w:t>
      </w:r>
      <w:r w:rsidR="00A44E7E">
        <w:rPr>
          <w:rFonts w:ascii="Arial" w:hAnsi="Arial" w:cs="Arial"/>
          <w:sz w:val="22"/>
          <w:szCs w:val="22"/>
        </w:rPr>
        <w:t>, (2)</w:t>
      </w:r>
      <w:r w:rsidR="004520C8">
        <w:rPr>
          <w:rFonts w:ascii="Arial" w:hAnsi="Arial" w:cs="Arial"/>
          <w:sz w:val="22"/>
          <w:szCs w:val="22"/>
        </w:rPr>
        <w:t xml:space="preserve"> </w:t>
      </w:r>
      <w:r w:rsidR="00D2175B">
        <w:rPr>
          <w:rFonts w:ascii="Arial" w:hAnsi="Arial" w:cs="Arial"/>
          <w:sz w:val="22"/>
          <w:szCs w:val="22"/>
        </w:rPr>
        <w:t>petroleum solvents</w:t>
      </w:r>
      <w:r w:rsidR="00A44E7E">
        <w:rPr>
          <w:rFonts w:ascii="Arial" w:hAnsi="Arial" w:cs="Arial"/>
          <w:sz w:val="22"/>
          <w:szCs w:val="22"/>
        </w:rPr>
        <w:t>, (3)</w:t>
      </w:r>
      <w:r w:rsidR="004520C8">
        <w:rPr>
          <w:rFonts w:ascii="Arial" w:hAnsi="Arial" w:cs="Arial"/>
          <w:sz w:val="22"/>
          <w:szCs w:val="22"/>
        </w:rPr>
        <w:t xml:space="preserve"> legacy emissions</w:t>
      </w:r>
      <w:r w:rsidR="00A44E7E">
        <w:rPr>
          <w:rFonts w:ascii="Arial" w:hAnsi="Arial" w:cs="Arial"/>
          <w:sz w:val="22"/>
          <w:szCs w:val="22"/>
        </w:rPr>
        <w:t xml:space="preserve">, </w:t>
      </w:r>
      <w:r w:rsidR="004520C8">
        <w:rPr>
          <w:rFonts w:ascii="Arial" w:hAnsi="Arial" w:cs="Arial"/>
          <w:sz w:val="22"/>
          <w:szCs w:val="22"/>
        </w:rPr>
        <w:t xml:space="preserve">and </w:t>
      </w:r>
      <w:r w:rsidR="00A44E7E">
        <w:rPr>
          <w:rFonts w:ascii="Arial" w:hAnsi="Arial" w:cs="Arial"/>
          <w:sz w:val="22"/>
          <w:szCs w:val="22"/>
        </w:rPr>
        <w:t>(4)</w:t>
      </w:r>
      <w:r w:rsidR="004520C8">
        <w:rPr>
          <w:rFonts w:ascii="Arial" w:hAnsi="Arial" w:cs="Arial"/>
          <w:sz w:val="22"/>
          <w:szCs w:val="22"/>
        </w:rPr>
        <w:t xml:space="preserve"> </w:t>
      </w:r>
      <w:r w:rsidR="00240355">
        <w:rPr>
          <w:rFonts w:ascii="Arial" w:hAnsi="Arial" w:cs="Arial"/>
          <w:sz w:val="22"/>
          <w:szCs w:val="22"/>
        </w:rPr>
        <w:t xml:space="preserve">additional </w:t>
      </w:r>
      <w:r w:rsidR="004520C8">
        <w:rPr>
          <w:rFonts w:ascii="Arial" w:hAnsi="Arial" w:cs="Arial"/>
          <w:sz w:val="22"/>
          <w:szCs w:val="22"/>
        </w:rPr>
        <w:t>industrial solvents</w:t>
      </w:r>
      <w:r w:rsidR="00A44E7E">
        <w:rPr>
          <w:rFonts w:ascii="Arial" w:hAnsi="Arial" w:cs="Arial"/>
          <w:sz w:val="22"/>
          <w:szCs w:val="22"/>
        </w:rPr>
        <w:t xml:space="preserve">. </w:t>
      </w:r>
      <w:r w:rsidR="005448B7">
        <w:rPr>
          <w:rFonts w:ascii="Arial" w:hAnsi="Arial" w:cs="Arial"/>
          <w:sz w:val="22"/>
          <w:szCs w:val="22"/>
        </w:rPr>
        <w:t>These align with community priority sources</w:t>
      </w:r>
      <w:r w:rsidR="00310EE0">
        <w:rPr>
          <w:rFonts w:ascii="Arial" w:hAnsi="Arial" w:cs="Arial"/>
          <w:sz w:val="22"/>
          <w:szCs w:val="22"/>
        </w:rPr>
        <w:t xml:space="preserve">—namely traffic and industrial sources, while also identifying additional sources of concern. </w:t>
      </w:r>
      <w:r w:rsidR="00847722">
        <w:rPr>
          <w:rFonts w:ascii="Arial" w:hAnsi="Arial" w:cs="Arial"/>
          <w:sz w:val="22"/>
          <w:szCs w:val="22"/>
        </w:rPr>
        <w:t>These source apportionment results align with other urban studies</w:t>
      </w:r>
      <w:r w:rsidR="00472DC1">
        <w:rPr>
          <w:rFonts w:ascii="Arial" w:hAnsi="Arial" w:cs="Arial"/>
          <w:sz w:val="22"/>
          <w:szCs w:val="22"/>
        </w:rPr>
        <w:t xml:space="preserve"> that distinguished between gasoline vehicles (combustion), gasoline / petroleum evaporation, diesel combustion, and industrial emissions</w:t>
      </w:r>
      <w:r w:rsidR="00314529">
        <w:rPr>
          <w:rFonts w:ascii="Arial" w:hAnsi="Arial" w:cs="Arial"/>
          <w:sz w:val="22"/>
          <w:szCs w:val="22"/>
        </w:rPr>
        <w:t>, for example, in Pittsburgh, Pennsylvania</w:t>
      </w:r>
      <w:r w:rsidR="006A4649">
        <w:rPr>
          <w:rFonts w:ascii="Arial" w:hAnsi="Arial" w:cs="Arial"/>
          <w:sz w:val="22"/>
          <w:szCs w:val="22"/>
        </w:rPr>
        <w:fldChar w:fldCharType="begin"/>
      </w:r>
      <w:r w:rsidR="00653AF1">
        <w:rPr>
          <w:rFonts w:ascii="Arial" w:hAnsi="Arial" w:cs="Arial"/>
          <w:sz w:val="22"/>
          <w:szCs w:val="22"/>
        </w:rPr>
        <w:instrText xml:space="preserve"> ADDIN ZOTERO_ITEM CSL_CITATION {"citationID":"P0RQpctD","properties":{"formattedCitation":"\\super 61\\nosupersub{}","plainCitation":"61","noteIndex":0},"citationItems":[{"id":16814,"uris":["http://zotero.org/groups/4923232/items/QVJJ88FH"],"itemData":{"id":16814,"type":"article-journal","abstract":"Volatile organic compounds (VOCs) are important atmospheric constituents because they contribute to formation of ozone and secondary aerosols, and because some VOCs are toxic air pollutants.","container-title":"International Journal of Environmental Research and Public Health","DOI":"10.3390/ijerph16091632","ISSN":"1660-4601","issue":"9","language":"en","license":"http://creativecommons.org/licenses/by/3.0/","note":"Company: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Institute\npublisher: publisher\nPMID: 31083299\nPMCID: PMC6539943","source":"www.mdpi.com","title":"Quantifying Urban Spatial Variations of Anthropogenic VOC Concentrations and Source Contributions with a Mobile Sampling Platform","URL":"https://www.mdpi.com/1660-4601/16/9/1632","volume":"16","author":[{"family":"Gu","given":"Peishi"},{"family":"Dallmann","given":"Timothy R."},{"family":"Li","given":"Hugh Z."},{"family":"Tan","given":"Yi"},{"family":"Presto","given":"Albert A."},{"family":"Gu","given":"Peishi"},{"family":"Dallmann","given":"Timothy R."},{"family":"Li","given":"Hugh Z."},{"family":"Tan","given":"Yi"},{"family":"Presto","given":"Albert A."}],"accessed":{"date-parts":[["2025",11,20]]},"issued":{"date-parts":[["2019",5,9]]}}}],"schema":"https://github.com/citation-style-language/schema/raw/master/csl-citation.json"} </w:instrText>
      </w:r>
      <w:r w:rsidR="006A4649">
        <w:rPr>
          <w:rFonts w:ascii="Arial" w:hAnsi="Arial" w:cs="Arial"/>
          <w:sz w:val="22"/>
          <w:szCs w:val="22"/>
        </w:rPr>
        <w:fldChar w:fldCharType="separate"/>
      </w:r>
      <w:r w:rsidR="00653AF1" w:rsidRPr="00653AF1">
        <w:rPr>
          <w:rFonts w:ascii="Arial" w:hAnsi="Arial" w:cs="Arial"/>
          <w:kern w:val="0"/>
          <w:sz w:val="22"/>
          <w:vertAlign w:val="superscript"/>
        </w:rPr>
        <w:t>61</w:t>
      </w:r>
      <w:r w:rsidR="006A4649">
        <w:rPr>
          <w:rFonts w:ascii="Arial" w:hAnsi="Arial" w:cs="Arial"/>
          <w:sz w:val="22"/>
          <w:szCs w:val="22"/>
        </w:rPr>
        <w:fldChar w:fldCharType="end"/>
      </w:r>
      <w:r w:rsidR="006A4649">
        <w:rPr>
          <w:rFonts w:ascii="Arial" w:hAnsi="Arial" w:cs="Arial"/>
          <w:sz w:val="22"/>
          <w:szCs w:val="22"/>
        </w:rPr>
        <w:t xml:space="preserve"> and Los Angeles, California</w:t>
      </w:r>
      <w:r w:rsidR="00314529">
        <w:rPr>
          <w:rFonts w:ascii="Arial" w:hAnsi="Arial" w:cs="Arial"/>
          <w:sz w:val="22"/>
          <w:szCs w:val="22"/>
        </w:rPr>
        <w:t>.</w:t>
      </w:r>
      <w:r w:rsidR="006A4649">
        <w:rPr>
          <w:rFonts w:ascii="Arial" w:hAnsi="Arial" w:cs="Arial"/>
          <w:sz w:val="22"/>
          <w:szCs w:val="22"/>
        </w:rPr>
        <w:fldChar w:fldCharType="begin"/>
      </w:r>
      <w:r w:rsidR="00653AF1">
        <w:rPr>
          <w:rFonts w:ascii="Arial" w:hAnsi="Arial" w:cs="Arial"/>
          <w:sz w:val="22"/>
          <w:szCs w:val="22"/>
        </w:rPr>
        <w:instrText xml:space="preserve"> ADDIN ZOTERO_ITEM CSL_CITATION {"citationID":"fVjTKLHN","properties":{"formattedCitation":"\\super 62\\nosupersub{}","plainCitation":"62","noteIndex":0},"citationItems":[{"id":16816,"uris":["http://zotero.org/groups/4923232/items/GGC63LKN"],"itemData":{"id":16816,"type":"article-journal","abstract":"Eight 3-h speciated hydrocarbon measurements were collected daily by the South Coast Air Quality Management District (SCAQMD) as part of the Photochemical Assessment Monitoring Stations (PAMS) program during the summers of 2001–03 at two sites in the Los Angeles air basin, Azusa and Hawthorne. Over 30 hydrocarbons from over 500 samples at Azusa and 600 samples at Hawthorne were subsequently analyzed using the multivariate receptor model positive matrix factorization (PMF). At Azusa and Hawthorne, five and six factors were identified, respectively, with a good comparison between predicted and measured mass. At Azusa, evaporative emissions (a median of 31% of the total mass), motor vehicle exhaust (22%), liquid/unburned gasoline (27%), coatings (17%), and biogenic emissions (3%) factors were identified. Factors identified at Hawthorne were evaporative emissions (a median of 34% of the total mass), motor vehicle exhaust (24%), industrial process losses (15%), natural gas (13%), liquid/unburned gasoline (13%), and biogenic emissions (1%). Together, the median contribution from mobile source-related factors (exhaust, evaporative emissions, and liquid/unburned gasoline) was 80% and 71% at Azusa and Hawthorne, respectively, similar to previous source apportionment results using the chemical mass balance (CMB) model. There is a difference in the distribution among mobile source factors compared to the CMB work, with an increase in the contribution from evaporative emissions, though the cause (changes in emissions or differences between models) is unknown.","container-title":"Atmospheric Environment","DOI":"10.1016/j.atmosenv.2006.08.021","ISSN":"1352-2310","issue":"2","journalAbbreviation":"Atmospheric Environment","page":"227-237","source":"ScienceDirect","title":"Source apportionment of VOCs in the Los Angeles area using positive matrix factorization","volume":"41","author":[{"family":"Brown","given":"Steven G."},{"family":"Frankel","given":"Anna"},{"family":"Hafner","given":"Hilary R."}],"issued":{"date-parts":[["2007",1,1]]}}}],"schema":"https://github.com/citation-style-language/schema/raw/master/csl-citation.json"} </w:instrText>
      </w:r>
      <w:r w:rsidR="006A4649">
        <w:rPr>
          <w:rFonts w:ascii="Arial" w:hAnsi="Arial" w:cs="Arial"/>
          <w:sz w:val="22"/>
          <w:szCs w:val="22"/>
        </w:rPr>
        <w:fldChar w:fldCharType="separate"/>
      </w:r>
      <w:r w:rsidR="00653AF1" w:rsidRPr="00653AF1">
        <w:rPr>
          <w:rFonts w:ascii="Arial" w:hAnsi="Arial" w:cs="Arial"/>
          <w:kern w:val="0"/>
          <w:sz w:val="22"/>
          <w:vertAlign w:val="superscript"/>
        </w:rPr>
        <w:t>62</w:t>
      </w:r>
      <w:r w:rsidR="006A4649">
        <w:rPr>
          <w:rFonts w:ascii="Arial" w:hAnsi="Arial" w:cs="Arial"/>
          <w:sz w:val="22"/>
          <w:szCs w:val="22"/>
        </w:rPr>
        <w:fldChar w:fldCharType="end"/>
      </w:r>
      <w:r w:rsidR="00314529">
        <w:rPr>
          <w:rFonts w:ascii="Arial" w:hAnsi="Arial" w:cs="Arial"/>
          <w:sz w:val="22"/>
          <w:szCs w:val="22"/>
        </w:rPr>
        <w:t xml:space="preserve"> </w:t>
      </w:r>
    </w:p>
    <w:p w14:paraId="3709FBF2" w14:textId="77777777" w:rsidR="00CA66F4" w:rsidRDefault="00CA66F4" w:rsidP="00973130">
      <w:pPr>
        <w:spacing w:line="360" w:lineRule="auto"/>
        <w:jc w:val="both"/>
        <w:rPr>
          <w:rFonts w:ascii="Arial" w:hAnsi="Arial" w:cs="Arial"/>
          <w:sz w:val="22"/>
          <w:szCs w:val="22"/>
        </w:rPr>
      </w:pPr>
    </w:p>
    <w:p w14:paraId="1683BA37" w14:textId="55577C58" w:rsidR="00E54EFD" w:rsidRDefault="003909B9" w:rsidP="00973130">
      <w:pPr>
        <w:spacing w:line="360" w:lineRule="auto"/>
        <w:jc w:val="both"/>
        <w:rPr>
          <w:rFonts w:ascii="Arial" w:hAnsi="Arial" w:cs="Arial"/>
          <w:sz w:val="22"/>
          <w:szCs w:val="22"/>
        </w:rPr>
      </w:pPr>
      <w:r>
        <w:rPr>
          <w:rFonts w:ascii="Arial" w:hAnsi="Arial" w:cs="Arial"/>
          <w:sz w:val="22"/>
          <w:szCs w:val="22"/>
        </w:rPr>
        <w:t>While PCA and PMF results were suggestive of the sources listed above, most compounds loaded onto more than one component</w:t>
      </w:r>
      <w:r w:rsidR="00E8622F">
        <w:rPr>
          <w:rFonts w:ascii="Arial" w:hAnsi="Arial" w:cs="Arial"/>
          <w:sz w:val="22"/>
          <w:szCs w:val="22"/>
        </w:rPr>
        <w:t xml:space="preserve"> or factor, highlighting some ambiguity in factor interpretation</w:t>
      </w:r>
      <w:r w:rsidR="00396E82">
        <w:rPr>
          <w:rFonts w:ascii="Arial" w:hAnsi="Arial" w:cs="Arial"/>
          <w:sz w:val="22"/>
          <w:szCs w:val="22"/>
        </w:rPr>
        <w:t xml:space="preserve"> that is common among urban VOC source apportionment studies with spatially co-located urban and industrial pollution sources (</w:t>
      </w:r>
      <w:r w:rsidR="003B1A53">
        <w:rPr>
          <w:rFonts w:ascii="Arial" w:hAnsi="Arial" w:cs="Arial"/>
          <w:sz w:val="22"/>
          <w:szCs w:val="22"/>
        </w:rPr>
        <w:t>CITE</w:t>
      </w:r>
      <w:r w:rsidR="00396E82">
        <w:rPr>
          <w:rFonts w:ascii="Arial" w:hAnsi="Arial" w:cs="Arial"/>
          <w:sz w:val="22"/>
          <w:szCs w:val="22"/>
        </w:rPr>
        <w:t>).</w:t>
      </w:r>
      <w:r w:rsidR="00396E82">
        <w:rPr>
          <w:rFonts w:ascii="Arial" w:hAnsi="Arial" w:cs="Arial"/>
          <w:sz w:val="22"/>
          <w:szCs w:val="22"/>
        </w:rPr>
        <w:fldChar w:fldCharType="begin"/>
      </w:r>
      <w:r w:rsidR="00653AF1">
        <w:rPr>
          <w:rFonts w:ascii="Arial" w:hAnsi="Arial" w:cs="Arial"/>
          <w:sz w:val="22"/>
          <w:szCs w:val="22"/>
        </w:rPr>
        <w:instrText xml:space="preserve"> ADDIN ZOTERO_ITEM CSL_CITATION {"citationID":"US6tz4nb","properties":{"formattedCitation":"\\super 63\\nosupersub{}","plainCitation":"63","noteIndex":0},"citationItems":[{"id":16811,"uris":["http://zotero.org/groups/4923232/items/TCXDYH2J"],"itemData":{"id":16811,"type":"article-journal","abstract":"Volatile organic compounds (VOCs) were measured online at an urban site in Beijing in August–September 2010. Diurnal variations of various VOC species indicate that VOCs concentrations were influenced by photochemical removal with OH radicals for reactive species and secondary formation for oxygenated VOCs (OVOCs). A photochemical age-based parameterization method was applied to characterize VOCs chemistry. A large part of the variability in concentrations of both hydrocarbons and OVOCs was explained by this method. The determined emission ratios of hydrocarbons to acetylene agreed within a factor of two between 2005 and 2010 measurements. However, large differences were found for emission ratios of some alkanes and C8 aromatics between Beijing and northeastern United States secondary formation from anthropogenic VOCs generally contributed higher percentages to concentrations of reactive aldehydes than those of inert ketones and alcohols. Anthropogenic primary emissions accounted for the majority of ketones and alcohols concentrations. Positive matrix factorization (PMF) was also used to identify emission sources from this VOCs data set. The four resolved factors were three anthropogenic factors and a biogenic factor. However, the anthropogenic factors are attributed here to a common source at different stages of photochemical processing rather than three independent sources. Anthropogenic and biogenic sources of VOCs concentrations were not separated completely in PMF. This study indicates that photochemistry of VOCs in the atmosphere complicates the information about separated sources that can be extracted from PMF and the influence of photochemical processing must be carefully considered in the interpretation of source apportionment studies based upon PMF.","container-title":"Journal of Geophysical Research: Atmospheres","DOI":"10.1029/2012JD018236","ISSN":"2156-2202","issue":"D24","language":"en","license":"© 2012 by the American Geophysical Union","note":"_eprint: https://agupubs.onlinelibrary.wiley.com/doi/pdf/10.1029/2012JD018236","source":"Wiley Online Library","title":"Volatile organic compounds (VOCs) in urban air: How chemistry affects the interpretation of positive matrix factorization (PMF) analysis","title-short":"Volatile organic compounds (VOCs) in urban air","URL":"https://onlinelibrary.wiley.com/doi/abs/10.1029/2012JD018236","volume":"117","author":[{"family":"Yuan","given":"Bin"},{"family":"Shao","given":"Min"},{"family":"Gouw","given":"Joost","non-dropping-particle":"de"},{"family":"Parrish","given":"David D."},{"family":"Lu","given":"Sihua"},{"family":"Wang","given":"Ming"},{"family":"Zeng","given":"Limin"},{"family":"Zhang","given":"Qian"},{"family":"Song","given":"Yu"},{"family":"Zhang","given":"Jianbo"},{"family":"Hu","given":"Min"}],"accessed":{"date-parts":[["2025",11,20]]},"issued":{"date-parts":[["2012"]]}}}],"schema":"https://github.com/citation-style-language/schema/raw/master/csl-citation.json"} </w:instrText>
      </w:r>
      <w:r w:rsidR="00396E82">
        <w:rPr>
          <w:rFonts w:ascii="Arial" w:hAnsi="Arial" w:cs="Arial"/>
          <w:sz w:val="22"/>
          <w:szCs w:val="22"/>
        </w:rPr>
        <w:fldChar w:fldCharType="separate"/>
      </w:r>
      <w:r w:rsidR="00653AF1" w:rsidRPr="00653AF1">
        <w:rPr>
          <w:rFonts w:ascii="Arial" w:hAnsi="Arial" w:cs="Arial"/>
          <w:kern w:val="0"/>
          <w:sz w:val="22"/>
          <w:vertAlign w:val="superscript"/>
        </w:rPr>
        <w:t>63</w:t>
      </w:r>
      <w:r w:rsidR="00396E82">
        <w:rPr>
          <w:rFonts w:ascii="Arial" w:hAnsi="Arial" w:cs="Arial"/>
          <w:sz w:val="22"/>
          <w:szCs w:val="22"/>
        </w:rPr>
        <w:fldChar w:fldCharType="end"/>
      </w:r>
      <w:r w:rsidR="00396E82">
        <w:rPr>
          <w:rFonts w:ascii="Arial" w:hAnsi="Arial" w:cs="Arial"/>
          <w:sz w:val="22"/>
          <w:szCs w:val="22"/>
        </w:rPr>
        <w:t xml:space="preserve"> </w:t>
      </w:r>
      <w:r w:rsidR="00916738">
        <w:rPr>
          <w:rFonts w:ascii="Arial" w:hAnsi="Arial" w:cs="Arial"/>
          <w:sz w:val="22"/>
          <w:szCs w:val="22"/>
        </w:rPr>
        <w:t>Further, while factor and component loadings did not match completely, certain indicator compounds s</w:t>
      </w:r>
      <w:r w:rsidR="00CA66F4">
        <w:rPr>
          <w:rFonts w:ascii="Arial" w:hAnsi="Arial" w:cs="Arial"/>
          <w:sz w:val="22"/>
          <w:szCs w:val="22"/>
        </w:rPr>
        <w:t>upport</w:t>
      </w:r>
      <w:r w:rsidR="00916738">
        <w:rPr>
          <w:rFonts w:ascii="Arial" w:hAnsi="Arial" w:cs="Arial"/>
          <w:sz w:val="22"/>
          <w:szCs w:val="22"/>
        </w:rPr>
        <w:t xml:space="preserve"> overlapping sources identified between PCA and PMF analyses. Namely, one source </w:t>
      </w:r>
      <w:r w:rsidR="00CA66F4">
        <w:rPr>
          <w:rFonts w:ascii="Arial" w:hAnsi="Arial" w:cs="Arial"/>
          <w:sz w:val="22"/>
          <w:szCs w:val="22"/>
        </w:rPr>
        <w:t>was identified by branched alkanes including isopentane, cis-2-pentene, suggesting urban / industrial mixture and fossil fuel combustion</w:t>
      </w:r>
      <w:r w:rsidR="0024706C">
        <w:rPr>
          <w:rFonts w:ascii="Arial" w:hAnsi="Arial" w:cs="Arial"/>
          <w:sz w:val="22"/>
          <w:szCs w:val="22"/>
        </w:rPr>
        <w:t xml:space="preserve"> (PCA Component 1 &amp; PMF Factor 1)</w:t>
      </w:r>
      <w:r w:rsidR="00CA66F4">
        <w:rPr>
          <w:rFonts w:ascii="Arial" w:hAnsi="Arial" w:cs="Arial"/>
          <w:sz w:val="22"/>
          <w:szCs w:val="22"/>
        </w:rPr>
        <w:t xml:space="preserve">. </w:t>
      </w:r>
    </w:p>
    <w:p w14:paraId="403F1CB0" w14:textId="77777777" w:rsidR="00E54EFD" w:rsidRDefault="00E54EFD" w:rsidP="00973130">
      <w:pPr>
        <w:spacing w:line="360" w:lineRule="auto"/>
        <w:jc w:val="both"/>
        <w:rPr>
          <w:rFonts w:ascii="Arial" w:hAnsi="Arial" w:cs="Arial"/>
          <w:sz w:val="22"/>
          <w:szCs w:val="22"/>
        </w:rPr>
      </w:pPr>
    </w:p>
    <w:p w14:paraId="26553E30" w14:textId="7E007198" w:rsidR="00F07BC1" w:rsidRDefault="0024706C" w:rsidP="00973130">
      <w:pPr>
        <w:spacing w:line="360" w:lineRule="auto"/>
        <w:jc w:val="both"/>
        <w:rPr>
          <w:rFonts w:ascii="Arial" w:hAnsi="Arial" w:cs="Arial"/>
          <w:sz w:val="22"/>
          <w:szCs w:val="22"/>
        </w:rPr>
      </w:pPr>
      <w:r>
        <w:rPr>
          <w:rFonts w:ascii="Arial" w:hAnsi="Arial" w:cs="Arial"/>
          <w:sz w:val="22"/>
          <w:szCs w:val="22"/>
        </w:rPr>
        <w:t>Another source was d</w:t>
      </w:r>
      <w:r w:rsidR="00EC609D">
        <w:rPr>
          <w:rFonts w:ascii="Arial" w:hAnsi="Arial" w:cs="Arial"/>
          <w:sz w:val="22"/>
          <w:szCs w:val="22"/>
        </w:rPr>
        <w:t xml:space="preserve">efined by the presence of </w:t>
      </w:r>
      <w:proofErr w:type="spellStart"/>
      <w:r w:rsidR="00EC609D">
        <w:rPr>
          <w:rFonts w:ascii="Arial" w:hAnsi="Arial" w:cs="Arial"/>
          <w:sz w:val="22"/>
          <w:szCs w:val="22"/>
        </w:rPr>
        <w:t>methylcylohexane</w:t>
      </w:r>
      <w:proofErr w:type="spellEnd"/>
      <w:r w:rsidR="00EC609D">
        <w:rPr>
          <w:rFonts w:ascii="Arial" w:hAnsi="Arial" w:cs="Arial"/>
          <w:sz w:val="22"/>
          <w:szCs w:val="22"/>
        </w:rPr>
        <w:t xml:space="preserve">, </w:t>
      </w:r>
      <w:r w:rsidR="00B06B7E">
        <w:rPr>
          <w:rFonts w:ascii="Arial" w:hAnsi="Arial" w:cs="Arial"/>
          <w:sz w:val="22"/>
          <w:szCs w:val="22"/>
        </w:rPr>
        <w:t>(</w:t>
      </w:r>
      <w:proofErr w:type="spellStart"/>
      <w:proofErr w:type="gramStart"/>
      <w:r w:rsidR="00B06B7E">
        <w:rPr>
          <w:rFonts w:ascii="Arial" w:hAnsi="Arial" w:cs="Arial"/>
          <w:i/>
          <w:iCs/>
          <w:sz w:val="22"/>
          <w:szCs w:val="22"/>
        </w:rPr>
        <w:t>m,p</w:t>
      </w:r>
      <w:proofErr w:type="spellEnd"/>
      <w:proofErr w:type="gramEnd"/>
      <w:r w:rsidR="00B06B7E">
        <w:rPr>
          <w:rFonts w:ascii="Arial" w:hAnsi="Arial" w:cs="Arial"/>
          <w:sz w:val="22"/>
          <w:szCs w:val="22"/>
        </w:rPr>
        <w:t>)-xylenes</w:t>
      </w:r>
      <w:r w:rsidR="006A5A39">
        <w:rPr>
          <w:rFonts w:ascii="Arial" w:hAnsi="Arial" w:cs="Arial"/>
          <w:sz w:val="22"/>
          <w:szCs w:val="22"/>
        </w:rPr>
        <w:t xml:space="preserve">, </w:t>
      </w:r>
      <w:r w:rsidR="00F07BC1">
        <w:rPr>
          <w:rFonts w:ascii="Arial" w:hAnsi="Arial" w:cs="Arial"/>
          <w:sz w:val="22"/>
          <w:szCs w:val="22"/>
        </w:rPr>
        <w:t>and alkylbenzenes</w:t>
      </w:r>
      <w:r w:rsidR="00B06B7E">
        <w:rPr>
          <w:rFonts w:ascii="Arial" w:hAnsi="Arial" w:cs="Arial"/>
          <w:sz w:val="22"/>
          <w:szCs w:val="22"/>
        </w:rPr>
        <w:t xml:space="preserve">, suggesting </w:t>
      </w:r>
      <w:r w:rsidR="00F07BC1">
        <w:rPr>
          <w:rFonts w:ascii="Arial" w:hAnsi="Arial" w:cs="Arial"/>
          <w:sz w:val="22"/>
          <w:szCs w:val="22"/>
        </w:rPr>
        <w:t xml:space="preserve">petroleum solvents such as mineral spirits </w:t>
      </w:r>
      <w:r w:rsidR="002060C6">
        <w:rPr>
          <w:rFonts w:ascii="Arial" w:hAnsi="Arial" w:cs="Arial"/>
          <w:sz w:val="22"/>
          <w:szCs w:val="22"/>
        </w:rPr>
        <w:t xml:space="preserve">(PCA Component </w:t>
      </w:r>
      <w:r w:rsidR="002A1CCF">
        <w:rPr>
          <w:rFonts w:ascii="Arial" w:hAnsi="Arial" w:cs="Arial"/>
          <w:sz w:val="22"/>
          <w:szCs w:val="22"/>
        </w:rPr>
        <w:t xml:space="preserve">2 &amp; PMF Factor 4). </w:t>
      </w:r>
      <w:r w:rsidR="00A969AC">
        <w:rPr>
          <w:rFonts w:ascii="Arial" w:hAnsi="Arial" w:cs="Arial"/>
          <w:sz w:val="22"/>
          <w:szCs w:val="22"/>
        </w:rPr>
        <w:t xml:space="preserve">The third source signature consists of </w:t>
      </w:r>
      <w:r w:rsidR="003F518C">
        <w:rPr>
          <w:rFonts w:ascii="Arial" w:hAnsi="Arial" w:cs="Arial"/>
          <w:sz w:val="22"/>
          <w:szCs w:val="22"/>
        </w:rPr>
        <w:t>tetrachloroethylene, and BTEX, particularly toluene, suggesting industrial solvent use (PCA Component 4 &amp; PMF Factor 2). Finally, the most consistent result between PCA and PMF was the ‘background’ source</w:t>
      </w:r>
      <w:r w:rsidR="00072E8F">
        <w:rPr>
          <w:rFonts w:ascii="Arial" w:hAnsi="Arial" w:cs="Arial"/>
          <w:sz w:val="22"/>
          <w:szCs w:val="22"/>
        </w:rPr>
        <w:t xml:space="preserve"> with CFC-11 and carbon tetrachloride (PCA Component </w:t>
      </w:r>
      <w:r w:rsidR="0097106B">
        <w:rPr>
          <w:rFonts w:ascii="Arial" w:hAnsi="Arial" w:cs="Arial"/>
          <w:sz w:val="22"/>
          <w:szCs w:val="22"/>
        </w:rPr>
        <w:t>3 &amp; PMF Factor 3)</w:t>
      </w:r>
      <w:r w:rsidR="006804A1">
        <w:rPr>
          <w:rFonts w:ascii="Arial" w:hAnsi="Arial" w:cs="Arial"/>
          <w:sz w:val="22"/>
          <w:szCs w:val="22"/>
        </w:rPr>
        <w:t>, which has been similarly identified in other urban source apportionment studies (</w:t>
      </w:r>
      <w:r w:rsidR="003B1A53">
        <w:rPr>
          <w:rFonts w:ascii="Arial" w:hAnsi="Arial" w:cs="Arial"/>
          <w:sz w:val="22"/>
          <w:szCs w:val="22"/>
        </w:rPr>
        <w:t>CITE</w:t>
      </w:r>
      <w:r w:rsidR="006804A1">
        <w:rPr>
          <w:rFonts w:ascii="Arial" w:hAnsi="Arial" w:cs="Arial"/>
          <w:sz w:val="22"/>
          <w:szCs w:val="22"/>
        </w:rPr>
        <w:t>).</w:t>
      </w:r>
      <w:r w:rsidR="006804A1" w:rsidRPr="006804A1">
        <w:rPr>
          <w:rFonts w:ascii="Arial" w:hAnsi="Arial" w:cs="Arial"/>
          <w:sz w:val="22"/>
          <w:szCs w:val="22"/>
        </w:rPr>
        <w:t xml:space="preserve"> </w:t>
      </w:r>
      <w:r w:rsidR="006804A1">
        <w:rPr>
          <w:rFonts w:ascii="Arial" w:hAnsi="Arial" w:cs="Arial"/>
          <w:sz w:val="22"/>
          <w:szCs w:val="22"/>
        </w:rPr>
        <w:fldChar w:fldCharType="begin"/>
      </w:r>
      <w:r w:rsidR="00653AF1">
        <w:rPr>
          <w:rFonts w:ascii="Arial" w:hAnsi="Arial" w:cs="Arial"/>
          <w:sz w:val="22"/>
          <w:szCs w:val="22"/>
        </w:rPr>
        <w:instrText xml:space="preserve"> ADDIN ZOTERO_ITEM CSL_CITATION {"citationID":"AUshw47q","properties":{"formattedCitation":"\\super 64\\nosupersub{}","plainCitation":"64","noteIndex":0},"citationItems":[{"id":16761,"uris":["http://zotero.org/groups/4923232/items/28FGCHME"],"itemData":{"id":16761,"type":"article-journal","abstract":"From 2003 to 2009, whole air samples were collected at two sites in Edmonton and analyzed for over 77 volatile organic compounds (VOCs). VOCs were sampled in the downtown area (Central site) and an industrial area on the eastern side of the city (East site). Concentrations of most VOCs were highest at the East site, with an average total VOC mass concentration of 221 μg m−3. The average total VOC mass concentration at the Central site was 65 μg m−3. The United States Environmental Protection Agency's positive matrix factorization receptor model (EPA PMF) was used to apportion ambient concentrations of VOCs into eleven factors, which were associated with emissions sources. On average, 94 and 99% of the measured mass were apportioned by PMF at the East and Central site, respectively. Factors include transportation combustion (gasoline and diesel), industrial sources (industrial evaporative, industrial feedstock, gasoline production/storage, industrial chemical use), mixed mobile and industrial (gasoline evaporative, fugitive butane), a biogenic source, a natural gas related source, and a factor that was associated with global background pollutants transported into the area. Transportation sources accounted for more than half of the reconstructed VOC mass concentration at the Central site, but less than 10% of the reconstructed mass concentration at the East site. By contrast, industrial sources accounted for ten times more of the reconstructed VOC mass concentration at the East site than at the Central site and were responsible for approximately 75% of the reconstructed VOC mass concentration observed at the East site. Of the six industrial factors identified at the East site, four were linked to petrochemical industry production and storage. The two largest contributors to the reconstructed VOC mass concentration at the East site were associated with fugitive emissions of volatile species (butanes, pentanes, hexane, and cyclohexane); together, these two factors accounted for more than 50% of the reconstructed VOC mass concentration at the East site in contrast to less than 2% of the reconstructed mass concentration at the Central site. Natural gas related emissions accounted for 10%–20% of the reconstructed mass concentration at both sites. Biogenic emissions and VOCs associated with well-mixed global background were less than 10% of the reconstructed VOC mass concentration at the Central site and less than 3% of the reconstructed mass concentration at the East site.","container-title":"Atmospheric Environment","DOI":"10.1016/j.atmosenv.2013.09.016","ISSN":"1352-2310","journalAbbreviation":"Atmospheric Environment","page":"504-516","source":"ScienceDirect","title":"Source apportionment of volatile organic compounds measured in Edmonton, Alberta","volume":"81","author":[{"family":"McCarthy","given":"Michael C."},{"family":"Aklilu","given":"Yayne-Abeba"},{"family":"Brown","given":"Steven G."},{"family":"Lyder","given":"David A."}],"issued":{"date-parts":[["2013",12,1]]}}}],"schema":"https://github.com/citation-style-language/schema/raw/master/csl-citation.json"} </w:instrText>
      </w:r>
      <w:r w:rsidR="006804A1">
        <w:rPr>
          <w:rFonts w:ascii="Arial" w:hAnsi="Arial" w:cs="Arial"/>
          <w:sz w:val="22"/>
          <w:szCs w:val="22"/>
        </w:rPr>
        <w:fldChar w:fldCharType="separate"/>
      </w:r>
      <w:r w:rsidR="00653AF1" w:rsidRPr="00653AF1">
        <w:rPr>
          <w:rFonts w:ascii="Arial" w:hAnsi="Arial" w:cs="Arial"/>
          <w:kern w:val="0"/>
          <w:sz w:val="22"/>
          <w:vertAlign w:val="superscript"/>
        </w:rPr>
        <w:t>64</w:t>
      </w:r>
      <w:r w:rsidR="006804A1">
        <w:rPr>
          <w:rFonts w:ascii="Arial" w:hAnsi="Arial" w:cs="Arial"/>
          <w:sz w:val="22"/>
          <w:szCs w:val="22"/>
        </w:rPr>
        <w:fldChar w:fldCharType="end"/>
      </w:r>
      <w:r w:rsidR="003B1A53">
        <w:rPr>
          <w:rFonts w:ascii="Arial" w:hAnsi="Arial" w:cs="Arial"/>
          <w:sz w:val="22"/>
          <w:szCs w:val="22"/>
        </w:rPr>
        <w:t xml:space="preserve"> </w:t>
      </w:r>
      <w:r w:rsidR="00F07BC1">
        <w:rPr>
          <w:rFonts w:ascii="Arial" w:hAnsi="Arial" w:cs="Arial"/>
          <w:sz w:val="22"/>
          <w:szCs w:val="22"/>
        </w:rPr>
        <w:t xml:space="preserve">Two of the four sources we identified relate to industrial solvent use—these findings are corroborated </w:t>
      </w:r>
      <w:r w:rsidR="00477B94">
        <w:rPr>
          <w:rFonts w:ascii="Arial" w:hAnsi="Arial" w:cs="Arial"/>
          <w:sz w:val="22"/>
          <w:szCs w:val="22"/>
        </w:rPr>
        <w:t xml:space="preserve">by a recent finding that </w:t>
      </w:r>
      <w:r w:rsidR="00B02DC0">
        <w:rPr>
          <w:rFonts w:ascii="Arial" w:hAnsi="Arial" w:cs="Arial"/>
          <w:sz w:val="22"/>
          <w:szCs w:val="22"/>
        </w:rPr>
        <w:t>the use of volatile organic products such as solvents, degreasers, and paint thinners contribute half of the total VOC mass in industrialized cities.</w:t>
      </w:r>
      <w:r w:rsidR="00B02DC0">
        <w:rPr>
          <w:rFonts w:ascii="Arial" w:hAnsi="Arial" w:cs="Arial"/>
          <w:sz w:val="22"/>
          <w:szCs w:val="22"/>
        </w:rPr>
        <w:fldChar w:fldCharType="begin"/>
      </w:r>
      <w:r w:rsidR="00B02DC0">
        <w:rPr>
          <w:rFonts w:ascii="Arial" w:hAnsi="Arial" w:cs="Arial"/>
          <w:sz w:val="22"/>
          <w:szCs w:val="22"/>
        </w:rPr>
        <w:instrText xml:space="preserve"> ADDIN ZOTERO_ITEM CSL_CITATION {"citationID":"xSXoJX4N","properties":{"formattedCitation":"\\super 47\\nosupersub{}","plainCitation":"47","noteIndex":0},"citationItems":[{"id":16874,"uris":["http://zotero.org/groups/4923232/items/XXCZ6M3B"],"itemData":{"id":16874,"type":"article-journal","abstract":"A gap in emission inventories of urban volatile organic compound (VOC) sources, which contribute to regional ozone and aerosol burdens, has increased as transportation emissions in the United States and Europe have declined rapidly. A detailed mass balance demonstrates that the use of volatile chemical products (VCPs)—including pesticides, coatings, printing inks, adhesives, cleaning agents, and personal care products—now constitutes half of fossil fuel VOC emissions in industrialized cities. The high fraction of VCP emissions is consistent with observed urban outdoor and indoor air measurements. We show that human exposure to carbonaceous aerosols of fossil origin is transitioning away from transportation-related sources and toward VCPs. Existing U.S. regulations on VCPs emphasize mitigating ozone and air toxics, but they currently exempt many chemicals that lead to secondary organic aerosols.","container-title":"Science","DOI":"10.1126/science.aaq0524","issue":"6377","note":"publisher: American Association for the Advancement of Science","page":"760-764","source":"science.org (Atypon)","title":"Volatile chemical products emerging as largest petrochemical source of urban organic emissions","volume":"359","author":[{"family":"McDonald","given":"Brian C."},{"family":"Gouw","given":"Joost A.","non-dropping-particle":"de"},{"family":"Gilman","given":"Jessica B."},{"family":"Jathar","given":"Shantanu H."},{"family":"Akherati","given":"Ali"},{"family":"Cappa","given":"Christopher D."},{"family":"Jimenez","given":"Jose L."},{"family":"Lee-Taylor","given":"Julia"},{"family":"Hayes","given":"Patrick L."},{"family":"McKeen","given":"Stuart A."},{"family":"Cui","given":"Yu Yan"},{"family":"Kim","given":"Si-Wan"},{"family":"Gentner","given":"Drew R."},{"family":"Isaacman-VanWertz","given":"Gabriel"},{"family":"Goldstein","given":"Allen H."},{"family":"Harley","given":"Robert A."},{"family":"Frost","given":"Gregory J."},{"family":"Roberts","given":"James M."},{"family":"Ryerson","given":"Thomas B."},{"family":"Trainer","given":"Michael"}],"issued":{"date-parts":[["2018",2,16]]}}}],"schema":"https://github.com/citation-style-language/schema/raw/master/csl-citation.json"} </w:instrText>
      </w:r>
      <w:r w:rsidR="00B02DC0">
        <w:rPr>
          <w:rFonts w:ascii="Arial" w:hAnsi="Arial" w:cs="Arial"/>
          <w:sz w:val="22"/>
          <w:szCs w:val="22"/>
        </w:rPr>
        <w:fldChar w:fldCharType="separate"/>
      </w:r>
      <w:r w:rsidR="00B02DC0" w:rsidRPr="00B02DC0">
        <w:rPr>
          <w:rFonts w:ascii="Arial" w:hAnsi="Arial" w:cs="Arial"/>
          <w:kern w:val="0"/>
          <w:sz w:val="22"/>
          <w:vertAlign w:val="superscript"/>
        </w:rPr>
        <w:t>47</w:t>
      </w:r>
      <w:r w:rsidR="00B02DC0">
        <w:rPr>
          <w:rFonts w:ascii="Arial" w:hAnsi="Arial" w:cs="Arial"/>
          <w:sz w:val="22"/>
          <w:szCs w:val="22"/>
        </w:rPr>
        <w:fldChar w:fldCharType="end"/>
      </w:r>
      <w:r w:rsidR="00477B94">
        <w:rPr>
          <w:rFonts w:ascii="Arial" w:hAnsi="Arial" w:cs="Arial"/>
          <w:sz w:val="22"/>
          <w:szCs w:val="22"/>
        </w:rPr>
        <w:t xml:space="preserve"> </w:t>
      </w:r>
    </w:p>
    <w:p w14:paraId="50EFB252" w14:textId="77777777" w:rsidR="00B84F42" w:rsidRPr="00F64D3B" w:rsidRDefault="00B84F42" w:rsidP="00973130">
      <w:pPr>
        <w:spacing w:line="360" w:lineRule="auto"/>
        <w:jc w:val="both"/>
        <w:rPr>
          <w:rFonts w:ascii="Arial" w:hAnsi="Arial" w:cs="Arial"/>
          <w:sz w:val="22"/>
          <w:szCs w:val="22"/>
        </w:rPr>
      </w:pPr>
    </w:p>
    <w:p w14:paraId="72C67AA3" w14:textId="20664FB4" w:rsidR="00A80B50" w:rsidRPr="00F64D3B" w:rsidRDefault="00714296" w:rsidP="00973130">
      <w:pPr>
        <w:spacing w:line="360" w:lineRule="auto"/>
        <w:jc w:val="both"/>
        <w:rPr>
          <w:rFonts w:ascii="Arial" w:hAnsi="Arial" w:cs="Arial"/>
          <w:sz w:val="22"/>
          <w:szCs w:val="22"/>
        </w:rPr>
      </w:pPr>
      <w:r w:rsidRPr="00F64D3B">
        <w:rPr>
          <w:rFonts w:ascii="Arial" w:hAnsi="Arial" w:cs="Arial"/>
          <w:sz w:val="22"/>
          <w:szCs w:val="22"/>
        </w:rPr>
        <w:t>A main limitation of this study is its small sample size</w:t>
      </w:r>
      <w:r w:rsidR="00F93C90">
        <w:rPr>
          <w:rFonts w:ascii="Arial" w:hAnsi="Arial" w:cs="Arial"/>
          <w:sz w:val="22"/>
          <w:szCs w:val="22"/>
        </w:rPr>
        <w:t xml:space="preserve"> and unbalanced sampling design</w:t>
      </w:r>
      <w:r w:rsidR="00032E2D" w:rsidRPr="00F64D3B">
        <w:rPr>
          <w:rFonts w:ascii="Arial" w:hAnsi="Arial" w:cs="Arial"/>
          <w:sz w:val="22"/>
          <w:szCs w:val="22"/>
        </w:rPr>
        <w:t xml:space="preserve">. </w:t>
      </w:r>
      <w:r w:rsidR="00F93C90">
        <w:rPr>
          <w:rFonts w:ascii="Arial" w:hAnsi="Arial" w:cs="Arial"/>
          <w:sz w:val="22"/>
          <w:szCs w:val="22"/>
        </w:rPr>
        <w:t>Because of the relatively small (~</w:t>
      </w:r>
      <w:r w:rsidR="0025110C">
        <w:rPr>
          <w:rFonts w:ascii="Arial" w:hAnsi="Arial" w:cs="Arial"/>
          <w:sz w:val="22"/>
          <w:szCs w:val="22"/>
        </w:rPr>
        <w:t>50</w:t>
      </w:r>
      <w:r w:rsidR="00F93C90">
        <w:rPr>
          <w:rFonts w:ascii="Arial" w:hAnsi="Arial" w:cs="Arial"/>
          <w:sz w:val="22"/>
          <w:szCs w:val="22"/>
        </w:rPr>
        <w:t>0 samples) study design</w:t>
      </w:r>
      <w:r w:rsidR="008F2229">
        <w:rPr>
          <w:rFonts w:ascii="Arial" w:hAnsi="Arial" w:cs="Arial"/>
          <w:sz w:val="22"/>
          <w:szCs w:val="22"/>
        </w:rPr>
        <w:t>, we were unable to perform land use regression or other spatial interpolation methods with confidence. Nevertheless, we were able to detect nearly 40 VOCs in one-week integrated samples, even at very low concentrations</w:t>
      </w:r>
      <w:r w:rsidR="0025110C">
        <w:rPr>
          <w:rFonts w:ascii="Arial" w:hAnsi="Arial" w:cs="Arial"/>
          <w:sz w:val="22"/>
          <w:szCs w:val="22"/>
        </w:rPr>
        <w:t xml:space="preserve">. </w:t>
      </w:r>
      <w:r w:rsidR="00F4558B">
        <w:rPr>
          <w:rFonts w:ascii="Arial" w:hAnsi="Arial" w:cs="Arial"/>
          <w:sz w:val="22"/>
          <w:szCs w:val="22"/>
        </w:rPr>
        <w:t xml:space="preserve">We </w:t>
      </w:r>
      <w:r w:rsidR="00F4558B">
        <w:rPr>
          <w:rFonts w:ascii="Arial" w:hAnsi="Arial" w:cs="Arial"/>
          <w:sz w:val="22"/>
          <w:szCs w:val="22"/>
        </w:rPr>
        <w:lastRenderedPageBreak/>
        <w:t>were conservative in the quality thresholds used to retain compounds in our study, leading to 26 final compounds used in PCA and PMF analyses. This small sample size, along with spatially</w:t>
      </w:r>
      <w:r w:rsidR="00ED64C9">
        <w:rPr>
          <w:rFonts w:ascii="Arial" w:hAnsi="Arial" w:cs="Arial"/>
          <w:sz w:val="22"/>
          <w:szCs w:val="22"/>
        </w:rPr>
        <w:t xml:space="preserve"> and temporally</w:t>
      </w:r>
      <w:r w:rsidR="00F4558B">
        <w:rPr>
          <w:rFonts w:ascii="Arial" w:hAnsi="Arial" w:cs="Arial"/>
          <w:sz w:val="22"/>
          <w:szCs w:val="22"/>
        </w:rPr>
        <w:t xml:space="preserve"> co-occurring sources</w:t>
      </w:r>
      <w:r w:rsidR="008F2229">
        <w:rPr>
          <w:rFonts w:ascii="Arial" w:hAnsi="Arial" w:cs="Arial"/>
          <w:sz w:val="22"/>
          <w:szCs w:val="22"/>
        </w:rPr>
        <w:t xml:space="preserve"> </w:t>
      </w:r>
      <w:r w:rsidR="00ED64C9">
        <w:rPr>
          <w:rFonts w:ascii="Arial" w:hAnsi="Arial" w:cs="Arial"/>
          <w:sz w:val="22"/>
          <w:szCs w:val="22"/>
        </w:rPr>
        <w:t>in this highly industrialized urban area, led to some ambiguity in PCA and PMF results. Finally, because</w:t>
      </w:r>
      <w:r w:rsidR="008F2229">
        <w:rPr>
          <w:rFonts w:ascii="Arial" w:hAnsi="Arial" w:cs="Arial"/>
          <w:sz w:val="22"/>
          <w:szCs w:val="22"/>
        </w:rPr>
        <w:t xml:space="preserve"> we only sampled across one calendar year, it is unclear whether temporal variations in VOC concentrations are truly seasonal, or unique to the sampling year. </w:t>
      </w:r>
    </w:p>
    <w:p w14:paraId="0EB8ADAF" w14:textId="77777777" w:rsidR="0011536B" w:rsidRPr="00F64D3B" w:rsidRDefault="0011536B" w:rsidP="00973130">
      <w:pPr>
        <w:spacing w:line="360" w:lineRule="auto"/>
        <w:jc w:val="both"/>
        <w:rPr>
          <w:rFonts w:ascii="Arial" w:hAnsi="Arial" w:cs="Arial"/>
          <w:sz w:val="22"/>
          <w:szCs w:val="22"/>
        </w:rPr>
      </w:pPr>
    </w:p>
    <w:p w14:paraId="3B897655" w14:textId="400E3524" w:rsidR="0011536B" w:rsidRPr="00F64D3B" w:rsidRDefault="00CA1040" w:rsidP="00973130">
      <w:pPr>
        <w:spacing w:line="360" w:lineRule="auto"/>
        <w:jc w:val="both"/>
        <w:rPr>
          <w:rFonts w:ascii="Arial" w:hAnsi="Arial" w:cs="Arial"/>
          <w:b/>
          <w:bCs/>
          <w:sz w:val="22"/>
          <w:szCs w:val="22"/>
        </w:rPr>
      </w:pPr>
      <w:r w:rsidRPr="00F64D3B">
        <w:rPr>
          <w:rFonts w:ascii="Arial" w:hAnsi="Arial" w:cs="Arial"/>
          <w:b/>
          <w:bCs/>
          <w:sz w:val="22"/>
          <w:szCs w:val="22"/>
        </w:rPr>
        <w:t>CONCLUSION</w:t>
      </w:r>
    </w:p>
    <w:p w14:paraId="1454D929" w14:textId="73A21D22" w:rsidR="00E95853" w:rsidRDefault="00D651D9" w:rsidP="00D651D9">
      <w:pPr>
        <w:spacing w:line="360" w:lineRule="auto"/>
        <w:jc w:val="both"/>
        <w:rPr>
          <w:rFonts w:ascii="Arial" w:hAnsi="Arial" w:cs="Arial"/>
          <w:sz w:val="22"/>
          <w:szCs w:val="22"/>
        </w:rPr>
      </w:pPr>
      <w:r>
        <w:rPr>
          <w:rFonts w:ascii="Arial" w:hAnsi="Arial" w:cs="Arial"/>
          <w:sz w:val="22"/>
          <w:szCs w:val="22"/>
        </w:rPr>
        <w:t xml:space="preserve">Historically disinvested neighborhoods in South and Southwest Philadelphia experience a mix of air pollution sources, from traffic, industrial areas, petroleum industry, and recent construction on a former refinery site. </w:t>
      </w:r>
      <w:r w:rsidR="00E95853">
        <w:rPr>
          <w:rFonts w:ascii="Arial" w:hAnsi="Arial" w:cs="Arial"/>
          <w:sz w:val="22"/>
          <w:szCs w:val="22"/>
        </w:rPr>
        <w:t xml:space="preserve">Through a community-responsive air monitoring network, we characterized 38 VOCs across </w:t>
      </w:r>
      <w:r w:rsidR="00B77942">
        <w:rPr>
          <w:rFonts w:ascii="Arial" w:hAnsi="Arial" w:cs="Arial"/>
          <w:sz w:val="22"/>
          <w:szCs w:val="22"/>
        </w:rPr>
        <w:t>52 weeks and 20 monitoring sites. Source apportionment analyses corroborated sources of community concern, namely traffi</w:t>
      </w:r>
      <w:r w:rsidR="003B1A53">
        <w:rPr>
          <w:rFonts w:ascii="Arial" w:hAnsi="Arial" w:cs="Arial"/>
          <w:sz w:val="22"/>
          <w:szCs w:val="22"/>
        </w:rPr>
        <w:t>c</w:t>
      </w:r>
      <w:r w:rsidR="00B77942">
        <w:rPr>
          <w:rFonts w:ascii="Arial" w:hAnsi="Arial" w:cs="Arial"/>
          <w:sz w:val="22"/>
          <w:szCs w:val="22"/>
        </w:rPr>
        <w:t xml:space="preserve">, while highlighting industrial solvent use and background contamination as additional VOC contributors. </w:t>
      </w:r>
      <w:r w:rsidR="00B77942" w:rsidRPr="00B77942">
        <w:rPr>
          <w:rFonts w:ascii="Arial" w:hAnsi="Arial" w:cs="Arial"/>
          <w:sz w:val="22"/>
          <w:szCs w:val="22"/>
          <w:highlight w:val="yellow"/>
        </w:rPr>
        <w:t>**need a concluding sentence**</w:t>
      </w:r>
    </w:p>
    <w:p w14:paraId="465C1298" w14:textId="77777777" w:rsidR="00B30299" w:rsidRDefault="00B30299" w:rsidP="00973130">
      <w:pPr>
        <w:spacing w:line="360" w:lineRule="auto"/>
        <w:jc w:val="both"/>
        <w:rPr>
          <w:rFonts w:ascii="Arial" w:hAnsi="Arial" w:cs="Arial"/>
          <w:sz w:val="22"/>
          <w:szCs w:val="22"/>
        </w:rPr>
      </w:pPr>
    </w:p>
    <w:p w14:paraId="1217D4FC" w14:textId="77777777" w:rsidR="003A6FCB" w:rsidRDefault="003A6FCB" w:rsidP="00973130">
      <w:pPr>
        <w:spacing w:line="360" w:lineRule="auto"/>
        <w:jc w:val="both"/>
        <w:rPr>
          <w:rFonts w:ascii="Arial" w:hAnsi="Arial" w:cs="Arial"/>
          <w:sz w:val="22"/>
          <w:szCs w:val="22"/>
        </w:rPr>
      </w:pPr>
    </w:p>
    <w:p w14:paraId="715D9153" w14:textId="77777777" w:rsidR="003A6FCB" w:rsidRPr="00F64D3B" w:rsidRDefault="003A6FCB" w:rsidP="00973130">
      <w:pPr>
        <w:spacing w:line="360" w:lineRule="auto"/>
        <w:jc w:val="both"/>
        <w:rPr>
          <w:rFonts w:ascii="Arial" w:hAnsi="Arial" w:cs="Arial"/>
          <w:sz w:val="22"/>
          <w:szCs w:val="22"/>
        </w:rPr>
      </w:pPr>
    </w:p>
    <w:p w14:paraId="4062E7C3" w14:textId="4E1608F7" w:rsidR="001D2683" w:rsidRPr="00F64D3B" w:rsidRDefault="001D2683" w:rsidP="00BA5BA5">
      <w:pPr>
        <w:jc w:val="both"/>
        <w:rPr>
          <w:rFonts w:ascii="Arial" w:hAnsi="Arial" w:cs="Arial"/>
          <w:b/>
          <w:bCs/>
          <w:sz w:val="22"/>
          <w:szCs w:val="22"/>
        </w:rPr>
      </w:pPr>
      <w:r w:rsidRPr="00F64D3B">
        <w:rPr>
          <w:rFonts w:ascii="Arial" w:hAnsi="Arial" w:cs="Arial"/>
          <w:b/>
          <w:bCs/>
          <w:sz w:val="22"/>
          <w:szCs w:val="22"/>
        </w:rPr>
        <w:t>REFERENCES</w:t>
      </w:r>
    </w:p>
    <w:p w14:paraId="3D5501B4" w14:textId="77777777" w:rsidR="001D2683" w:rsidRPr="00F64D3B" w:rsidRDefault="001D2683" w:rsidP="00BA5BA5">
      <w:pPr>
        <w:jc w:val="both"/>
        <w:rPr>
          <w:rFonts w:ascii="Arial" w:hAnsi="Arial" w:cs="Arial"/>
          <w:sz w:val="22"/>
          <w:szCs w:val="22"/>
        </w:rPr>
      </w:pPr>
    </w:p>
    <w:p w14:paraId="2A33B423" w14:textId="77777777" w:rsidR="00C31C4A" w:rsidRPr="00BC2ED3" w:rsidRDefault="001D2683" w:rsidP="00C31C4A">
      <w:pPr>
        <w:pStyle w:val="Bibliography"/>
        <w:rPr>
          <w:rFonts w:ascii="Arial" w:hAnsi="Arial" w:cs="Arial"/>
          <w:sz w:val="22"/>
          <w:szCs w:val="22"/>
        </w:rPr>
      </w:pPr>
      <w:r w:rsidRPr="00BC2ED3">
        <w:rPr>
          <w:rFonts w:ascii="Arial" w:hAnsi="Arial" w:cs="Arial"/>
          <w:sz w:val="22"/>
          <w:szCs w:val="22"/>
        </w:rPr>
        <w:fldChar w:fldCharType="begin"/>
      </w:r>
      <w:r w:rsidR="00162525" w:rsidRPr="00BC2ED3">
        <w:rPr>
          <w:rFonts w:ascii="Arial" w:hAnsi="Arial" w:cs="Arial"/>
          <w:sz w:val="22"/>
          <w:szCs w:val="22"/>
        </w:rPr>
        <w:instrText xml:space="preserve"> ADDIN ZOTERO_BIBL {"uncited":[],"omitted":[],"custom":[]} CSL_BIBLIOGRAPHY </w:instrText>
      </w:r>
      <w:r w:rsidRPr="00BC2ED3">
        <w:rPr>
          <w:rFonts w:ascii="Arial" w:hAnsi="Arial" w:cs="Arial"/>
          <w:sz w:val="22"/>
          <w:szCs w:val="22"/>
        </w:rPr>
        <w:fldChar w:fldCharType="separate"/>
      </w:r>
      <w:r w:rsidR="00C31C4A" w:rsidRPr="00BC2ED3">
        <w:rPr>
          <w:rFonts w:ascii="Arial" w:hAnsi="Arial" w:cs="Arial"/>
          <w:sz w:val="22"/>
          <w:szCs w:val="22"/>
        </w:rPr>
        <w:t xml:space="preserve">1 </w:t>
      </w:r>
      <w:r w:rsidR="00C31C4A" w:rsidRPr="00BC2ED3">
        <w:rPr>
          <w:rFonts w:ascii="Arial" w:hAnsi="Arial" w:cs="Arial"/>
          <w:sz w:val="22"/>
          <w:szCs w:val="22"/>
        </w:rPr>
        <w:tab/>
        <w:t xml:space="preserve">Zhou X, Zhou X, Wang C, Zhou H. Environmental and human health impacts of volatile organic compounds: A perspective review. </w:t>
      </w:r>
      <w:r w:rsidR="00C31C4A" w:rsidRPr="00BC2ED3">
        <w:rPr>
          <w:rFonts w:ascii="Arial" w:hAnsi="Arial" w:cs="Arial"/>
          <w:i/>
          <w:iCs/>
          <w:sz w:val="22"/>
          <w:szCs w:val="22"/>
        </w:rPr>
        <w:t>Chemosphere</w:t>
      </w:r>
      <w:r w:rsidR="00C31C4A" w:rsidRPr="00BC2ED3">
        <w:rPr>
          <w:rFonts w:ascii="Arial" w:hAnsi="Arial" w:cs="Arial"/>
          <w:sz w:val="22"/>
          <w:szCs w:val="22"/>
        </w:rPr>
        <w:t xml:space="preserve"> 2023; </w:t>
      </w:r>
      <w:r w:rsidR="00C31C4A" w:rsidRPr="00BC2ED3">
        <w:rPr>
          <w:rFonts w:ascii="Arial" w:hAnsi="Arial" w:cs="Arial"/>
          <w:b/>
          <w:bCs/>
          <w:sz w:val="22"/>
          <w:szCs w:val="22"/>
        </w:rPr>
        <w:t>313</w:t>
      </w:r>
      <w:r w:rsidR="00C31C4A" w:rsidRPr="00BC2ED3">
        <w:rPr>
          <w:rFonts w:ascii="Arial" w:hAnsi="Arial" w:cs="Arial"/>
          <w:sz w:val="22"/>
          <w:szCs w:val="22"/>
        </w:rPr>
        <w:t>: 137489.</w:t>
      </w:r>
    </w:p>
    <w:p w14:paraId="1C9274EA"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 </w:t>
      </w:r>
      <w:r w:rsidRPr="00BC2ED3">
        <w:rPr>
          <w:rFonts w:ascii="Arial" w:hAnsi="Arial" w:cs="Arial"/>
          <w:sz w:val="22"/>
          <w:szCs w:val="22"/>
        </w:rPr>
        <w:tab/>
      </w:r>
      <w:proofErr w:type="spellStart"/>
      <w:r w:rsidRPr="00BC2ED3">
        <w:rPr>
          <w:rFonts w:ascii="Arial" w:hAnsi="Arial" w:cs="Arial"/>
          <w:sz w:val="22"/>
          <w:szCs w:val="22"/>
        </w:rPr>
        <w:t>Chiger</w:t>
      </w:r>
      <w:proofErr w:type="spellEnd"/>
      <w:r w:rsidRPr="00BC2ED3">
        <w:rPr>
          <w:rFonts w:ascii="Arial" w:hAnsi="Arial" w:cs="Arial"/>
          <w:sz w:val="22"/>
          <w:szCs w:val="22"/>
        </w:rPr>
        <w:t xml:space="preserve"> AA, Gigot C, Robinson ES, Tehrani MW, Claflin M, Fortner E </w:t>
      </w:r>
      <w:r w:rsidRPr="00BC2ED3">
        <w:rPr>
          <w:rFonts w:ascii="Arial" w:hAnsi="Arial" w:cs="Arial"/>
          <w:i/>
          <w:iCs/>
          <w:sz w:val="22"/>
          <w:szCs w:val="22"/>
        </w:rPr>
        <w:t>et al.</w:t>
      </w:r>
      <w:r w:rsidRPr="00BC2ED3">
        <w:rPr>
          <w:rFonts w:ascii="Arial" w:hAnsi="Arial" w:cs="Arial"/>
          <w:sz w:val="22"/>
          <w:szCs w:val="22"/>
        </w:rPr>
        <w:t xml:space="preserve"> Improving Methodologies for Cumulative Risk Assessment: A Case Study of Noncarcinogenic Health Risks from Volatile Organic Compounds in </w:t>
      </w:r>
      <w:proofErr w:type="spellStart"/>
      <w:r w:rsidRPr="00BC2ED3">
        <w:rPr>
          <w:rFonts w:ascii="Arial" w:hAnsi="Arial" w:cs="Arial"/>
          <w:sz w:val="22"/>
          <w:szCs w:val="22"/>
        </w:rPr>
        <w:t>Fenceline</w:t>
      </w:r>
      <w:proofErr w:type="spellEnd"/>
      <w:r w:rsidRPr="00BC2ED3">
        <w:rPr>
          <w:rFonts w:ascii="Arial" w:hAnsi="Arial" w:cs="Arial"/>
          <w:sz w:val="22"/>
          <w:szCs w:val="22"/>
        </w:rPr>
        <w:t xml:space="preserve"> Communities in Southeastern Pennsylvania. </w:t>
      </w:r>
      <w:r w:rsidRPr="00BC2ED3">
        <w:rPr>
          <w:rFonts w:ascii="Arial" w:hAnsi="Arial" w:cs="Arial"/>
          <w:i/>
          <w:iCs/>
          <w:sz w:val="22"/>
          <w:szCs w:val="22"/>
        </w:rPr>
        <w:t>Environmental Health Perspectives</w:t>
      </w:r>
      <w:r w:rsidRPr="00BC2ED3">
        <w:rPr>
          <w:rFonts w:ascii="Arial" w:hAnsi="Arial" w:cs="Arial"/>
          <w:sz w:val="22"/>
          <w:szCs w:val="22"/>
        </w:rPr>
        <w:t xml:space="preserve"> 2025; </w:t>
      </w:r>
      <w:r w:rsidRPr="00BC2ED3">
        <w:rPr>
          <w:rFonts w:ascii="Arial" w:hAnsi="Arial" w:cs="Arial"/>
          <w:b/>
          <w:bCs/>
          <w:sz w:val="22"/>
          <w:szCs w:val="22"/>
        </w:rPr>
        <w:t>133</w:t>
      </w:r>
      <w:r w:rsidRPr="00BC2ED3">
        <w:rPr>
          <w:rFonts w:ascii="Arial" w:hAnsi="Arial" w:cs="Arial"/>
          <w:sz w:val="22"/>
          <w:szCs w:val="22"/>
        </w:rPr>
        <w:t>: 057004.</w:t>
      </w:r>
    </w:p>
    <w:p w14:paraId="399BFDF4"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 </w:t>
      </w:r>
      <w:r w:rsidRPr="00BC2ED3">
        <w:rPr>
          <w:rFonts w:ascii="Arial" w:hAnsi="Arial" w:cs="Arial"/>
          <w:sz w:val="22"/>
          <w:szCs w:val="22"/>
        </w:rPr>
        <w:tab/>
        <w:t xml:space="preserve">Bolden AL, Kwiatkowski CF, </w:t>
      </w:r>
      <w:proofErr w:type="spellStart"/>
      <w:r w:rsidRPr="00BC2ED3">
        <w:rPr>
          <w:rFonts w:ascii="Arial" w:hAnsi="Arial" w:cs="Arial"/>
          <w:sz w:val="22"/>
          <w:szCs w:val="22"/>
        </w:rPr>
        <w:t>Colborn</w:t>
      </w:r>
      <w:proofErr w:type="spellEnd"/>
      <w:r w:rsidRPr="00BC2ED3">
        <w:rPr>
          <w:rFonts w:ascii="Arial" w:hAnsi="Arial" w:cs="Arial"/>
          <w:sz w:val="22"/>
          <w:szCs w:val="22"/>
        </w:rPr>
        <w:t xml:space="preserve"> T. New Look at BTEX: Are Ambient Levels a Problem? </w:t>
      </w:r>
      <w:r w:rsidRPr="00BC2ED3">
        <w:rPr>
          <w:rFonts w:ascii="Arial" w:hAnsi="Arial" w:cs="Arial"/>
          <w:i/>
          <w:iCs/>
          <w:sz w:val="22"/>
          <w:szCs w:val="22"/>
        </w:rPr>
        <w:t>Environ Sci Technol</w:t>
      </w:r>
      <w:r w:rsidRPr="00BC2ED3">
        <w:rPr>
          <w:rFonts w:ascii="Arial" w:hAnsi="Arial" w:cs="Arial"/>
          <w:sz w:val="22"/>
          <w:szCs w:val="22"/>
        </w:rPr>
        <w:t xml:space="preserve"> 2015; </w:t>
      </w:r>
      <w:r w:rsidRPr="00BC2ED3">
        <w:rPr>
          <w:rFonts w:ascii="Arial" w:hAnsi="Arial" w:cs="Arial"/>
          <w:b/>
          <w:bCs/>
          <w:sz w:val="22"/>
          <w:szCs w:val="22"/>
        </w:rPr>
        <w:t>49</w:t>
      </w:r>
      <w:r w:rsidRPr="00BC2ED3">
        <w:rPr>
          <w:rFonts w:ascii="Arial" w:hAnsi="Arial" w:cs="Arial"/>
          <w:sz w:val="22"/>
          <w:szCs w:val="22"/>
        </w:rPr>
        <w:t>: 5261–5276.</w:t>
      </w:r>
    </w:p>
    <w:p w14:paraId="306A39AB"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 </w:t>
      </w:r>
      <w:r w:rsidRPr="00BC2ED3">
        <w:rPr>
          <w:rFonts w:ascii="Arial" w:hAnsi="Arial" w:cs="Arial"/>
          <w:sz w:val="22"/>
          <w:szCs w:val="22"/>
        </w:rPr>
        <w:tab/>
        <w:t>Clean Air Act. 2013.</w:t>
      </w:r>
    </w:p>
    <w:p w14:paraId="763323F1"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 </w:t>
      </w:r>
      <w:r w:rsidRPr="00BC2ED3">
        <w:rPr>
          <w:rFonts w:ascii="Arial" w:hAnsi="Arial" w:cs="Arial"/>
          <w:sz w:val="22"/>
          <w:szCs w:val="22"/>
        </w:rPr>
        <w:tab/>
        <w:t xml:space="preserve">Johnston J, Cushing L. Chemical Exposures, Health, and Environmental Justice in Communities Living on the </w:t>
      </w:r>
      <w:proofErr w:type="spellStart"/>
      <w:r w:rsidRPr="00BC2ED3">
        <w:rPr>
          <w:rFonts w:ascii="Arial" w:hAnsi="Arial" w:cs="Arial"/>
          <w:sz w:val="22"/>
          <w:szCs w:val="22"/>
        </w:rPr>
        <w:t>Fenceline</w:t>
      </w:r>
      <w:proofErr w:type="spellEnd"/>
      <w:r w:rsidRPr="00BC2ED3">
        <w:rPr>
          <w:rFonts w:ascii="Arial" w:hAnsi="Arial" w:cs="Arial"/>
          <w:sz w:val="22"/>
          <w:szCs w:val="22"/>
        </w:rPr>
        <w:t xml:space="preserve"> of Industry. </w:t>
      </w:r>
      <w:proofErr w:type="spellStart"/>
      <w:r w:rsidRPr="00BC2ED3">
        <w:rPr>
          <w:rFonts w:ascii="Arial" w:hAnsi="Arial" w:cs="Arial"/>
          <w:i/>
          <w:iCs/>
          <w:sz w:val="22"/>
          <w:szCs w:val="22"/>
        </w:rPr>
        <w:t>Curr</w:t>
      </w:r>
      <w:proofErr w:type="spellEnd"/>
      <w:r w:rsidRPr="00BC2ED3">
        <w:rPr>
          <w:rFonts w:ascii="Arial" w:hAnsi="Arial" w:cs="Arial"/>
          <w:i/>
          <w:iCs/>
          <w:sz w:val="22"/>
          <w:szCs w:val="22"/>
        </w:rPr>
        <w:t xml:space="preserve"> </w:t>
      </w:r>
      <w:proofErr w:type="spellStart"/>
      <w:r w:rsidRPr="00BC2ED3">
        <w:rPr>
          <w:rFonts w:ascii="Arial" w:hAnsi="Arial" w:cs="Arial"/>
          <w:i/>
          <w:iCs/>
          <w:sz w:val="22"/>
          <w:szCs w:val="22"/>
        </w:rPr>
        <w:t>Envir</w:t>
      </w:r>
      <w:proofErr w:type="spellEnd"/>
      <w:r w:rsidRPr="00BC2ED3">
        <w:rPr>
          <w:rFonts w:ascii="Arial" w:hAnsi="Arial" w:cs="Arial"/>
          <w:i/>
          <w:iCs/>
          <w:sz w:val="22"/>
          <w:szCs w:val="22"/>
        </w:rPr>
        <w:t xml:space="preserve"> Health </w:t>
      </w:r>
      <w:proofErr w:type="spellStart"/>
      <w:r w:rsidRPr="00BC2ED3">
        <w:rPr>
          <w:rFonts w:ascii="Arial" w:hAnsi="Arial" w:cs="Arial"/>
          <w:i/>
          <w:iCs/>
          <w:sz w:val="22"/>
          <w:szCs w:val="22"/>
        </w:rPr>
        <w:t>Rpt</w:t>
      </w:r>
      <w:proofErr w:type="spellEnd"/>
      <w:r w:rsidRPr="00BC2ED3">
        <w:rPr>
          <w:rFonts w:ascii="Arial" w:hAnsi="Arial" w:cs="Arial"/>
          <w:sz w:val="22"/>
          <w:szCs w:val="22"/>
        </w:rPr>
        <w:t xml:space="preserve"> 2020; </w:t>
      </w:r>
      <w:r w:rsidRPr="00BC2ED3">
        <w:rPr>
          <w:rFonts w:ascii="Arial" w:hAnsi="Arial" w:cs="Arial"/>
          <w:b/>
          <w:bCs/>
          <w:sz w:val="22"/>
          <w:szCs w:val="22"/>
        </w:rPr>
        <w:t>7</w:t>
      </w:r>
      <w:r w:rsidRPr="00BC2ED3">
        <w:rPr>
          <w:rFonts w:ascii="Arial" w:hAnsi="Arial" w:cs="Arial"/>
          <w:sz w:val="22"/>
          <w:szCs w:val="22"/>
        </w:rPr>
        <w:t>: 48–57.</w:t>
      </w:r>
    </w:p>
    <w:p w14:paraId="22F6D80D"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6 </w:t>
      </w:r>
      <w:r w:rsidRPr="00BC2ED3">
        <w:rPr>
          <w:rFonts w:ascii="Arial" w:hAnsi="Arial" w:cs="Arial"/>
          <w:sz w:val="22"/>
          <w:szCs w:val="22"/>
        </w:rPr>
        <w:tab/>
      </w:r>
      <w:proofErr w:type="spellStart"/>
      <w:r w:rsidRPr="00BC2ED3">
        <w:rPr>
          <w:rFonts w:ascii="Arial" w:hAnsi="Arial" w:cs="Arial"/>
          <w:sz w:val="22"/>
          <w:szCs w:val="22"/>
        </w:rPr>
        <w:t>Buteau</w:t>
      </w:r>
      <w:proofErr w:type="spellEnd"/>
      <w:r w:rsidRPr="00BC2ED3">
        <w:rPr>
          <w:rFonts w:ascii="Arial" w:hAnsi="Arial" w:cs="Arial"/>
          <w:sz w:val="22"/>
          <w:szCs w:val="22"/>
        </w:rPr>
        <w:t xml:space="preserve"> S, </w:t>
      </w:r>
      <w:proofErr w:type="spellStart"/>
      <w:r w:rsidRPr="00BC2ED3">
        <w:rPr>
          <w:rFonts w:ascii="Arial" w:hAnsi="Arial" w:cs="Arial"/>
          <w:sz w:val="22"/>
          <w:szCs w:val="22"/>
        </w:rPr>
        <w:t>Geng</w:t>
      </w:r>
      <w:proofErr w:type="spellEnd"/>
      <w:r w:rsidRPr="00BC2ED3">
        <w:rPr>
          <w:rFonts w:ascii="Arial" w:hAnsi="Arial" w:cs="Arial"/>
          <w:sz w:val="22"/>
          <w:szCs w:val="22"/>
        </w:rPr>
        <w:t xml:space="preserve"> X, Labelle R, Smargiassi A. Review of the effect of air pollution exposure from industrial point sources on asthma-related effects in childhood. </w:t>
      </w:r>
      <w:r w:rsidRPr="00BC2ED3">
        <w:rPr>
          <w:rFonts w:ascii="Arial" w:hAnsi="Arial" w:cs="Arial"/>
          <w:i/>
          <w:iCs/>
          <w:sz w:val="22"/>
          <w:szCs w:val="22"/>
        </w:rPr>
        <w:t>Environmental Epidemiology</w:t>
      </w:r>
      <w:r w:rsidRPr="00BC2ED3">
        <w:rPr>
          <w:rFonts w:ascii="Arial" w:hAnsi="Arial" w:cs="Arial"/>
          <w:sz w:val="22"/>
          <w:szCs w:val="22"/>
        </w:rPr>
        <w:t xml:space="preserve"> 2019; </w:t>
      </w:r>
      <w:r w:rsidRPr="00BC2ED3">
        <w:rPr>
          <w:rFonts w:ascii="Arial" w:hAnsi="Arial" w:cs="Arial"/>
          <w:b/>
          <w:bCs/>
          <w:sz w:val="22"/>
          <w:szCs w:val="22"/>
        </w:rPr>
        <w:t>3</w:t>
      </w:r>
      <w:r w:rsidRPr="00BC2ED3">
        <w:rPr>
          <w:rFonts w:ascii="Arial" w:hAnsi="Arial" w:cs="Arial"/>
          <w:sz w:val="22"/>
          <w:szCs w:val="22"/>
        </w:rPr>
        <w:t>: e077.</w:t>
      </w:r>
    </w:p>
    <w:p w14:paraId="72CB3C2B"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7 </w:t>
      </w:r>
      <w:r w:rsidRPr="00BC2ED3">
        <w:rPr>
          <w:rFonts w:ascii="Arial" w:hAnsi="Arial" w:cs="Arial"/>
          <w:sz w:val="22"/>
          <w:szCs w:val="22"/>
        </w:rPr>
        <w:tab/>
      </w:r>
      <w:proofErr w:type="spellStart"/>
      <w:r w:rsidRPr="00BC2ED3">
        <w:rPr>
          <w:rFonts w:ascii="Arial" w:hAnsi="Arial" w:cs="Arial"/>
          <w:sz w:val="22"/>
          <w:szCs w:val="22"/>
        </w:rPr>
        <w:t>Brender</w:t>
      </w:r>
      <w:proofErr w:type="spellEnd"/>
      <w:r w:rsidRPr="00BC2ED3">
        <w:rPr>
          <w:rFonts w:ascii="Arial" w:hAnsi="Arial" w:cs="Arial"/>
          <w:sz w:val="22"/>
          <w:szCs w:val="22"/>
        </w:rPr>
        <w:t xml:space="preserve"> JD, </w:t>
      </w:r>
      <w:proofErr w:type="spellStart"/>
      <w:r w:rsidRPr="00BC2ED3">
        <w:rPr>
          <w:rFonts w:ascii="Arial" w:hAnsi="Arial" w:cs="Arial"/>
          <w:sz w:val="22"/>
          <w:szCs w:val="22"/>
        </w:rPr>
        <w:t>Maantay</w:t>
      </w:r>
      <w:proofErr w:type="spellEnd"/>
      <w:r w:rsidRPr="00BC2ED3">
        <w:rPr>
          <w:rFonts w:ascii="Arial" w:hAnsi="Arial" w:cs="Arial"/>
          <w:sz w:val="22"/>
          <w:szCs w:val="22"/>
        </w:rPr>
        <w:t xml:space="preserve"> JA, Chakraborty J. Residential Proximity to Environmental Hazards and Adverse Health Outcomes. </w:t>
      </w:r>
      <w:r w:rsidRPr="00BC2ED3">
        <w:rPr>
          <w:rFonts w:ascii="Arial" w:hAnsi="Arial" w:cs="Arial"/>
          <w:i/>
          <w:iCs/>
          <w:sz w:val="22"/>
          <w:szCs w:val="22"/>
        </w:rPr>
        <w:t>Am J Public Health</w:t>
      </w:r>
      <w:r w:rsidRPr="00BC2ED3">
        <w:rPr>
          <w:rFonts w:ascii="Arial" w:hAnsi="Arial" w:cs="Arial"/>
          <w:sz w:val="22"/>
          <w:szCs w:val="22"/>
        </w:rPr>
        <w:t xml:space="preserve"> 2011; </w:t>
      </w:r>
      <w:r w:rsidRPr="00BC2ED3">
        <w:rPr>
          <w:rFonts w:ascii="Arial" w:hAnsi="Arial" w:cs="Arial"/>
          <w:b/>
          <w:bCs/>
          <w:sz w:val="22"/>
          <w:szCs w:val="22"/>
        </w:rPr>
        <w:t>101</w:t>
      </w:r>
      <w:r w:rsidRPr="00BC2ED3">
        <w:rPr>
          <w:rFonts w:ascii="Arial" w:hAnsi="Arial" w:cs="Arial"/>
          <w:sz w:val="22"/>
          <w:szCs w:val="22"/>
        </w:rPr>
        <w:t>: S37–S52.</w:t>
      </w:r>
    </w:p>
    <w:p w14:paraId="79D02877"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8 </w:t>
      </w:r>
      <w:r w:rsidRPr="00BC2ED3">
        <w:rPr>
          <w:rFonts w:ascii="Arial" w:hAnsi="Arial" w:cs="Arial"/>
          <w:sz w:val="22"/>
          <w:szCs w:val="22"/>
        </w:rPr>
        <w:tab/>
        <w:t xml:space="preserve">Lightner A, </w:t>
      </w:r>
      <w:proofErr w:type="spellStart"/>
      <w:r w:rsidRPr="00BC2ED3">
        <w:rPr>
          <w:rFonts w:ascii="Arial" w:hAnsi="Arial" w:cs="Arial"/>
          <w:sz w:val="22"/>
          <w:szCs w:val="22"/>
        </w:rPr>
        <w:t>Chiger</w:t>
      </w:r>
      <w:proofErr w:type="spellEnd"/>
      <w:r w:rsidRPr="00BC2ED3">
        <w:rPr>
          <w:rFonts w:ascii="Arial" w:hAnsi="Arial" w:cs="Arial"/>
          <w:sz w:val="22"/>
          <w:szCs w:val="22"/>
        </w:rPr>
        <w:t xml:space="preserve"> AA, Snyder L, Warren KN, </w:t>
      </w:r>
      <w:proofErr w:type="spellStart"/>
      <w:r w:rsidRPr="00BC2ED3">
        <w:rPr>
          <w:rFonts w:ascii="Arial" w:hAnsi="Arial" w:cs="Arial"/>
          <w:sz w:val="22"/>
          <w:szCs w:val="22"/>
        </w:rPr>
        <w:t>Miari</w:t>
      </w:r>
      <w:proofErr w:type="spellEnd"/>
      <w:r w:rsidRPr="00BC2ED3">
        <w:rPr>
          <w:rFonts w:ascii="Arial" w:hAnsi="Arial" w:cs="Arial"/>
          <w:sz w:val="22"/>
          <w:szCs w:val="22"/>
        </w:rPr>
        <w:t xml:space="preserve"> ES, Nixon T </w:t>
      </w:r>
      <w:r w:rsidRPr="00BC2ED3">
        <w:rPr>
          <w:rFonts w:ascii="Arial" w:hAnsi="Arial" w:cs="Arial"/>
          <w:i/>
          <w:iCs/>
          <w:sz w:val="22"/>
          <w:szCs w:val="22"/>
        </w:rPr>
        <w:t>et al.</w:t>
      </w:r>
      <w:r w:rsidRPr="00BC2ED3">
        <w:rPr>
          <w:rFonts w:ascii="Arial" w:hAnsi="Arial" w:cs="Arial"/>
          <w:sz w:val="22"/>
          <w:szCs w:val="22"/>
        </w:rPr>
        <w:t xml:space="preserve"> Community Perspectives on the Cumulative Impacts of Chemical and Non-Chemical Stressors in Southeastern Pennsylvania. </w:t>
      </w:r>
      <w:r w:rsidRPr="00BC2ED3">
        <w:rPr>
          <w:rFonts w:ascii="Arial" w:hAnsi="Arial" w:cs="Arial"/>
          <w:i/>
          <w:iCs/>
          <w:sz w:val="22"/>
          <w:szCs w:val="22"/>
        </w:rPr>
        <w:t>Environmental Justice</w:t>
      </w:r>
      <w:r w:rsidRPr="00BC2ED3">
        <w:rPr>
          <w:rFonts w:ascii="Arial" w:hAnsi="Arial" w:cs="Arial"/>
          <w:sz w:val="22"/>
          <w:szCs w:val="22"/>
        </w:rPr>
        <w:t xml:space="preserve"> 2025. doi:10.1089/env.2024.0079.</w:t>
      </w:r>
    </w:p>
    <w:p w14:paraId="41AD5E2F"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9 </w:t>
      </w:r>
      <w:r w:rsidRPr="00BC2ED3">
        <w:rPr>
          <w:rFonts w:ascii="Arial" w:hAnsi="Arial" w:cs="Arial"/>
          <w:sz w:val="22"/>
          <w:szCs w:val="22"/>
        </w:rPr>
        <w:tab/>
      </w:r>
      <w:proofErr w:type="spellStart"/>
      <w:r w:rsidRPr="00BC2ED3">
        <w:rPr>
          <w:rFonts w:ascii="Arial" w:hAnsi="Arial" w:cs="Arial"/>
          <w:sz w:val="22"/>
          <w:szCs w:val="22"/>
        </w:rPr>
        <w:t>Chiger</w:t>
      </w:r>
      <w:proofErr w:type="spellEnd"/>
      <w:r w:rsidRPr="00BC2ED3">
        <w:rPr>
          <w:rFonts w:ascii="Arial" w:hAnsi="Arial" w:cs="Arial"/>
          <w:sz w:val="22"/>
          <w:szCs w:val="22"/>
        </w:rPr>
        <w:t xml:space="preserve"> AA, Alford E, Warren KN, </w:t>
      </w:r>
      <w:proofErr w:type="spellStart"/>
      <w:r w:rsidRPr="00BC2ED3">
        <w:rPr>
          <w:rFonts w:ascii="Arial" w:hAnsi="Arial" w:cs="Arial"/>
          <w:sz w:val="22"/>
          <w:szCs w:val="22"/>
        </w:rPr>
        <w:t>Miari</w:t>
      </w:r>
      <w:proofErr w:type="spellEnd"/>
      <w:r w:rsidRPr="00BC2ED3">
        <w:rPr>
          <w:rFonts w:ascii="Arial" w:hAnsi="Arial" w:cs="Arial"/>
          <w:sz w:val="22"/>
          <w:szCs w:val="22"/>
        </w:rPr>
        <w:t xml:space="preserve"> ES, Snyder L, Nixon T </w:t>
      </w:r>
      <w:r w:rsidRPr="00BC2ED3">
        <w:rPr>
          <w:rFonts w:ascii="Arial" w:hAnsi="Arial" w:cs="Arial"/>
          <w:i/>
          <w:iCs/>
          <w:sz w:val="22"/>
          <w:szCs w:val="22"/>
        </w:rPr>
        <w:t>et al.</w:t>
      </w:r>
      <w:r w:rsidRPr="00BC2ED3">
        <w:rPr>
          <w:rFonts w:ascii="Arial" w:hAnsi="Arial" w:cs="Arial"/>
          <w:sz w:val="22"/>
          <w:szCs w:val="22"/>
        </w:rPr>
        <w:t xml:space="preserve"> Influences of Chemical and Nonchemical Stressors on Health and Quality of Life in </w:t>
      </w:r>
      <w:proofErr w:type="spellStart"/>
      <w:r w:rsidRPr="00BC2ED3">
        <w:rPr>
          <w:rFonts w:ascii="Arial" w:hAnsi="Arial" w:cs="Arial"/>
          <w:sz w:val="22"/>
          <w:szCs w:val="22"/>
        </w:rPr>
        <w:t>Fenceline</w:t>
      </w:r>
      <w:proofErr w:type="spellEnd"/>
      <w:r w:rsidRPr="00BC2ED3">
        <w:rPr>
          <w:rFonts w:ascii="Arial" w:hAnsi="Arial" w:cs="Arial"/>
          <w:sz w:val="22"/>
          <w:szCs w:val="22"/>
        </w:rPr>
        <w:t xml:space="preserve"> Communities: A Community-Based Participatory Research Survey in Southeastern Pennsylvania. </w:t>
      </w:r>
      <w:r w:rsidRPr="00BC2ED3">
        <w:rPr>
          <w:rFonts w:ascii="Arial" w:hAnsi="Arial" w:cs="Arial"/>
          <w:i/>
          <w:iCs/>
          <w:sz w:val="22"/>
          <w:szCs w:val="22"/>
        </w:rPr>
        <w:t>Environmental Justice</w:t>
      </w:r>
      <w:r w:rsidRPr="00BC2ED3">
        <w:rPr>
          <w:rFonts w:ascii="Arial" w:hAnsi="Arial" w:cs="Arial"/>
          <w:sz w:val="22"/>
          <w:szCs w:val="22"/>
        </w:rPr>
        <w:t xml:space="preserve"> 2025. doi:10.1089/env.2024.0078.</w:t>
      </w:r>
    </w:p>
    <w:p w14:paraId="3302FBC7"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10 </w:t>
      </w:r>
      <w:r w:rsidRPr="00BC2ED3">
        <w:rPr>
          <w:rFonts w:ascii="Arial" w:hAnsi="Arial" w:cs="Arial"/>
          <w:sz w:val="22"/>
          <w:szCs w:val="22"/>
        </w:rPr>
        <w:tab/>
        <w:t xml:space="preserve">Jia C, Batterman S, Godwin C. VOCs in industrial, </w:t>
      </w:r>
      <w:proofErr w:type="gramStart"/>
      <w:r w:rsidRPr="00BC2ED3">
        <w:rPr>
          <w:rFonts w:ascii="Arial" w:hAnsi="Arial" w:cs="Arial"/>
          <w:sz w:val="22"/>
          <w:szCs w:val="22"/>
        </w:rPr>
        <w:t>urban</w:t>
      </w:r>
      <w:proofErr w:type="gramEnd"/>
      <w:r w:rsidRPr="00BC2ED3">
        <w:rPr>
          <w:rFonts w:ascii="Arial" w:hAnsi="Arial" w:cs="Arial"/>
          <w:sz w:val="22"/>
          <w:szCs w:val="22"/>
        </w:rPr>
        <w:t xml:space="preserve"> and suburban neighborhoods, Part 1: Indoor and outdoor concentrations, variation, and risk drivers. </w:t>
      </w:r>
      <w:r w:rsidRPr="00BC2ED3">
        <w:rPr>
          <w:rFonts w:ascii="Arial" w:hAnsi="Arial" w:cs="Arial"/>
          <w:i/>
          <w:iCs/>
          <w:sz w:val="22"/>
          <w:szCs w:val="22"/>
        </w:rPr>
        <w:t>Atmospheric Environment</w:t>
      </w:r>
      <w:r w:rsidRPr="00BC2ED3">
        <w:rPr>
          <w:rFonts w:ascii="Arial" w:hAnsi="Arial" w:cs="Arial"/>
          <w:sz w:val="22"/>
          <w:szCs w:val="22"/>
        </w:rPr>
        <w:t xml:space="preserve"> 2008; </w:t>
      </w:r>
      <w:r w:rsidRPr="00BC2ED3">
        <w:rPr>
          <w:rFonts w:ascii="Arial" w:hAnsi="Arial" w:cs="Arial"/>
          <w:b/>
          <w:bCs/>
          <w:sz w:val="22"/>
          <w:szCs w:val="22"/>
        </w:rPr>
        <w:t>42</w:t>
      </w:r>
      <w:r w:rsidRPr="00BC2ED3">
        <w:rPr>
          <w:rFonts w:ascii="Arial" w:hAnsi="Arial" w:cs="Arial"/>
          <w:sz w:val="22"/>
          <w:szCs w:val="22"/>
        </w:rPr>
        <w:t>: 2083–2100.</w:t>
      </w:r>
    </w:p>
    <w:p w14:paraId="1481DECE"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11 </w:t>
      </w:r>
      <w:r w:rsidRPr="00BC2ED3">
        <w:rPr>
          <w:rFonts w:ascii="Arial" w:hAnsi="Arial" w:cs="Arial"/>
          <w:sz w:val="22"/>
          <w:szCs w:val="22"/>
        </w:rPr>
        <w:tab/>
        <w:t xml:space="preserve">McKeon TP, Hwang W-T, Ding Z, Tam V, </w:t>
      </w:r>
      <w:proofErr w:type="spellStart"/>
      <w:r w:rsidRPr="00BC2ED3">
        <w:rPr>
          <w:rFonts w:ascii="Arial" w:hAnsi="Arial" w:cs="Arial"/>
          <w:sz w:val="22"/>
          <w:szCs w:val="22"/>
        </w:rPr>
        <w:t>Wileyto</w:t>
      </w:r>
      <w:proofErr w:type="spellEnd"/>
      <w:r w:rsidRPr="00BC2ED3">
        <w:rPr>
          <w:rFonts w:ascii="Arial" w:hAnsi="Arial" w:cs="Arial"/>
          <w:sz w:val="22"/>
          <w:szCs w:val="22"/>
        </w:rPr>
        <w:t xml:space="preserve"> P, Glanz K </w:t>
      </w:r>
      <w:r w:rsidRPr="00BC2ED3">
        <w:rPr>
          <w:rFonts w:ascii="Arial" w:hAnsi="Arial" w:cs="Arial"/>
          <w:i/>
          <w:iCs/>
          <w:sz w:val="22"/>
          <w:szCs w:val="22"/>
        </w:rPr>
        <w:t>et al.</w:t>
      </w:r>
      <w:r w:rsidRPr="00BC2ED3">
        <w:rPr>
          <w:rFonts w:ascii="Arial" w:hAnsi="Arial" w:cs="Arial"/>
          <w:sz w:val="22"/>
          <w:szCs w:val="22"/>
        </w:rPr>
        <w:t xml:space="preserve"> Environmental </w:t>
      </w:r>
      <w:proofErr w:type="spellStart"/>
      <w:r w:rsidRPr="00BC2ED3">
        <w:rPr>
          <w:rFonts w:ascii="Arial" w:hAnsi="Arial" w:cs="Arial"/>
          <w:sz w:val="22"/>
          <w:szCs w:val="22"/>
        </w:rPr>
        <w:t>exposomics</w:t>
      </w:r>
      <w:proofErr w:type="spellEnd"/>
      <w:r w:rsidRPr="00BC2ED3">
        <w:rPr>
          <w:rFonts w:ascii="Arial" w:hAnsi="Arial" w:cs="Arial"/>
          <w:sz w:val="22"/>
          <w:szCs w:val="22"/>
        </w:rPr>
        <w:t xml:space="preserve"> and lung cancer risk assessment in the Philadelphia metropolitan area using ZIP code–level hazard indices. </w:t>
      </w:r>
      <w:r w:rsidRPr="00BC2ED3">
        <w:rPr>
          <w:rFonts w:ascii="Arial" w:hAnsi="Arial" w:cs="Arial"/>
          <w:i/>
          <w:iCs/>
          <w:sz w:val="22"/>
          <w:szCs w:val="22"/>
        </w:rPr>
        <w:t xml:space="preserve">Environ Sci </w:t>
      </w:r>
      <w:proofErr w:type="spellStart"/>
      <w:r w:rsidRPr="00BC2ED3">
        <w:rPr>
          <w:rFonts w:ascii="Arial" w:hAnsi="Arial" w:cs="Arial"/>
          <w:i/>
          <w:iCs/>
          <w:sz w:val="22"/>
          <w:szCs w:val="22"/>
        </w:rPr>
        <w:t>Pollut</w:t>
      </w:r>
      <w:proofErr w:type="spellEnd"/>
      <w:r w:rsidRPr="00BC2ED3">
        <w:rPr>
          <w:rFonts w:ascii="Arial" w:hAnsi="Arial" w:cs="Arial"/>
          <w:i/>
          <w:iCs/>
          <w:sz w:val="22"/>
          <w:szCs w:val="22"/>
        </w:rPr>
        <w:t xml:space="preserve"> Res</w:t>
      </w:r>
      <w:r w:rsidRPr="00BC2ED3">
        <w:rPr>
          <w:rFonts w:ascii="Arial" w:hAnsi="Arial" w:cs="Arial"/>
          <w:sz w:val="22"/>
          <w:szCs w:val="22"/>
        </w:rPr>
        <w:t xml:space="preserve"> 2021; </w:t>
      </w:r>
      <w:r w:rsidRPr="00BC2ED3">
        <w:rPr>
          <w:rFonts w:ascii="Arial" w:hAnsi="Arial" w:cs="Arial"/>
          <w:b/>
          <w:bCs/>
          <w:sz w:val="22"/>
          <w:szCs w:val="22"/>
        </w:rPr>
        <w:t>28</w:t>
      </w:r>
      <w:r w:rsidRPr="00BC2ED3">
        <w:rPr>
          <w:rFonts w:ascii="Arial" w:hAnsi="Arial" w:cs="Arial"/>
          <w:sz w:val="22"/>
          <w:szCs w:val="22"/>
        </w:rPr>
        <w:t>: 31758–31769.</w:t>
      </w:r>
    </w:p>
    <w:p w14:paraId="554D52AF"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12 </w:t>
      </w:r>
      <w:r w:rsidRPr="00BC2ED3">
        <w:rPr>
          <w:rFonts w:ascii="Arial" w:hAnsi="Arial" w:cs="Arial"/>
          <w:sz w:val="22"/>
          <w:szCs w:val="22"/>
        </w:rPr>
        <w:tab/>
        <w:t xml:space="preserve">Southerland V, </w:t>
      </w:r>
      <w:proofErr w:type="spellStart"/>
      <w:r w:rsidRPr="00BC2ED3">
        <w:rPr>
          <w:rFonts w:ascii="Arial" w:hAnsi="Arial" w:cs="Arial"/>
          <w:sz w:val="22"/>
          <w:szCs w:val="22"/>
        </w:rPr>
        <w:t>Zota</w:t>
      </w:r>
      <w:proofErr w:type="spellEnd"/>
      <w:r w:rsidRPr="00BC2ED3">
        <w:rPr>
          <w:rFonts w:ascii="Arial" w:hAnsi="Arial" w:cs="Arial"/>
          <w:sz w:val="22"/>
          <w:szCs w:val="22"/>
        </w:rPr>
        <w:t xml:space="preserve"> AR, </w:t>
      </w:r>
      <w:proofErr w:type="spellStart"/>
      <w:r w:rsidRPr="00BC2ED3">
        <w:rPr>
          <w:rFonts w:ascii="Arial" w:hAnsi="Arial" w:cs="Arial"/>
          <w:sz w:val="22"/>
          <w:szCs w:val="22"/>
        </w:rPr>
        <w:t>Parasram</w:t>
      </w:r>
      <w:proofErr w:type="spellEnd"/>
      <w:r w:rsidRPr="00BC2ED3">
        <w:rPr>
          <w:rFonts w:ascii="Arial" w:hAnsi="Arial" w:cs="Arial"/>
          <w:sz w:val="22"/>
          <w:szCs w:val="22"/>
        </w:rPr>
        <w:t xml:space="preserve"> V, Alvarez C, Clement M, </w:t>
      </w:r>
      <w:proofErr w:type="spellStart"/>
      <w:r w:rsidRPr="00BC2ED3">
        <w:rPr>
          <w:rFonts w:ascii="Arial" w:hAnsi="Arial" w:cs="Arial"/>
          <w:sz w:val="22"/>
          <w:szCs w:val="22"/>
        </w:rPr>
        <w:t>Anenberg</w:t>
      </w:r>
      <w:proofErr w:type="spellEnd"/>
      <w:r w:rsidRPr="00BC2ED3">
        <w:rPr>
          <w:rFonts w:ascii="Arial" w:hAnsi="Arial" w:cs="Arial"/>
          <w:sz w:val="22"/>
          <w:szCs w:val="22"/>
        </w:rPr>
        <w:t xml:space="preserve"> S. Temporal trends in sociodemographic composition and land development within U.S. </w:t>
      </w:r>
      <w:proofErr w:type="spellStart"/>
      <w:r w:rsidRPr="00BC2ED3">
        <w:rPr>
          <w:rFonts w:ascii="Arial" w:hAnsi="Arial" w:cs="Arial"/>
          <w:sz w:val="22"/>
          <w:szCs w:val="22"/>
        </w:rPr>
        <w:t>fenceline</w:t>
      </w:r>
      <w:proofErr w:type="spellEnd"/>
      <w:r w:rsidRPr="00BC2ED3">
        <w:rPr>
          <w:rFonts w:ascii="Arial" w:hAnsi="Arial" w:cs="Arial"/>
          <w:sz w:val="22"/>
          <w:szCs w:val="22"/>
        </w:rPr>
        <w:t xml:space="preserve"> communities surrounding hazardous industrial facilities: 2001–2019. </w:t>
      </w:r>
      <w:r w:rsidRPr="00BC2ED3">
        <w:rPr>
          <w:rFonts w:ascii="Arial" w:hAnsi="Arial" w:cs="Arial"/>
          <w:i/>
          <w:iCs/>
          <w:sz w:val="22"/>
          <w:szCs w:val="22"/>
        </w:rPr>
        <w:t>Environ Res Lett</w:t>
      </w:r>
      <w:r w:rsidRPr="00BC2ED3">
        <w:rPr>
          <w:rFonts w:ascii="Arial" w:hAnsi="Arial" w:cs="Arial"/>
          <w:sz w:val="22"/>
          <w:szCs w:val="22"/>
        </w:rPr>
        <w:t xml:space="preserve"> 2023; </w:t>
      </w:r>
      <w:r w:rsidRPr="00BC2ED3">
        <w:rPr>
          <w:rFonts w:ascii="Arial" w:hAnsi="Arial" w:cs="Arial"/>
          <w:b/>
          <w:bCs/>
          <w:sz w:val="22"/>
          <w:szCs w:val="22"/>
        </w:rPr>
        <w:t>18</w:t>
      </w:r>
      <w:r w:rsidRPr="00BC2ED3">
        <w:rPr>
          <w:rFonts w:ascii="Arial" w:hAnsi="Arial" w:cs="Arial"/>
          <w:sz w:val="22"/>
          <w:szCs w:val="22"/>
        </w:rPr>
        <w:t>: 114042.</w:t>
      </w:r>
    </w:p>
    <w:p w14:paraId="1269F937"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13 </w:t>
      </w:r>
      <w:r w:rsidRPr="00BC2ED3">
        <w:rPr>
          <w:rFonts w:ascii="Arial" w:hAnsi="Arial" w:cs="Arial"/>
          <w:sz w:val="22"/>
          <w:szCs w:val="22"/>
        </w:rPr>
        <w:tab/>
        <w:t>Hein C. Refineries (Oil). Encyclopedia of Greater Philadelphia. 2016.https://philadelphiaencyclopedia.org/essays/refineries-oil/ (accessed 8 Jan2026).</w:t>
      </w:r>
    </w:p>
    <w:p w14:paraId="068A6D34"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14 </w:t>
      </w:r>
      <w:r w:rsidRPr="00BC2ED3">
        <w:rPr>
          <w:rFonts w:ascii="Arial" w:hAnsi="Arial" w:cs="Arial"/>
          <w:sz w:val="22"/>
          <w:szCs w:val="22"/>
        </w:rPr>
        <w:tab/>
        <w:t xml:space="preserve">Hurdle J. </w:t>
      </w:r>
      <w:proofErr w:type="spellStart"/>
      <w:r w:rsidRPr="00BC2ED3">
        <w:rPr>
          <w:rFonts w:ascii="Arial" w:hAnsi="Arial" w:cs="Arial"/>
          <w:sz w:val="22"/>
          <w:szCs w:val="22"/>
        </w:rPr>
        <w:t>Fenceline</w:t>
      </w:r>
      <w:proofErr w:type="spellEnd"/>
      <w:r w:rsidRPr="00BC2ED3">
        <w:rPr>
          <w:rFonts w:ascii="Arial" w:hAnsi="Arial" w:cs="Arial"/>
          <w:sz w:val="22"/>
          <w:szCs w:val="22"/>
        </w:rPr>
        <w:t xml:space="preserve"> Risk and Environmental Justice in South and Southwest Philadelphia. 2025.https://petrodelphia.org/about.html.</w:t>
      </w:r>
    </w:p>
    <w:p w14:paraId="078C1C8A"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15 </w:t>
      </w:r>
      <w:r w:rsidRPr="00BC2ED3">
        <w:rPr>
          <w:rFonts w:ascii="Arial" w:hAnsi="Arial" w:cs="Arial"/>
          <w:sz w:val="22"/>
          <w:szCs w:val="22"/>
        </w:rPr>
        <w:tab/>
      </w:r>
      <w:proofErr w:type="spellStart"/>
      <w:r w:rsidRPr="00BC2ED3">
        <w:rPr>
          <w:rFonts w:ascii="Arial" w:hAnsi="Arial" w:cs="Arial"/>
          <w:sz w:val="22"/>
          <w:szCs w:val="22"/>
        </w:rPr>
        <w:t>Mukerjee</w:t>
      </w:r>
      <w:proofErr w:type="spellEnd"/>
      <w:r w:rsidRPr="00BC2ED3">
        <w:rPr>
          <w:rFonts w:ascii="Arial" w:hAnsi="Arial" w:cs="Arial"/>
          <w:sz w:val="22"/>
          <w:szCs w:val="22"/>
        </w:rPr>
        <w:t xml:space="preserve"> S, Smith LA, </w:t>
      </w:r>
      <w:proofErr w:type="spellStart"/>
      <w:r w:rsidRPr="00BC2ED3">
        <w:rPr>
          <w:rFonts w:ascii="Arial" w:hAnsi="Arial" w:cs="Arial"/>
          <w:sz w:val="22"/>
          <w:szCs w:val="22"/>
        </w:rPr>
        <w:t>Thoma</w:t>
      </w:r>
      <w:proofErr w:type="spellEnd"/>
      <w:r w:rsidRPr="00BC2ED3">
        <w:rPr>
          <w:rFonts w:ascii="Arial" w:hAnsi="Arial" w:cs="Arial"/>
          <w:sz w:val="22"/>
          <w:szCs w:val="22"/>
        </w:rPr>
        <w:t xml:space="preserve"> ED, Oliver KD, Whitaker DA, Wu T </w:t>
      </w:r>
      <w:r w:rsidRPr="00BC2ED3">
        <w:rPr>
          <w:rFonts w:ascii="Arial" w:hAnsi="Arial" w:cs="Arial"/>
          <w:i/>
          <w:iCs/>
          <w:sz w:val="22"/>
          <w:szCs w:val="22"/>
        </w:rPr>
        <w:t>et al.</w:t>
      </w:r>
      <w:r w:rsidRPr="00BC2ED3">
        <w:rPr>
          <w:rFonts w:ascii="Arial" w:hAnsi="Arial" w:cs="Arial"/>
          <w:sz w:val="22"/>
          <w:szCs w:val="22"/>
        </w:rPr>
        <w:t xml:space="preserve"> Spatial analysis of volatile organic compounds in South Philadelphia using passive samplers. </w:t>
      </w:r>
      <w:r w:rsidRPr="00BC2ED3">
        <w:rPr>
          <w:rFonts w:ascii="Arial" w:hAnsi="Arial" w:cs="Arial"/>
          <w:i/>
          <w:iCs/>
          <w:sz w:val="22"/>
          <w:szCs w:val="22"/>
        </w:rPr>
        <w:t xml:space="preserve">J Air Waste </w:t>
      </w:r>
      <w:proofErr w:type="spellStart"/>
      <w:r w:rsidRPr="00BC2ED3">
        <w:rPr>
          <w:rFonts w:ascii="Arial" w:hAnsi="Arial" w:cs="Arial"/>
          <w:i/>
          <w:iCs/>
          <w:sz w:val="22"/>
          <w:szCs w:val="22"/>
        </w:rPr>
        <w:t>Manag</w:t>
      </w:r>
      <w:proofErr w:type="spellEnd"/>
      <w:r w:rsidRPr="00BC2ED3">
        <w:rPr>
          <w:rFonts w:ascii="Arial" w:hAnsi="Arial" w:cs="Arial"/>
          <w:i/>
          <w:iCs/>
          <w:sz w:val="22"/>
          <w:szCs w:val="22"/>
        </w:rPr>
        <w:t xml:space="preserve"> Assoc</w:t>
      </w:r>
      <w:r w:rsidRPr="00BC2ED3">
        <w:rPr>
          <w:rFonts w:ascii="Arial" w:hAnsi="Arial" w:cs="Arial"/>
          <w:sz w:val="22"/>
          <w:szCs w:val="22"/>
        </w:rPr>
        <w:t xml:space="preserve"> 2016; </w:t>
      </w:r>
      <w:r w:rsidRPr="00BC2ED3">
        <w:rPr>
          <w:rFonts w:ascii="Arial" w:hAnsi="Arial" w:cs="Arial"/>
          <w:b/>
          <w:bCs/>
          <w:sz w:val="22"/>
          <w:szCs w:val="22"/>
        </w:rPr>
        <w:t>66</w:t>
      </w:r>
      <w:r w:rsidRPr="00BC2ED3">
        <w:rPr>
          <w:rFonts w:ascii="Arial" w:hAnsi="Arial" w:cs="Arial"/>
          <w:sz w:val="22"/>
          <w:szCs w:val="22"/>
        </w:rPr>
        <w:t>: 492–498.</w:t>
      </w:r>
    </w:p>
    <w:p w14:paraId="252F99E6"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16 </w:t>
      </w:r>
      <w:r w:rsidRPr="00BC2ED3">
        <w:rPr>
          <w:rFonts w:ascii="Arial" w:hAnsi="Arial" w:cs="Arial"/>
          <w:sz w:val="22"/>
          <w:szCs w:val="22"/>
        </w:rPr>
        <w:tab/>
      </w:r>
      <w:proofErr w:type="spellStart"/>
      <w:r w:rsidRPr="00BC2ED3">
        <w:rPr>
          <w:rFonts w:ascii="Arial" w:hAnsi="Arial" w:cs="Arial"/>
          <w:sz w:val="22"/>
          <w:szCs w:val="22"/>
        </w:rPr>
        <w:t>Thoma</w:t>
      </w:r>
      <w:proofErr w:type="spellEnd"/>
      <w:r w:rsidRPr="00BC2ED3">
        <w:rPr>
          <w:rFonts w:ascii="Arial" w:hAnsi="Arial" w:cs="Arial"/>
          <w:sz w:val="22"/>
          <w:szCs w:val="22"/>
        </w:rPr>
        <w:t xml:space="preserve"> ED, Brantley HL, Oliver KD, Whitaker DA, </w:t>
      </w:r>
      <w:proofErr w:type="spellStart"/>
      <w:r w:rsidRPr="00BC2ED3">
        <w:rPr>
          <w:rFonts w:ascii="Arial" w:hAnsi="Arial" w:cs="Arial"/>
          <w:sz w:val="22"/>
          <w:szCs w:val="22"/>
        </w:rPr>
        <w:t>Mukerjee</w:t>
      </w:r>
      <w:proofErr w:type="spellEnd"/>
      <w:r w:rsidRPr="00BC2ED3">
        <w:rPr>
          <w:rFonts w:ascii="Arial" w:hAnsi="Arial" w:cs="Arial"/>
          <w:sz w:val="22"/>
          <w:szCs w:val="22"/>
        </w:rPr>
        <w:t xml:space="preserve"> S, Mitchell B </w:t>
      </w:r>
      <w:r w:rsidRPr="00BC2ED3">
        <w:rPr>
          <w:rFonts w:ascii="Arial" w:hAnsi="Arial" w:cs="Arial"/>
          <w:i/>
          <w:iCs/>
          <w:sz w:val="22"/>
          <w:szCs w:val="22"/>
        </w:rPr>
        <w:t>et al.</w:t>
      </w:r>
      <w:r w:rsidRPr="00BC2ED3">
        <w:rPr>
          <w:rFonts w:ascii="Arial" w:hAnsi="Arial" w:cs="Arial"/>
          <w:sz w:val="22"/>
          <w:szCs w:val="22"/>
        </w:rPr>
        <w:t xml:space="preserve"> South Philadelphia passive sampler and sensor study. </w:t>
      </w:r>
      <w:r w:rsidRPr="00BC2ED3">
        <w:rPr>
          <w:rFonts w:ascii="Arial" w:hAnsi="Arial" w:cs="Arial"/>
          <w:i/>
          <w:iCs/>
          <w:sz w:val="22"/>
          <w:szCs w:val="22"/>
        </w:rPr>
        <w:t>Journal of the Air &amp; Waste Management Association</w:t>
      </w:r>
      <w:r w:rsidRPr="00BC2ED3">
        <w:rPr>
          <w:rFonts w:ascii="Arial" w:hAnsi="Arial" w:cs="Arial"/>
          <w:sz w:val="22"/>
          <w:szCs w:val="22"/>
        </w:rPr>
        <w:t xml:space="preserve"> 2016; </w:t>
      </w:r>
      <w:r w:rsidRPr="00BC2ED3">
        <w:rPr>
          <w:rFonts w:ascii="Arial" w:hAnsi="Arial" w:cs="Arial"/>
          <w:b/>
          <w:bCs/>
          <w:sz w:val="22"/>
          <w:szCs w:val="22"/>
        </w:rPr>
        <w:t>66</w:t>
      </w:r>
      <w:r w:rsidRPr="00BC2ED3">
        <w:rPr>
          <w:rFonts w:ascii="Arial" w:hAnsi="Arial" w:cs="Arial"/>
          <w:sz w:val="22"/>
          <w:szCs w:val="22"/>
        </w:rPr>
        <w:t>: 959–970.</w:t>
      </w:r>
    </w:p>
    <w:p w14:paraId="2E2FD623"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17 </w:t>
      </w:r>
      <w:r w:rsidRPr="00BC2ED3">
        <w:rPr>
          <w:rFonts w:ascii="Arial" w:hAnsi="Arial" w:cs="Arial"/>
          <w:sz w:val="22"/>
          <w:szCs w:val="22"/>
        </w:rPr>
        <w:tab/>
        <w:t>Petroleum Refinery Sector Risk and Technology Review and New Source Performance Standards. 2015.</w:t>
      </w:r>
    </w:p>
    <w:p w14:paraId="7C36BE6C"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18 </w:t>
      </w:r>
      <w:r w:rsidRPr="00BC2ED3">
        <w:rPr>
          <w:rFonts w:ascii="Arial" w:hAnsi="Arial" w:cs="Arial"/>
          <w:sz w:val="22"/>
          <w:szCs w:val="22"/>
        </w:rPr>
        <w:tab/>
        <w:t>Nearly Half of U.S. Refineries Releasing Benzene at Levels That Could Pose a Long-Term Health Threat. Environmental Integrity. 2022.https://environmentalintegrity.org/news/nearly-half-of-u-s-refineries-releasing-benzene-at-levels-that-could-pose-a-long-term-health-threat/ (accessed 8 Jan2026).</w:t>
      </w:r>
    </w:p>
    <w:p w14:paraId="5B3440E6"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19 </w:t>
      </w:r>
      <w:r w:rsidRPr="00BC2ED3">
        <w:rPr>
          <w:rFonts w:ascii="Arial" w:hAnsi="Arial" w:cs="Arial"/>
          <w:sz w:val="22"/>
          <w:szCs w:val="22"/>
        </w:rPr>
        <w:tab/>
      </w:r>
      <w:proofErr w:type="spellStart"/>
      <w:r w:rsidRPr="00BC2ED3">
        <w:rPr>
          <w:rFonts w:ascii="Arial" w:hAnsi="Arial" w:cs="Arial"/>
          <w:sz w:val="22"/>
          <w:szCs w:val="22"/>
        </w:rPr>
        <w:t>Fenceline</w:t>
      </w:r>
      <w:proofErr w:type="spellEnd"/>
      <w:r w:rsidRPr="00BC2ED3">
        <w:rPr>
          <w:rFonts w:ascii="Arial" w:hAnsi="Arial" w:cs="Arial"/>
          <w:sz w:val="22"/>
          <w:szCs w:val="22"/>
        </w:rPr>
        <w:t xml:space="preserve"> monitoring provisions. 2015.</w:t>
      </w:r>
    </w:p>
    <w:p w14:paraId="7EAAA792"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20 </w:t>
      </w:r>
      <w:r w:rsidRPr="00BC2ED3">
        <w:rPr>
          <w:rFonts w:ascii="Arial" w:hAnsi="Arial" w:cs="Arial"/>
          <w:sz w:val="22"/>
          <w:szCs w:val="22"/>
        </w:rPr>
        <w:tab/>
        <w:t>Philly Thrive. https://www.phillythrive.org/ (accessed 14 Nov2025).</w:t>
      </w:r>
    </w:p>
    <w:p w14:paraId="73EB7B14"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21 </w:t>
      </w:r>
      <w:r w:rsidRPr="00BC2ED3">
        <w:rPr>
          <w:rFonts w:ascii="Arial" w:hAnsi="Arial" w:cs="Arial"/>
          <w:sz w:val="22"/>
          <w:szCs w:val="22"/>
        </w:rPr>
        <w:tab/>
        <w:t xml:space="preserve">Rose N, Cowie C, Gillett R, Marks GB. Weighted road density: A simple way of assigning traffic-related air pollution exposure. </w:t>
      </w:r>
      <w:r w:rsidRPr="00BC2ED3">
        <w:rPr>
          <w:rFonts w:ascii="Arial" w:hAnsi="Arial" w:cs="Arial"/>
          <w:i/>
          <w:iCs/>
          <w:sz w:val="22"/>
          <w:szCs w:val="22"/>
        </w:rPr>
        <w:t>Atmospheric Environment</w:t>
      </w:r>
      <w:r w:rsidRPr="00BC2ED3">
        <w:rPr>
          <w:rFonts w:ascii="Arial" w:hAnsi="Arial" w:cs="Arial"/>
          <w:sz w:val="22"/>
          <w:szCs w:val="22"/>
        </w:rPr>
        <w:t xml:space="preserve"> 2009; </w:t>
      </w:r>
      <w:r w:rsidRPr="00BC2ED3">
        <w:rPr>
          <w:rFonts w:ascii="Arial" w:hAnsi="Arial" w:cs="Arial"/>
          <w:b/>
          <w:bCs/>
          <w:sz w:val="22"/>
          <w:szCs w:val="22"/>
        </w:rPr>
        <w:t>43</w:t>
      </w:r>
      <w:r w:rsidRPr="00BC2ED3">
        <w:rPr>
          <w:rFonts w:ascii="Arial" w:hAnsi="Arial" w:cs="Arial"/>
          <w:sz w:val="22"/>
          <w:szCs w:val="22"/>
        </w:rPr>
        <w:t>: 5009–5014.</w:t>
      </w:r>
    </w:p>
    <w:p w14:paraId="2BDDB5D0"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22 </w:t>
      </w:r>
      <w:r w:rsidRPr="00BC2ED3">
        <w:rPr>
          <w:rFonts w:ascii="Arial" w:hAnsi="Arial" w:cs="Arial"/>
          <w:sz w:val="22"/>
          <w:szCs w:val="22"/>
        </w:rPr>
        <w:tab/>
        <w:t>Open Data Philly. Philadelphia Land Use. https://opendataphilly.org/datasets/land-use/ (accessed 3 Nov2025).</w:t>
      </w:r>
    </w:p>
    <w:p w14:paraId="7394B6AA"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23 </w:t>
      </w:r>
      <w:r w:rsidRPr="00BC2ED3">
        <w:rPr>
          <w:rFonts w:ascii="Arial" w:hAnsi="Arial" w:cs="Arial"/>
          <w:sz w:val="22"/>
          <w:szCs w:val="22"/>
        </w:rPr>
        <w:tab/>
        <w:t xml:space="preserve">Miller DD, </w:t>
      </w:r>
      <w:proofErr w:type="spellStart"/>
      <w:r w:rsidRPr="00BC2ED3">
        <w:rPr>
          <w:rFonts w:ascii="Arial" w:hAnsi="Arial" w:cs="Arial"/>
          <w:sz w:val="22"/>
          <w:szCs w:val="22"/>
        </w:rPr>
        <w:t>Bajracharya</w:t>
      </w:r>
      <w:proofErr w:type="spellEnd"/>
      <w:r w:rsidRPr="00BC2ED3">
        <w:rPr>
          <w:rFonts w:ascii="Arial" w:hAnsi="Arial" w:cs="Arial"/>
          <w:sz w:val="22"/>
          <w:szCs w:val="22"/>
        </w:rPr>
        <w:t xml:space="preserve"> A, Dickinson GN, Durbin TA, McGarry JKP, Moser EP </w:t>
      </w:r>
      <w:r w:rsidRPr="00BC2ED3">
        <w:rPr>
          <w:rFonts w:ascii="Arial" w:hAnsi="Arial" w:cs="Arial"/>
          <w:i/>
          <w:iCs/>
          <w:sz w:val="22"/>
          <w:szCs w:val="22"/>
        </w:rPr>
        <w:t>et al.</w:t>
      </w:r>
      <w:r w:rsidRPr="00BC2ED3">
        <w:rPr>
          <w:rFonts w:ascii="Arial" w:hAnsi="Arial" w:cs="Arial"/>
          <w:sz w:val="22"/>
          <w:szCs w:val="22"/>
        </w:rPr>
        <w:t xml:space="preserve"> Diffusive uptake rates for passive air sampling: Application to volatile organic compound exposure during FIREX-AQ campaign. </w:t>
      </w:r>
      <w:r w:rsidRPr="00BC2ED3">
        <w:rPr>
          <w:rFonts w:ascii="Arial" w:hAnsi="Arial" w:cs="Arial"/>
          <w:i/>
          <w:iCs/>
          <w:sz w:val="22"/>
          <w:szCs w:val="22"/>
        </w:rPr>
        <w:t>Chemosphere</w:t>
      </w:r>
      <w:r w:rsidRPr="00BC2ED3">
        <w:rPr>
          <w:rFonts w:ascii="Arial" w:hAnsi="Arial" w:cs="Arial"/>
          <w:sz w:val="22"/>
          <w:szCs w:val="22"/>
        </w:rPr>
        <w:t xml:space="preserve"> 2022; </w:t>
      </w:r>
      <w:r w:rsidRPr="00BC2ED3">
        <w:rPr>
          <w:rFonts w:ascii="Arial" w:hAnsi="Arial" w:cs="Arial"/>
          <w:b/>
          <w:bCs/>
          <w:sz w:val="22"/>
          <w:szCs w:val="22"/>
        </w:rPr>
        <w:t>287</w:t>
      </w:r>
      <w:r w:rsidRPr="00BC2ED3">
        <w:rPr>
          <w:rFonts w:ascii="Arial" w:hAnsi="Arial" w:cs="Arial"/>
          <w:sz w:val="22"/>
          <w:szCs w:val="22"/>
        </w:rPr>
        <w:t>: 131808.</w:t>
      </w:r>
    </w:p>
    <w:p w14:paraId="2B308A40"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24 </w:t>
      </w:r>
      <w:r w:rsidRPr="00BC2ED3">
        <w:rPr>
          <w:rFonts w:ascii="Arial" w:hAnsi="Arial" w:cs="Arial"/>
          <w:sz w:val="22"/>
          <w:szCs w:val="22"/>
        </w:rPr>
        <w:tab/>
        <w:t xml:space="preserve">Dickinson GN, Miller DD, </w:t>
      </w:r>
      <w:proofErr w:type="spellStart"/>
      <w:r w:rsidRPr="00BC2ED3">
        <w:rPr>
          <w:rFonts w:ascii="Arial" w:hAnsi="Arial" w:cs="Arial"/>
          <w:sz w:val="22"/>
          <w:szCs w:val="22"/>
        </w:rPr>
        <w:t>Bajracharya</w:t>
      </w:r>
      <w:proofErr w:type="spellEnd"/>
      <w:r w:rsidRPr="00BC2ED3">
        <w:rPr>
          <w:rFonts w:ascii="Arial" w:hAnsi="Arial" w:cs="Arial"/>
          <w:sz w:val="22"/>
          <w:szCs w:val="22"/>
        </w:rPr>
        <w:t xml:space="preserve"> A, </w:t>
      </w:r>
      <w:proofErr w:type="spellStart"/>
      <w:r w:rsidRPr="00BC2ED3">
        <w:rPr>
          <w:rFonts w:ascii="Arial" w:hAnsi="Arial" w:cs="Arial"/>
          <w:sz w:val="22"/>
          <w:szCs w:val="22"/>
        </w:rPr>
        <w:t>Bruchard</w:t>
      </w:r>
      <w:proofErr w:type="spellEnd"/>
      <w:r w:rsidRPr="00BC2ED3">
        <w:rPr>
          <w:rFonts w:ascii="Arial" w:hAnsi="Arial" w:cs="Arial"/>
          <w:sz w:val="22"/>
          <w:szCs w:val="22"/>
        </w:rPr>
        <w:t xml:space="preserve"> W, Durbin TA, McGarry JKP </w:t>
      </w:r>
      <w:r w:rsidRPr="00BC2ED3">
        <w:rPr>
          <w:rFonts w:ascii="Arial" w:hAnsi="Arial" w:cs="Arial"/>
          <w:i/>
          <w:iCs/>
          <w:sz w:val="22"/>
          <w:szCs w:val="22"/>
        </w:rPr>
        <w:t>et al.</w:t>
      </w:r>
      <w:r w:rsidRPr="00BC2ED3">
        <w:rPr>
          <w:rFonts w:ascii="Arial" w:hAnsi="Arial" w:cs="Arial"/>
          <w:sz w:val="22"/>
          <w:szCs w:val="22"/>
        </w:rPr>
        <w:t xml:space="preserve"> Health Risk Implications of Volatile Organic Compounds in Wildfire Smoke During the 2019 FIREX-AQ Campaign and Beyond. </w:t>
      </w:r>
      <w:proofErr w:type="spellStart"/>
      <w:r w:rsidRPr="00BC2ED3">
        <w:rPr>
          <w:rFonts w:ascii="Arial" w:hAnsi="Arial" w:cs="Arial"/>
          <w:i/>
          <w:iCs/>
          <w:sz w:val="22"/>
          <w:szCs w:val="22"/>
        </w:rPr>
        <w:t>GeoHealth</w:t>
      </w:r>
      <w:proofErr w:type="spellEnd"/>
      <w:r w:rsidRPr="00BC2ED3">
        <w:rPr>
          <w:rFonts w:ascii="Arial" w:hAnsi="Arial" w:cs="Arial"/>
          <w:sz w:val="22"/>
          <w:szCs w:val="22"/>
        </w:rPr>
        <w:t xml:space="preserve"> 2022; </w:t>
      </w:r>
      <w:r w:rsidRPr="00BC2ED3">
        <w:rPr>
          <w:rFonts w:ascii="Arial" w:hAnsi="Arial" w:cs="Arial"/>
          <w:b/>
          <w:bCs/>
          <w:sz w:val="22"/>
          <w:szCs w:val="22"/>
        </w:rPr>
        <w:t>6</w:t>
      </w:r>
      <w:r w:rsidRPr="00BC2ED3">
        <w:rPr>
          <w:rFonts w:ascii="Arial" w:hAnsi="Arial" w:cs="Arial"/>
          <w:sz w:val="22"/>
          <w:szCs w:val="22"/>
        </w:rPr>
        <w:t>: e2021GH000546.</w:t>
      </w:r>
    </w:p>
    <w:p w14:paraId="003481B6"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25 </w:t>
      </w:r>
      <w:r w:rsidRPr="00BC2ED3">
        <w:rPr>
          <w:rFonts w:ascii="Arial" w:hAnsi="Arial" w:cs="Arial"/>
          <w:sz w:val="22"/>
          <w:szCs w:val="22"/>
        </w:rPr>
        <w:tab/>
        <w:t>Lee K, Yanagisawa Y, Spengler JD. ASSESSMENT OF PRECISION OF A PASSIVE SAMPLER BY DUPLICATE MEASUREMENTS</w:t>
      </w:r>
      <w:proofErr w:type="gramStart"/>
      <w:r w:rsidRPr="00BC2ED3">
        <w:rPr>
          <w:rFonts w:ascii="Arial" w:hAnsi="Arial" w:cs="Arial"/>
          <w:sz w:val="22"/>
          <w:szCs w:val="22"/>
        </w:rPr>
        <w:t>. .</w:t>
      </w:r>
      <w:proofErr w:type="gramEnd"/>
    </w:p>
    <w:p w14:paraId="7960C907"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26 </w:t>
      </w:r>
      <w:r w:rsidRPr="00BC2ED3">
        <w:rPr>
          <w:rFonts w:ascii="Arial" w:hAnsi="Arial" w:cs="Arial"/>
          <w:sz w:val="22"/>
          <w:szCs w:val="22"/>
        </w:rPr>
        <w:tab/>
        <w:t xml:space="preserve">Nelson PF, Quigley SM. The </w:t>
      </w:r>
      <w:proofErr w:type="spellStart"/>
      <w:proofErr w:type="gramStart"/>
      <w:r w:rsidRPr="00BC2ED3">
        <w:rPr>
          <w:rFonts w:ascii="Arial" w:hAnsi="Arial" w:cs="Arial"/>
          <w:sz w:val="22"/>
          <w:szCs w:val="22"/>
        </w:rPr>
        <w:t>m,p</w:t>
      </w:r>
      <w:proofErr w:type="gramEnd"/>
      <w:r w:rsidRPr="00BC2ED3">
        <w:rPr>
          <w:rFonts w:ascii="Arial" w:hAnsi="Arial" w:cs="Arial"/>
          <w:sz w:val="22"/>
          <w:szCs w:val="22"/>
        </w:rPr>
        <w:t>-xylenes:ethylbenzene</w:t>
      </w:r>
      <w:proofErr w:type="spellEnd"/>
      <w:r w:rsidRPr="00BC2ED3">
        <w:rPr>
          <w:rFonts w:ascii="Arial" w:hAnsi="Arial" w:cs="Arial"/>
          <w:sz w:val="22"/>
          <w:szCs w:val="22"/>
        </w:rPr>
        <w:t xml:space="preserve"> ratio. A technique for estimating hydrocarbon age in ambient atmospheres. </w:t>
      </w:r>
      <w:r w:rsidRPr="00BC2ED3">
        <w:rPr>
          <w:rFonts w:ascii="Arial" w:hAnsi="Arial" w:cs="Arial"/>
          <w:i/>
          <w:iCs/>
          <w:sz w:val="22"/>
          <w:szCs w:val="22"/>
        </w:rPr>
        <w:t>Atmospheric Environment (1967)</w:t>
      </w:r>
      <w:r w:rsidRPr="00BC2ED3">
        <w:rPr>
          <w:rFonts w:ascii="Arial" w:hAnsi="Arial" w:cs="Arial"/>
          <w:sz w:val="22"/>
          <w:szCs w:val="22"/>
        </w:rPr>
        <w:t xml:space="preserve"> 1983; </w:t>
      </w:r>
      <w:r w:rsidRPr="00BC2ED3">
        <w:rPr>
          <w:rFonts w:ascii="Arial" w:hAnsi="Arial" w:cs="Arial"/>
          <w:b/>
          <w:bCs/>
          <w:sz w:val="22"/>
          <w:szCs w:val="22"/>
        </w:rPr>
        <w:t>17</w:t>
      </w:r>
      <w:r w:rsidRPr="00BC2ED3">
        <w:rPr>
          <w:rFonts w:ascii="Arial" w:hAnsi="Arial" w:cs="Arial"/>
          <w:sz w:val="22"/>
          <w:szCs w:val="22"/>
        </w:rPr>
        <w:t>: 659–662.</w:t>
      </w:r>
    </w:p>
    <w:p w14:paraId="110D0E4E"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27 </w:t>
      </w:r>
      <w:r w:rsidRPr="00BC2ED3">
        <w:rPr>
          <w:rFonts w:ascii="Arial" w:hAnsi="Arial" w:cs="Arial"/>
          <w:sz w:val="22"/>
          <w:szCs w:val="22"/>
        </w:rPr>
        <w:tab/>
      </w:r>
      <w:proofErr w:type="spellStart"/>
      <w:r w:rsidRPr="00BC2ED3">
        <w:rPr>
          <w:rFonts w:ascii="Arial" w:hAnsi="Arial" w:cs="Arial"/>
          <w:sz w:val="22"/>
          <w:szCs w:val="22"/>
        </w:rPr>
        <w:t>Bretón</w:t>
      </w:r>
      <w:proofErr w:type="spellEnd"/>
      <w:r w:rsidRPr="00BC2ED3">
        <w:rPr>
          <w:rFonts w:ascii="Arial" w:hAnsi="Arial" w:cs="Arial"/>
          <w:sz w:val="22"/>
          <w:szCs w:val="22"/>
        </w:rPr>
        <w:t xml:space="preserve"> JGC, </w:t>
      </w:r>
      <w:proofErr w:type="spellStart"/>
      <w:r w:rsidRPr="00BC2ED3">
        <w:rPr>
          <w:rFonts w:ascii="Arial" w:hAnsi="Arial" w:cs="Arial"/>
          <w:sz w:val="22"/>
          <w:szCs w:val="22"/>
        </w:rPr>
        <w:t>Bretón</w:t>
      </w:r>
      <w:proofErr w:type="spellEnd"/>
      <w:r w:rsidRPr="00BC2ED3">
        <w:rPr>
          <w:rFonts w:ascii="Arial" w:hAnsi="Arial" w:cs="Arial"/>
          <w:sz w:val="22"/>
          <w:szCs w:val="22"/>
        </w:rPr>
        <w:t xml:space="preserve"> RMC, </w:t>
      </w:r>
      <w:proofErr w:type="spellStart"/>
      <w:r w:rsidRPr="00BC2ED3">
        <w:rPr>
          <w:rFonts w:ascii="Arial" w:hAnsi="Arial" w:cs="Arial"/>
          <w:sz w:val="22"/>
          <w:szCs w:val="22"/>
        </w:rPr>
        <w:t>Ucan</w:t>
      </w:r>
      <w:proofErr w:type="spellEnd"/>
      <w:r w:rsidRPr="00BC2ED3">
        <w:rPr>
          <w:rFonts w:ascii="Arial" w:hAnsi="Arial" w:cs="Arial"/>
          <w:sz w:val="22"/>
          <w:szCs w:val="22"/>
        </w:rPr>
        <w:t xml:space="preserve"> FV, </w:t>
      </w:r>
      <w:proofErr w:type="spellStart"/>
      <w:r w:rsidRPr="00BC2ED3">
        <w:rPr>
          <w:rFonts w:ascii="Arial" w:hAnsi="Arial" w:cs="Arial"/>
          <w:sz w:val="22"/>
          <w:szCs w:val="22"/>
        </w:rPr>
        <w:t>Baeza</w:t>
      </w:r>
      <w:proofErr w:type="spellEnd"/>
      <w:r w:rsidRPr="00BC2ED3">
        <w:rPr>
          <w:rFonts w:ascii="Arial" w:hAnsi="Arial" w:cs="Arial"/>
          <w:sz w:val="22"/>
          <w:szCs w:val="22"/>
        </w:rPr>
        <w:t xml:space="preserve"> CB, Fuentes M de la LE, Lara ER </w:t>
      </w:r>
      <w:r w:rsidRPr="00BC2ED3">
        <w:rPr>
          <w:rFonts w:ascii="Arial" w:hAnsi="Arial" w:cs="Arial"/>
          <w:i/>
          <w:iCs/>
          <w:sz w:val="22"/>
          <w:szCs w:val="22"/>
        </w:rPr>
        <w:t>et al.</w:t>
      </w:r>
      <w:r w:rsidRPr="00BC2ED3">
        <w:rPr>
          <w:rFonts w:ascii="Arial" w:hAnsi="Arial" w:cs="Arial"/>
          <w:sz w:val="22"/>
          <w:szCs w:val="22"/>
        </w:rPr>
        <w:t xml:space="preserve"> Characterization and Sources of Aromatic Hydrocarbons (BTEX) in the Atmosphere of Two Urban Sites Located in Yucatan Peninsula in Mexico. </w:t>
      </w:r>
      <w:r w:rsidRPr="00BC2ED3">
        <w:rPr>
          <w:rFonts w:ascii="Arial" w:hAnsi="Arial" w:cs="Arial"/>
          <w:i/>
          <w:iCs/>
          <w:sz w:val="22"/>
          <w:szCs w:val="22"/>
        </w:rPr>
        <w:t>Atmosphere</w:t>
      </w:r>
      <w:r w:rsidRPr="00BC2ED3">
        <w:rPr>
          <w:rFonts w:ascii="Arial" w:hAnsi="Arial" w:cs="Arial"/>
          <w:sz w:val="22"/>
          <w:szCs w:val="22"/>
        </w:rPr>
        <w:t xml:space="preserve"> 2017; </w:t>
      </w:r>
      <w:r w:rsidRPr="00BC2ED3">
        <w:rPr>
          <w:rFonts w:ascii="Arial" w:hAnsi="Arial" w:cs="Arial"/>
          <w:b/>
          <w:bCs/>
          <w:sz w:val="22"/>
          <w:szCs w:val="22"/>
        </w:rPr>
        <w:t>8</w:t>
      </w:r>
      <w:r w:rsidRPr="00BC2ED3">
        <w:rPr>
          <w:rFonts w:ascii="Arial" w:hAnsi="Arial" w:cs="Arial"/>
          <w:sz w:val="22"/>
          <w:szCs w:val="22"/>
        </w:rPr>
        <w:t>: 107.</w:t>
      </w:r>
    </w:p>
    <w:p w14:paraId="3CEA7252"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28 </w:t>
      </w:r>
      <w:r w:rsidRPr="00BC2ED3">
        <w:rPr>
          <w:rFonts w:ascii="Arial" w:hAnsi="Arial" w:cs="Arial"/>
          <w:sz w:val="22"/>
          <w:szCs w:val="22"/>
        </w:rPr>
        <w:tab/>
      </w:r>
      <w:proofErr w:type="spellStart"/>
      <w:r w:rsidRPr="00BC2ED3">
        <w:rPr>
          <w:rFonts w:ascii="Arial" w:hAnsi="Arial" w:cs="Arial"/>
          <w:sz w:val="22"/>
          <w:szCs w:val="22"/>
        </w:rPr>
        <w:t>Kerchich</w:t>
      </w:r>
      <w:proofErr w:type="spellEnd"/>
      <w:r w:rsidRPr="00BC2ED3">
        <w:rPr>
          <w:rFonts w:ascii="Arial" w:hAnsi="Arial" w:cs="Arial"/>
          <w:sz w:val="22"/>
          <w:szCs w:val="22"/>
        </w:rPr>
        <w:t xml:space="preserve"> Y, </w:t>
      </w:r>
      <w:proofErr w:type="spellStart"/>
      <w:r w:rsidRPr="00BC2ED3">
        <w:rPr>
          <w:rFonts w:ascii="Arial" w:hAnsi="Arial" w:cs="Arial"/>
          <w:sz w:val="22"/>
          <w:szCs w:val="22"/>
        </w:rPr>
        <w:t>Kerbachi</w:t>
      </w:r>
      <w:proofErr w:type="spellEnd"/>
      <w:r w:rsidRPr="00BC2ED3">
        <w:rPr>
          <w:rFonts w:ascii="Arial" w:hAnsi="Arial" w:cs="Arial"/>
          <w:sz w:val="22"/>
          <w:szCs w:val="22"/>
        </w:rPr>
        <w:t xml:space="preserve"> R. Measurement of BTEX (benzene, toluene, </w:t>
      </w:r>
      <w:proofErr w:type="spellStart"/>
      <w:r w:rsidRPr="00BC2ED3">
        <w:rPr>
          <w:rFonts w:ascii="Arial" w:hAnsi="Arial" w:cs="Arial"/>
          <w:sz w:val="22"/>
          <w:szCs w:val="22"/>
        </w:rPr>
        <w:t>ethybenzene</w:t>
      </w:r>
      <w:proofErr w:type="spellEnd"/>
      <w:r w:rsidRPr="00BC2ED3">
        <w:rPr>
          <w:rFonts w:ascii="Arial" w:hAnsi="Arial" w:cs="Arial"/>
          <w:sz w:val="22"/>
          <w:szCs w:val="22"/>
        </w:rPr>
        <w:t xml:space="preserve">, and xylene) levels at urban and semirural areas of Algiers City using passive air samplers. </w:t>
      </w:r>
      <w:r w:rsidRPr="00BC2ED3">
        <w:rPr>
          <w:rFonts w:ascii="Arial" w:hAnsi="Arial" w:cs="Arial"/>
          <w:i/>
          <w:iCs/>
          <w:sz w:val="22"/>
          <w:szCs w:val="22"/>
        </w:rPr>
        <w:t>Journal of the Air &amp; Waste Management Association</w:t>
      </w:r>
      <w:r w:rsidRPr="00BC2ED3">
        <w:rPr>
          <w:rFonts w:ascii="Arial" w:hAnsi="Arial" w:cs="Arial"/>
          <w:sz w:val="22"/>
          <w:szCs w:val="22"/>
        </w:rPr>
        <w:t xml:space="preserve"> 2012; </w:t>
      </w:r>
      <w:r w:rsidRPr="00BC2ED3">
        <w:rPr>
          <w:rFonts w:ascii="Arial" w:hAnsi="Arial" w:cs="Arial"/>
          <w:b/>
          <w:bCs/>
          <w:sz w:val="22"/>
          <w:szCs w:val="22"/>
        </w:rPr>
        <w:t>62</w:t>
      </w:r>
      <w:r w:rsidRPr="00BC2ED3">
        <w:rPr>
          <w:rFonts w:ascii="Arial" w:hAnsi="Arial" w:cs="Arial"/>
          <w:sz w:val="22"/>
          <w:szCs w:val="22"/>
        </w:rPr>
        <w:t>: 1370–1379.</w:t>
      </w:r>
    </w:p>
    <w:p w14:paraId="09307F2C"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29 </w:t>
      </w:r>
      <w:r w:rsidRPr="00BC2ED3">
        <w:rPr>
          <w:rFonts w:ascii="Arial" w:hAnsi="Arial" w:cs="Arial"/>
          <w:sz w:val="22"/>
          <w:szCs w:val="22"/>
        </w:rPr>
        <w:tab/>
        <w:t xml:space="preserve">Chan CY, Chan LY, Wang XM, Liu YM, Lee SC, Zou SC </w:t>
      </w:r>
      <w:r w:rsidRPr="00BC2ED3">
        <w:rPr>
          <w:rFonts w:ascii="Arial" w:hAnsi="Arial" w:cs="Arial"/>
          <w:i/>
          <w:iCs/>
          <w:sz w:val="22"/>
          <w:szCs w:val="22"/>
        </w:rPr>
        <w:t>et al.</w:t>
      </w:r>
      <w:r w:rsidRPr="00BC2ED3">
        <w:rPr>
          <w:rFonts w:ascii="Arial" w:hAnsi="Arial" w:cs="Arial"/>
          <w:sz w:val="22"/>
          <w:szCs w:val="22"/>
        </w:rPr>
        <w:t xml:space="preserve"> Volatile organic compounds in roadside microenvironments of metropolitan Hong Kong. </w:t>
      </w:r>
      <w:r w:rsidRPr="00BC2ED3">
        <w:rPr>
          <w:rFonts w:ascii="Arial" w:hAnsi="Arial" w:cs="Arial"/>
          <w:i/>
          <w:iCs/>
          <w:sz w:val="22"/>
          <w:szCs w:val="22"/>
        </w:rPr>
        <w:t>Atmospheric Environment</w:t>
      </w:r>
      <w:r w:rsidRPr="00BC2ED3">
        <w:rPr>
          <w:rFonts w:ascii="Arial" w:hAnsi="Arial" w:cs="Arial"/>
          <w:sz w:val="22"/>
          <w:szCs w:val="22"/>
        </w:rPr>
        <w:t xml:space="preserve"> 2002; </w:t>
      </w:r>
      <w:r w:rsidRPr="00BC2ED3">
        <w:rPr>
          <w:rFonts w:ascii="Arial" w:hAnsi="Arial" w:cs="Arial"/>
          <w:b/>
          <w:bCs/>
          <w:sz w:val="22"/>
          <w:szCs w:val="22"/>
        </w:rPr>
        <w:t>36</w:t>
      </w:r>
      <w:r w:rsidRPr="00BC2ED3">
        <w:rPr>
          <w:rFonts w:ascii="Arial" w:hAnsi="Arial" w:cs="Arial"/>
          <w:sz w:val="22"/>
          <w:szCs w:val="22"/>
        </w:rPr>
        <w:t>: 2039–2047.</w:t>
      </w:r>
    </w:p>
    <w:p w14:paraId="248B641F"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30 </w:t>
      </w:r>
      <w:r w:rsidRPr="00BC2ED3">
        <w:rPr>
          <w:rFonts w:ascii="Arial" w:hAnsi="Arial" w:cs="Arial"/>
          <w:sz w:val="22"/>
          <w:szCs w:val="22"/>
        </w:rPr>
        <w:tab/>
        <w:t xml:space="preserve">Miller L, Xu X, Wheeler A, Atari DO, </w:t>
      </w:r>
      <w:proofErr w:type="spellStart"/>
      <w:r w:rsidRPr="00BC2ED3">
        <w:rPr>
          <w:rFonts w:ascii="Arial" w:hAnsi="Arial" w:cs="Arial"/>
          <w:sz w:val="22"/>
          <w:szCs w:val="22"/>
        </w:rPr>
        <w:t>Grgicak</w:t>
      </w:r>
      <w:proofErr w:type="spellEnd"/>
      <w:r w:rsidRPr="00BC2ED3">
        <w:rPr>
          <w:rFonts w:ascii="Arial" w:hAnsi="Arial" w:cs="Arial"/>
          <w:sz w:val="22"/>
          <w:szCs w:val="22"/>
        </w:rPr>
        <w:t xml:space="preserve">-Mannion A, </w:t>
      </w:r>
      <w:proofErr w:type="spellStart"/>
      <w:r w:rsidRPr="00BC2ED3">
        <w:rPr>
          <w:rFonts w:ascii="Arial" w:hAnsi="Arial" w:cs="Arial"/>
          <w:sz w:val="22"/>
          <w:szCs w:val="22"/>
        </w:rPr>
        <w:t>Luginaah</w:t>
      </w:r>
      <w:proofErr w:type="spellEnd"/>
      <w:r w:rsidRPr="00BC2ED3">
        <w:rPr>
          <w:rFonts w:ascii="Arial" w:hAnsi="Arial" w:cs="Arial"/>
          <w:sz w:val="22"/>
          <w:szCs w:val="22"/>
        </w:rPr>
        <w:t xml:space="preserve"> I. Spatial Variability and Application of Ratios between BTEX in Two Canadian Cities. </w:t>
      </w:r>
      <w:proofErr w:type="spellStart"/>
      <w:r w:rsidRPr="00BC2ED3">
        <w:rPr>
          <w:rFonts w:ascii="Arial" w:hAnsi="Arial" w:cs="Arial"/>
          <w:i/>
          <w:iCs/>
          <w:sz w:val="22"/>
          <w:szCs w:val="22"/>
        </w:rPr>
        <w:t>ScientificWorldJournal</w:t>
      </w:r>
      <w:proofErr w:type="spellEnd"/>
      <w:r w:rsidRPr="00BC2ED3">
        <w:rPr>
          <w:rFonts w:ascii="Arial" w:hAnsi="Arial" w:cs="Arial"/>
          <w:sz w:val="22"/>
          <w:szCs w:val="22"/>
        </w:rPr>
        <w:t xml:space="preserve"> 2011; </w:t>
      </w:r>
      <w:r w:rsidRPr="00BC2ED3">
        <w:rPr>
          <w:rFonts w:ascii="Arial" w:hAnsi="Arial" w:cs="Arial"/>
          <w:b/>
          <w:bCs/>
          <w:sz w:val="22"/>
          <w:szCs w:val="22"/>
        </w:rPr>
        <w:t>11</w:t>
      </w:r>
      <w:r w:rsidRPr="00BC2ED3">
        <w:rPr>
          <w:rFonts w:ascii="Arial" w:hAnsi="Arial" w:cs="Arial"/>
          <w:sz w:val="22"/>
          <w:szCs w:val="22"/>
        </w:rPr>
        <w:t>: 2536–2549.</w:t>
      </w:r>
    </w:p>
    <w:p w14:paraId="128CC864"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31 </w:t>
      </w:r>
      <w:r w:rsidRPr="00BC2ED3">
        <w:rPr>
          <w:rFonts w:ascii="Arial" w:hAnsi="Arial" w:cs="Arial"/>
          <w:sz w:val="22"/>
          <w:szCs w:val="22"/>
        </w:rPr>
        <w:tab/>
      </w:r>
      <w:proofErr w:type="spellStart"/>
      <w:r w:rsidRPr="00BC2ED3">
        <w:rPr>
          <w:rFonts w:ascii="Arial" w:hAnsi="Arial" w:cs="Arial"/>
          <w:sz w:val="22"/>
          <w:szCs w:val="22"/>
        </w:rPr>
        <w:t>Zalel</w:t>
      </w:r>
      <w:proofErr w:type="spellEnd"/>
      <w:r w:rsidRPr="00BC2ED3">
        <w:rPr>
          <w:rFonts w:ascii="Arial" w:hAnsi="Arial" w:cs="Arial"/>
          <w:sz w:val="22"/>
          <w:szCs w:val="22"/>
        </w:rPr>
        <w:t xml:space="preserve"> A, Yuval, </w:t>
      </w:r>
      <w:proofErr w:type="spellStart"/>
      <w:r w:rsidRPr="00BC2ED3">
        <w:rPr>
          <w:rFonts w:ascii="Arial" w:hAnsi="Arial" w:cs="Arial"/>
          <w:sz w:val="22"/>
          <w:szCs w:val="22"/>
        </w:rPr>
        <w:t>Broday</w:t>
      </w:r>
      <w:proofErr w:type="spellEnd"/>
      <w:r w:rsidRPr="00BC2ED3">
        <w:rPr>
          <w:rFonts w:ascii="Arial" w:hAnsi="Arial" w:cs="Arial"/>
          <w:sz w:val="22"/>
          <w:szCs w:val="22"/>
        </w:rPr>
        <w:t xml:space="preserve"> DM. Revealing source signatures in ambient BTEX concentrations. </w:t>
      </w:r>
      <w:r w:rsidRPr="00BC2ED3">
        <w:rPr>
          <w:rFonts w:ascii="Arial" w:hAnsi="Arial" w:cs="Arial"/>
          <w:i/>
          <w:iCs/>
          <w:sz w:val="22"/>
          <w:szCs w:val="22"/>
        </w:rPr>
        <w:t>Environmental Pollution</w:t>
      </w:r>
      <w:r w:rsidRPr="00BC2ED3">
        <w:rPr>
          <w:rFonts w:ascii="Arial" w:hAnsi="Arial" w:cs="Arial"/>
          <w:sz w:val="22"/>
          <w:szCs w:val="22"/>
        </w:rPr>
        <w:t xml:space="preserve"> 2008; </w:t>
      </w:r>
      <w:r w:rsidRPr="00BC2ED3">
        <w:rPr>
          <w:rFonts w:ascii="Arial" w:hAnsi="Arial" w:cs="Arial"/>
          <w:b/>
          <w:bCs/>
          <w:sz w:val="22"/>
          <w:szCs w:val="22"/>
        </w:rPr>
        <w:t>156</w:t>
      </w:r>
      <w:r w:rsidRPr="00BC2ED3">
        <w:rPr>
          <w:rFonts w:ascii="Arial" w:hAnsi="Arial" w:cs="Arial"/>
          <w:sz w:val="22"/>
          <w:szCs w:val="22"/>
        </w:rPr>
        <w:t>: 553–562.</w:t>
      </w:r>
    </w:p>
    <w:p w14:paraId="3DF0509C"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32 </w:t>
      </w:r>
      <w:r w:rsidRPr="00BC2ED3">
        <w:rPr>
          <w:rFonts w:ascii="Arial" w:hAnsi="Arial" w:cs="Arial"/>
          <w:sz w:val="22"/>
          <w:szCs w:val="22"/>
        </w:rPr>
        <w:tab/>
        <w:t xml:space="preserve">Atkinson R. </w:t>
      </w:r>
      <w:r w:rsidRPr="00BC2ED3">
        <w:rPr>
          <w:rFonts w:ascii="Arial" w:hAnsi="Arial" w:cs="Arial"/>
          <w:i/>
          <w:iCs/>
          <w:sz w:val="22"/>
          <w:szCs w:val="22"/>
        </w:rPr>
        <w:t>Gas phase tropospheric chemistry of organic compounds</w:t>
      </w:r>
      <w:r w:rsidRPr="00BC2ED3">
        <w:rPr>
          <w:rFonts w:ascii="Arial" w:hAnsi="Arial" w:cs="Arial"/>
          <w:sz w:val="22"/>
          <w:szCs w:val="22"/>
        </w:rPr>
        <w:t>. American Chemical Society and American Institute of Physics for the National Institute of Standards and Technology, 1994 doi:10.1063/1.555960.</w:t>
      </w:r>
    </w:p>
    <w:p w14:paraId="475157EC"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33 </w:t>
      </w:r>
      <w:r w:rsidRPr="00BC2ED3">
        <w:rPr>
          <w:rFonts w:ascii="Arial" w:hAnsi="Arial" w:cs="Arial"/>
          <w:sz w:val="22"/>
          <w:szCs w:val="22"/>
        </w:rPr>
        <w:tab/>
        <w:t xml:space="preserve">Chen G-F, Lai C-H, Chen W-H. Principal Component Analysis and Mapping to Characterize the Emission of Volatile Organic Compounds in a Typical Petrochemical Industrial Park. </w:t>
      </w:r>
      <w:r w:rsidRPr="00BC2ED3">
        <w:rPr>
          <w:rFonts w:ascii="Arial" w:hAnsi="Arial" w:cs="Arial"/>
          <w:i/>
          <w:iCs/>
          <w:sz w:val="22"/>
          <w:szCs w:val="22"/>
        </w:rPr>
        <w:t>Aerosol Air Qual Res</w:t>
      </w:r>
      <w:r w:rsidRPr="00BC2ED3">
        <w:rPr>
          <w:rFonts w:ascii="Arial" w:hAnsi="Arial" w:cs="Arial"/>
          <w:sz w:val="22"/>
          <w:szCs w:val="22"/>
        </w:rPr>
        <w:t xml:space="preserve"> 2020; </w:t>
      </w:r>
      <w:r w:rsidRPr="00BC2ED3">
        <w:rPr>
          <w:rFonts w:ascii="Arial" w:hAnsi="Arial" w:cs="Arial"/>
          <w:b/>
          <w:bCs/>
          <w:sz w:val="22"/>
          <w:szCs w:val="22"/>
        </w:rPr>
        <w:t>20</w:t>
      </w:r>
      <w:r w:rsidRPr="00BC2ED3">
        <w:rPr>
          <w:rFonts w:ascii="Arial" w:hAnsi="Arial" w:cs="Arial"/>
          <w:sz w:val="22"/>
          <w:szCs w:val="22"/>
        </w:rPr>
        <w:t>: 465–476.</w:t>
      </w:r>
    </w:p>
    <w:p w14:paraId="16A6DE1D"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34 </w:t>
      </w:r>
      <w:r w:rsidRPr="00BC2ED3">
        <w:rPr>
          <w:rFonts w:ascii="Arial" w:hAnsi="Arial" w:cs="Arial"/>
          <w:sz w:val="22"/>
          <w:szCs w:val="22"/>
        </w:rPr>
        <w:tab/>
        <w:t>Pérez-Rial D, López-</w:t>
      </w:r>
      <w:proofErr w:type="spellStart"/>
      <w:r w:rsidRPr="00BC2ED3">
        <w:rPr>
          <w:rFonts w:ascii="Arial" w:hAnsi="Arial" w:cs="Arial"/>
          <w:sz w:val="22"/>
          <w:szCs w:val="22"/>
        </w:rPr>
        <w:t>Mahía</w:t>
      </w:r>
      <w:proofErr w:type="spellEnd"/>
      <w:r w:rsidRPr="00BC2ED3">
        <w:rPr>
          <w:rFonts w:ascii="Arial" w:hAnsi="Arial" w:cs="Arial"/>
          <w:sz w:val="22"/>
          <w:szCs w:val="22"/>
        </w:rPr>
        <w:t xml:space="preserve"> P, </w:t>
      </w:r>
      <w:proofErr w:type="spellStart"/>
      <w:r w:rsidRPr="00BC2ED3">
        <w:rPr>
          <w:rFonts w:ascii="Arial" w:hAnsi="Arial" w:cs="Arial"/>
          <w:sz w:val="22"/>
          <w:szCs w:val="22"/>
        </w:rPr>
        <w:t>Tauler</w:t>
      </w:r>
      <w:proofErr w:type="spellEnd"/>
      <w:r w:rsidRPr="00BC2ED3">
        <w:rPr>
          <w:rFonts w:ascii="Arial" w:hAnsi="Arial" w:cs="Arial"/>
          <w:sz w:val="22"/>
          <w:szCs w:val="22"/>
        </w:rPr>
        <w:t xml:space="preserve"> R. Investigation of the source composition and temporal distribution of volatile organic compounds (VOCs) in a suburban area of the northwest of Spain using chemometric methods. </w:t>
      </w:r>
      <w:r w:rsidRPr="00BC2ED3">
        <w:rPr>
          <w:rFonts w:ascii="Arial" w:hAnsi="Arial" w:cs="Arial"/>
          <w:i/>
          <w:iCs/>
          <w:sz w:val="22"/>
          <w:szCs w:val="22"/>
        </w:rPr>
        <w:t>Atmospheric Environment</w:t>
      </w:r>
      <w:r w:rsidRPr="00BC2ED3">
        <w:rPr>
          <w:rFonts w:ascii="Arial" w:hAnsi="Arial" w:cs="Arial"/>
          <w:sz w:val="22"/>
          <w:szCs w:val="22"/>
        </w:rPr>
        <w:t xml:space="preserve"> 2010; </w:t>
      </w:r>
      <w:r w:rsidRPr="00BC2ED3">
        <w:rPr>
          <w:rFonts w:ascii="Arial" w:hAnsi="Arial" w:cs="Arial"/>
          <w:b/>
          <w:bCs/>
          <w:sz w:val="22"/>
          <w:szCs w:val="22"/>
        </w:rPr>
        <w:t>44</w:t>
      </w:r>
      <w:r w:rsidRPr="00BC2ED3">
        <w:rPr>
          <w:rFonts w:ascii="Arial" w:hAnsi="Arial" w:cs="Arial"/>
          <w:sz w:val="22"/>
          <w:szCs w:val="22"/>
        </w:rPr>
        <w:t>: 5122–5132.</w:t>
      </w:r>
    </w:p>
    <w:p w14:paraId="1AA3CF29"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35 </w:t>
      </w:r>
      <w:r w:rsidRPr="00BC2ED3">
        <w:rPr>
          <w:rFonts w:ascii="Arial" w:hAnsi="Arial" w:cs="Arial"/>
          <w:sz w:val="22"/>
          <w:szCs w:val="22"/>
        </w:rPr>
        <w:tab/>
        <w:t xml:space="preserve">Guo H. Source apportionment of volatile organic compounds in Hong Kong homes. </w:t>
      </w:r>
      <w:r w:rsidRPr="00BC2ED3">
        <w:rPr>
          <w:rFonts w:ascii="Arial" w:hAnsi="Arial" w:cs="Arial"/>
          <w:i/>
          <w:iCs/>
          <w:sz w:val="22"/>
          <w:szCs w:val="22"/>
        </w:rPr>
        <w:t>Building and Environment</w:t>
      </w:r>
      <w:r w:rsidRPr="00BC2ED3">
        <w:rPr>
          <w:rFonts w:ascii="Arial" w:hAnsi="Arial" w:cs="Arial"/>
          <w:sz w:val="22"/>
          <w:szCs w:val="22"/>
        </w:rPr>
        <w:t xml:space="preserve"> 2011; </w:t>
      </w:r>
      <w:r w:rsidRPr="00BC2ED3">
        <w:rPr>
          <w:rFonts w:ascii="Arial" w:hAnsi="Arial" w:cs="Arial"/>
          <w:b/>
          <w:bCs/>
          <w:sz w:val="22"/>
          <w:szCs w:val="22"/>
        </w:rPr>
        <w:t>46</w:t>
      </w:r>
      <w:r w:rsidRPr="00BC2ED3">
        <w:rPr>
          <w:rFonts w:ascii="Arial" w:hAnsi="Arial" w:cs="Arial"/>
          <w:sz w:val="22"/>
          <w:szCs w:val="22"/>
        </w:rPr>
        <w:t>: 2280–2286.</w:t>
      </w:r>
    </w:p>
    <w:p w14:paraId="194F1C75"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36 </w:t>
      </w:r>
      <w:r w:rsidRPr="00BC2ED3">
        <w:rPr>
          <w:rFonts w:ascii="Arial" w:hAnsi="Arial" w:cs="Arial"/>
          <w:sz w:val="22"/>
          <w:szCs w:val="22"/>
        </w:rPr>
        <w:tab/>
        <w:t xml:space="preserve">Lan C-H, Huang Y-L, Ho S-H, Peng C-Y. Volatile organic compound identification and characterization by PCA and mapping at a high-technology science park. </w:t>
      </w:r>
      <w:r w:rsidRPr="00BC2ED3">
        <w:rPr>
          <w:rFonts w:ascii="Arial" w:hAnsi="Arial" w:cs="Arial"/>
          <w:i/>
          <w:iCs/>
          <w:sz w:val="22"/>
          <w:szCs w:val="22"/>
        </w:rPr>
        <w:t>Environmental Pollution</w:t>
      </w:r>
      <w:r w:rsidRPr="00BC2ED3">
        <w:rPr>
          <w:rFonts w:ascii="Arial" w:hAnsi="Arial" w:cs="Arial"/>
          <w:sz w:val="22"/>
          <w:szCs w:val="22"/>
        </w:rPr>
        <w:t xml:space="preserve"> 2014; </w:t>
      </w:r>
      <w:r w:rsidRPr="00BC2ED3">
        <w:rPr>
          <w:rFonts w:ascii="Arial" w:hAnsi="Arial" w:cs="Arial"/>
          <w:b/>
          <w:bCs/>
          <w:sz w:val="22"/>
          <w:szCs w:val="22"/>
        </w:rPr>
        <w:t>193</w:t>
      </w:r>
      <w:r w:rsidRPr="00BC2ED3">
        <w:rPr>
          <w:rFonts w:ascii="Arial" w:hAnsi="Arial" w:cs="Arial"/>
          <w:sz w:val="22"/>
          <w:szCs w:val="22"/>
        </w:rPr>
        <w:t>: 156–164.</w:t>
      </w:r>
    </w:p>
    <w:p w14:paraId="0B036FB3"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37 </w:t>
      </w:r>
      <w:r w:rsidRPr="00BC2ED3">
        <w:rPr>
          <w:rFonts w:ascii="Arial" w:hAnsi="Arial" w:cs="Arial"/>
          <w:sz w:val="22"/>
          <w:szCs w:val="22"/>
        </w:rPr>
        <w:tab/>
      </w:r>
      <w:proofErr w:type="spellStart"/>
      <w:r w:rsidRPr="00BC2ED3">
        <w:rPr>
          <w:rFonts w:ascii="Arial" w:hAnsi="Arial" w:cs="Arial"/>
          <w:sz w:val="22"/>
          <w:szCs w:val="22"/>
        </w:rPr>
        <w:t>Hopke</w:t>
      </w:r>
      <w:proofErr w:type="spellEnd"/>
      <w:r w:rsidRPr="00BC2ED3">
        <w:rPr>
          <w:rFonts w:ascii="Arial" w:hAnsi="Arial" w:cs="Arial"/>
          <w:sz w:val="22"/>
          <w:szCs w:val="22"/>
        </w:rPr>
        <w:t xml:space="preserve"> PK. Review of receptor modeling methods for source apportionment. </w:t>
      </w:r>
      <w:r w:rsidRPr="00BC2ED3">
        <w:rPr>
          <w:rFonts w:ascii="Arial" w:hAnsi="Arial" w:cs="Arial"/>
          <w:i/>
          <w:iCs/>
          <w:sz w:val="22"/>
          <w:szCs w:val="22"/>
        </w:rPr>
        <w:t>Journal of the Air &amp; Waste Management Association</w:t>
      </w:r>
      <w:r w:rsidRPr="00BC2ED3">
        <w:rPr>
          <w:rFonts w:ascii="Arial" w:hAnsi="Arial" w:cs="Arial"/>
          <w:sz w:val="22"/>
          <w:szCs w:val="22"/>
        </w:rPr>
        <w:t xml:space="preserve"> 2016; </w:t>
      </w:r>
      <w:r w:rsidRPr="00BC2ED3">
        <w:rPr>
          <w:rFonts w:ascii="Arial" w:hAnsi="Arial" w:cs="Arial"/>
          <w:b/>
          <w:bCs/>
          <w:sz w:val="22"/>
          <w:szCs w:val="22"/>
        </w:rPr>
        <w:t>66</w:t>
      </w:r>
      <w:r w:rsidRPr="00BC2ED3">
        <w:rPr>
          <w:rFonts w:ascii="Arial" w:hAnsi="Arial" w:cs="Arial"/>
          <w:sz w:val="22"/>
          <w:szCs w:val="22"/>
        </w:rPr>
        <w:t>: 237–259.</w:t>
      </w:r>
    </w:p>
    <w:p w14:paraId="1DE0EC8A"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38 </w:t>
      </w:r>
      <w:r w:rsidRPr="00BC2ED3">
        <w:rPr>
          <w:rFonts w:ascii="Arial" w:hAnsi="Arial" w:cs="Arial"/>
          <w:sz w:val="22"/>
          <w:szCs w:val="22"/>
        </w:rPr>
        <w:tab/>
      </w:r>
      <w:proofErr w:type="spellStart"/>
      <w:r w:rsidRPr="00BC2ED3">
        <w:rPr>
          <w:rFonts w:ascii="Arial" w:hAnsi="Arial" w:cs="Arial"/>
          <w:sz w:val="22"/>
          <w:szCs w:val="22"/>
        </w:rPr>
        <w:t>Paatero</w:t>
      </w:r>
      <w:proofErr w:type="spellEnd"/>
      <w:r w:rsidRPr="00BC2ED3">
        <w:rPr>
          <w:rFonts w:ascii="Arial" w:hAnsi="Arial" w:cs="Arial"/>
          <w:sz w:val="22"/>
          <w:szCs w:val="22"/>
        </w:rPr>
        <w:t xml:space="preserve"> P, Tapper U. Positive matrix factorization: A non-negative factor model with optimal utilization of error estimates of data values. </w:t>
      </w:r>
      <w:proofErr w:type="spellStart"/>
      <w:r w:rsidRPr="00BC2ED3">
        <w:rPr>
          <w:rFonts w:ascii="Arial" w:hAnsi="Arial" w:cs="Arial"/>
          <w:i/>
          <w:iCs/>
          <w:sz w:val="22"/>
          <w:szCs w:val="22"/>
        </w:rPr>
        <w:t>Environmetrics</w:t>
      </w:r>
      <w:proofErr w:type="spellEnd"/>
      <w:r w:rsidRPr="00BC2ED3">
        <w:rPr>
          <w:rFonts w:ascii="Arial" w:hAnsi="Arial" w:cs="Arial"/>
          <w:sz w:val="22"/>
          <w:szCs w:val="22"/>
        </w:rPr>
        <w:t xml:space="preserve"> 1994; </w:t>
      </w:r>
      <w:r w:rsidRPr="00BC2ED3">
        <w:rPr>
          <w:rFonts w:ascii="Arial" w:hAnsi="Arial" w:cs="Arial"/>
          <w:b/>
          <w:bCs/>
          <w:sz w:val="22"/>
          <w:szCs w:val="22"/>
        </w:rPr>
        <w:t>5</w:t>
      </w:r>
      <w:r w:rsidRPr="00BC2ED3">
        <w:rPr>
          <w:rFonts w:ascii="Arial" w:hAnsi="Arial" w:cs="Arial"/>
          <w:sz w:val="22"/>
          <w:szCs w:val="22"/>
        </w:rPr>
        <w:t>: 111–126.</w:t>
      </w:r>
    </w:p>
    <w:p w14:paraId="58DF1AAF"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39 </w:t>
      </w:r>
      <w:r w:rsidRPr="00BC2ED3">
        <w:rPr>
          <w:rFonts w:ascii="Arial" w:hAnsi="Arial" w:cs="Arial"/>
          <w:sz w:val="22"/>
          <w:szCs w:val="22"/>
        </w:rPr>
        <w:tab/>
        <w:t>Norris G, Duvall R, Brown S, Bai S. Positive Matrix Factorization (PMF) 5.0 Fundamentals and User Guide. 2014.https://www.epa.gov/sites/default/files/2015-02/documents/pmf_5.0_user_guide.pdf.</w:t>
      </w:r>
    </w:p>
    <w:p w14:paraId="020FA064"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40 </w:t>
      </w:r>
      <w:r w:rsidRPr="00BC2ED3">
        <w:rPr>
          <w:rFonts w:ascii="Arial" w:hAnsi="Arial" w:cs="Arial"/>
          <w:sz w:val="22"/>
          <w:szCs w:val="22"/>
        </w:rPr>
        <w:tab/>
        <w:t>R Core Team. R: A Language and Environment for Statistical Computing. 2025.https://www.r-project.org/.</w:t>
      </w:r>
    </w:p>
    <w:p w14:paraId="2C88D6A0"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41 </w:t>
      </w:r>
      <w:r w:rsidRPr="00BC2ED3">
        <w:rPr>
          <w:rFonts w:ascii="Arial" w:hAnsi="Arial" w:cs="Arial"/>
          <w:sz w:val="22"/>
          <w:szCs w:val="22"/>
        </w:rPr>
        <w:tab/>
        <w:t>EPA Positive Matrix Factorization. 2013.</w:t>
      </w:r>
    </w:p>
    <w:p w14:paraId="189E77BF"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42 </w:t>
      </w:r>
      <w:r w:rsidRPr="00BC2ED3">
        <w:rPr>
          <w:rFonts w:ascii="Arial" w:hAnsi="Arial" w:cs="Arial"/>
          <w:sz w:val="22"/>
          <w:szCs w:val="22"/>
        </w:rPr>
        <w:tab/>
        <w:t xml:space="preserve">Liu X, Zhang X, Dufresne M, Wang T, Wu L, Lara R </w:t>
      </w:r>
      <w:r w:rsidRPr="00BC2ED3">
        <w:rPr>
          <w:rFonts w:ascii="Arial" w:hAnsi="Arial" w:cs="Arial"/>
          <w:i/>
          <w:iCs/>
          <w:sz w:val="22"/>
          <w:szCs w:val="22"/>
        </w:rPr>
        <w:t>et al.</w:t>
      </w:r>
      <w:r w:rsidRPr="00BC2ED3">
        <w:rPr>
          <w:rFonts w:ascii="Arial" w:hAnsi="Arial" w:cs="Arial"/>
          <w:sz w:val="22"/>
          <w:szCs w:val="22"/>
        </w:rPr>
        <w:t xml:space="preserve"> Measurement report: Exploring the variations in ambient BTEX in urban Europe and their environmental health implications. </w:t>
      </w:r>
      <w:r w:rsidRPr="00BC2ED3">
        <w:rPr>
          <w:rFonts w:ascii="Arial" w:hAnsi="Arial" w:cs="Arial"/>
          <w:i/>
          <w:iCs/>
          <w:sz w:val="22"/>
          <w:szCs w:val="22"/>
        </w:rPr>
        <w:t>Atmospheric Chemistry and Physics</w:t>
      </w:r>
      <w:r w:rsidRPr="00BC2ED3">
        <w:rPr>
          <w:rFonts w:ascii="Arial" w:hAnsi="Arial" w:cs="Arial"/>
          <w:sz w:val="22"/>
          <w:szCs w:val="22"/>
        </w:rPr>
        <w:t xml:space="preserve"> 2025; </w:t>
      </w:r>
      <w:r w:rsidRPr="00BC2ED3">
        <w:rPr>
          <w:rFonts w:ascii="Arial" w:hAnsi="Arial" w:cs="Arial"/>
          <w:b/>
          <w:bCs/>
          <w:sz w:val="22"/>
          <w:szCs w:val="22"/>
        </w:rPr>
        <w:t>25</w:t>
      </w:r>
      <w:r w:rsidRPr="00BC2ED3">
        <w:rPr>
          <w:rFonts w:ascii="Arial" w:hAnsi="Arial" w:cs="Arial"/>
          <w:sz w:val="22"/>
          <w:szCs w:val="22"/>
        </w:rPr>
        <w:t>: 625–638.</w:t>
      </w:r>
    </w:p>
    <w:p w14:paraId="126486AC"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43 </w:t>
      </w:r>
      <w:r w:rsidRPr="00BC2ED3">
        <w:rPr>
          <w:rFonts w:ascii="Arial" w:hAnsi="Arial" w:cs="Arial"/>
          <w:sz w:val="22"/>
          <w:szCs w:val="22"/>
        </w:rPr>
        <w:tab/>
        <w:t xml:space="preserve">Eric M. Fujita, David E. Campbell, Barbara </w:t>
      </w:r>
      <w:proofErr w:type="spellStart"/>
      <w:r w:rsidRPr="00BC2ED3">
        <w:rPr>
          <w:rFonts w:ascii="Arial" w:hAnsi="Arial" w:cs="Arial"/>
          <w:sz w:val="22"/>
          <w:szCs w:val="22"/>
        </w:rPr>
        <w:t>Zielinska</w:t>
      </w:r>
      <w:proofErr w:type="spellEnd"/>
      <w:r w:rsidRPr="00BC2ED3">
        <w:rPr>
          <w:rFonts w:ascii="Arial" w:hAnsi="Arial" w:cs="Arial"/>
          <w:sz w:val="22"/>
          <w:szCs w:val="22"/>
        </w:rPr>
        <w:t>, William P. Arnott, Judith C. Chow. Concentrations of Air Toxics in Motor Vehicle-Dominated Environments. Health Effects Institute: Boston, MA, 2011.</w:t>
      </w:r>
    </w:p>
    <w:p w14:paraId="358F3560"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44 </w:t>
      </w:r>
      <w:r w:rsidRPr="00BC2ED3">
        <w:rPr>
          <w:rFonts w:ascii="Arial" w:hAnsi="Arial" w:cs="Arial"/>
          <w:sz w:val="22"/>
          <w:szCs w:val="22"/>
        </w:rPr>
        <w:tab/>
        <w:t>Hydrocarbon Composition of Gasoline Vapor Emissions from Enclosed Fuel Tanks. US Environmental Protection Agency: Washington, DC, 2011.</w:t>
      </w:r>
    </w:p>
    <w:p w14:paraId="51FF62E4"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45 </w:t>
      </w:r>
      <w:r w:rsidRPr="00BC2ED3">
        <w:rPr>
          <w:rFonts w:ascii="Arial" w:hAnsi="Arial" w:cs="Arial"/>
          <w:sz w:val="22"/>
          <w:szCs w:val="22"/>
        </w:rPr>
        <w:tab/>
        <w:t xml:space="preserve">Watson JG, Chow JC, Fujita EM. Review of volatile organic compound source apportionment by chemical mass balance. </w:t>
      </w:r>
      <w:r w:rsidRPr="00BC2ED3">
        <w:rPr>
          <w:rFonts w:ascii="Arial" w:hAnsi="Arial" w:cs="Arial"/>
          <w:i/>
          <w:iCs/>
          <w:sz w:val="22"/>
          <w:szCs w:val="22"/>
        </w:rPr>
        <w:t>Atmospheric Environment</w:t>
      </w:r>
      <w:r w:rsidRPr="00BC2ED3">
        <w:rPr>
          <w:rFonts w:ascii="Arial" w:hAnsi="Arial" w:cs="Arial"/>
          <w:sz w:val="22"/>
          <w:szCs w:val="22"/>
        </w:rPr>
        <w:t xml:space="preserve"> 2001; </w:t>
      </w:r>
      <w:r w:rsidRPr="00BC2ED3">
        <w:rPr>
          <w:rFonts w:ascii="Arial" w:hAnsi="Arial" w:cs="Arial"/>
          <w:b/>
          <w:bCs/>
          <w:sz w:val="22"/>
          <w:szCs w:val="22"/>
        </w:rPr>
        <w:t>35</w:t>
      </w:r>
      <w:r w:rsidRPr="00BC2ED3">
        <w:rPr>
          <w:rFonts w:ascii="Arial" w:hAnsi="Arial" w:cs="Arial"/>
          <w:sz w:val="22"/>
          <w:szCs w:val="22"/>
        </w:rPr>
        <w:t>: 1567–1584.</w:t>
      </w:r>
    </w:p>
    <w:p w14:paraId="4D819573"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46 </w:t>
      </w:r>
      <w:r w:rsidRPr="00BC2ED3">
        <w:rPr>
          <w:rFonts w:ascii="Arial" w:hAnsi="Arial" w:cs="Arial"/>
          <w:sz w:val="22"/>
          <w:szCs w:val="22"/>
        </w:rPr>
        <w:tab/>
        <w:t xml:space="preserve">Schauer JJ, Cass GR. Source Apportionment of Wintertime Gas-Phase and Particle-Phase Air Pollutants Using Organic Compounds as Tracers. </w:t>
      </w:r>
      <w:r w:rsidRPr="00BC2ED3">
        <w:rPr>
          <w:rFonts w:ascii="Arial" w:hAnsi="Arial" w:cs="Arial"/>
          <w:i/>
          <w:iCs/>
          <w:sz w:val="22"/>
          <w:szCs w:val="22"/>
        </w:rPr>
        <w:t>Environ Sci Technol</w:t>
      </w:r>
      <w:r w:rsidRPr="00BC2ED3">
        <w:rPr>
          <w:rFonts w:ascii="Arial" w:hAnsi="Arial" w:cs="Arial"/>
          <w:sz w:val="22"/>
          <w:szCs w:val="22"/>
        </w:rPr>
        <w:t xml:space="preserve"> 2000; </w:t>
      </w:r>
      <w:r w:rsidRPr="00BC2ED3">
        <w:rPr>
          <w:rFonts w:ascii="Arial" w:hAnsi="Arial" w:cs="Arial"/>
          <w:b/>
          <w:bCs/>
          <w:sz w:val="22"/>
          <w:szCs w:val="22"/>
        </w:rPr>
        <w:t>34</w:t>
      </w:r>
      <w:r w:rsidRPr="00BC2ED3">
        <w:rPr>
          <w:rFonts w:ascii="Arial" w:hAnsi="Arial" w:cs="Arial"/>
          <w:sz w:val="22"/>
          <w:szCs w:val="22"/>
        </w:rPr>
        <w:t>: 1821–1832.</w:t>
      </w:r>
    </w:p>
    <w:p w14:paraId="7F4F47B2"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47 </w:t>
      </w:r>
      <w:r w:rsidRPr="00BC2ED3">
        <w:rPr>
          <w:rFonts w:ascii="Arial" w:hAnsi="Arial" w:cs="Arial"/>
          <w:sz w:val="22"/>
          <w:szCs w:val="22"/>
        </w:rPr>
        <w:tab/>
        <w:t xml:space="preserve">McDonald BC, de </w:t>
      </w:r>
      <w:proofErr w:type="spellStart"/>
      <w:r w:rsidRPr="00BC2ED3">
        <w:rPr>
          <w:rFonts w:ascii="Arial" w:hAnsi="Arial" w:cs="Arial"/>
          <w:sz w:val="22"/>
          <w:szCs w:val="22"/>
        </w:rPr>
        <w:t>Gouw</w:t>
      </w:r>
      <w:proofErr w:type="spellEnd"/>
      <w:r w:rsidRPr="00BC2ED3">
        <w:rPr>
          <w:rFonts w:ascii="Arial" w:hAnsi="Arial" w:cs="Arial"/>
          <w:sz w:val="22"/>
          <w:szCs w:val="22"/>
        </w:rPr>
        <w:t xml:space="preserve"> JA, Gilman JB, </w:t>
      </w:r>
      <w:proofErr w:type="spellStart"/>
      <w:r w:rsidRPr="00BC2ED3">
        <w:rPr>
          <w:rFonts w:ascii="Arial" w:hAnsi="Arial" w:cs="Arial"/>
          <w:sz w:val="22"/>
          <w:szCs w:val="22"/>
        </w:rPr>
        <w:t>Jathar</w:t>
      </w:r>
      <w:proofErr w:type="spellEnd"/>
      <w:r w:rsidRPr="00BC2ED3">
        <w:rPr>
          <w:rFonts w:ascii="Arial" w:hAnsi="Arial" w:cs="Arial"/>
          <w:sz w:val="22"/>
          <w:szCs w:val="22"/>
        </w:rPr>
        <w:t xml:space="preserve"> SH, </w:t>
      </w:r>
      <w:proofErr w:type="spellStart"/>
      <w:r w:rsidRPr="00BC2ED3">
        <w:rPr>
          <w:rFonts w:ascii="Arial" w:hAnsi="Arial" w:cs="Arial"/>
          <w:sz w:val="22"/>
          <w:szCs w:val="22"/>
        </w:rPr>
        <w:t>Akherati</w:t>
      </w:r>
      <w:proofErr w:type="spellEnd"/>
      <w:r w:rsidRPr="00BC2ED3">
        <w:rPr>
          <w:rFonts w:ascii="Arial" w:hAnsi="Arial" w:cs="Arial"/>
          <w:sz w:val="22"/>
          <w:szCs w:val="22"/>
        </w:rPr>
        <w:t xml:space="preserve"> A, Cappa CD </w:t>
      </w:r>
      <w:r w:rsidRPr="00BC2ED3">
        <w:rPr>
          <w:rFonts w:ascii="Arial" w:hAnsi="Arial" w:cs="Arial"/>
          <w:i/>
          <w:iCs/>
          <w:sz w:val="22"/>
          <w:szCs w:val="22"/>
        </w:rPr>
        <w:t>et al.</w:t>
      </w:r>
      <w:r w:rsidRPr="00BC2ED3">
        <w:rPr>
          <w:rFonts w:ascii="Arial" w:hAnsi="Arial" w:cs="Arial"/>
          <w:sz w:val="22"/>
          <w:szCs w:val="22"/>
        </w:rPr>
        <w:t xml:space="preserve"> Volatile chemical products emerging as largest petrochemical source of urban organic emissions. </w:t>
      </w:r>
      <w:r w:rsidRPr="00BC2ED3">
        <w:rPr>
          <w:rFonts w:ascii="Arial" w:hAnsi="Arial" w:cs="Arial"/>
          <w:i/>
          <w:iCs/>
          <w:sz w:val="22"/>
          <w:szCs w:val="22"/>
        </w:rPr>
        <w:t>Science</w:t>
      </w:r>
      <w:r w:rsidRPr="00BC2ED3">
        <w:rPr>
          <w:rFonts w:ascii="Arial" w:hAnsi="Arial" w:cs="Arial"/>
          <w:sz w:val="22"/>
          <w:szCs w:val="22"/>
        </w:rPr>
        <w:t xml:space="preserve"> 2018; </w:t>
      </w:r>
      <w:r w:rsidRPr="00BC2ED3">
        <w:rPr>
          <w:rFonts w:ascii="Arial" w:hAnsi="Arial" w:cs="Arial"/>
          <w:b/>
          <w:bCs/>
          <w:sz w:val="22"/>
          <w:szCs w:val="22"/>
        </w:rPr>
        <w:t>359</w:t>
      </w:r>
      <w:r w:rsidRPr="00BC2ED3">
        <w:rPr>
          <w:rFonts w:ascii="Arial" w:hAnsi="Arial" w:cs="Arial"/>
          <w:sz w:val="22"/>
          <w:szCs w:val="22"/>
        </w:rPr>
        <w:t>: 760–764.</w:t>
      </w:r>
    </w:p>
    <w:p w14:paraId="1F7E7F96"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48 </w:t>
      </w:r>
      <w:r w:rsidRPr="00BC2ED3">
        <w:rPr>
          <w:rFonts w:ascii="Arial" w:hAnsi="Arial" w:cs="Arial"/>
          <w:sz w:val="22"/>
          <w:szCs w:val="22"/>
        </w:rPr>
        <w:tab/>
        <w:t>The Montreal Protocol on Substances that Deplete the Ozone Layer | Ozone Secretariat. United Nations. https://ozone.unep.org/treaties/montreal-protocol (accessed 14 Nov2025).</w:t>
      </w:r>
    </w:p>
    <w:p w14:paraId="52F16400"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49 </w:t>
      </w:r>
      <w:r w:rsidRPr="00BC2ED3">
        <w:rPr>
          <w:rFonts w:ascii="Arial" w:hAnsi="Arial" w:cs="Arial"/>
          <w:sz w:val="22"/>
          <w:szCs w:val="22"/>
        </w:rPr>
        <w:tab/>
        <w:t xml:space="preserve">Sherry D, McCulloch A, Liang Q, Reimann S, Newman PA. Current sources of carbon tetrachloride (CCl4) in our atmosphere. </w:t>
      </w:r>
      <w:r w:rsidRPr="00BC2ED3">
        <w:rPr>
          <w:rFonts w:ascii="Arial" w:hAnsi="Arial" w:cs="Arial"/>
          <w:i/>
          <w:iCs/>
          <w:sz w:val="22"/>
          <w:szCs w:val="22"/>
        </w:rPr>
        <w:t>Environ Res Lett</w:t>
      </w:r>
      <w:r w:rsidRPr="00BC2ED3">
        <w:rPr>
          <w:rFonts w:ascii="Arial" w:hAnsi="Arial" w:cs="Arial"/>
          <w:sz w:val="22"/>
          <w:szCs w:val="22"/>
        </w:rPr>
        <w:t xml:space="preserve"> 2018; </w:t>
      </w:r>
      <w:r w:rsidRPr="00BC2ED3">
        <w:rPr>
          <w:rFonts w:ascii="Arial" w:hAnsi="Arial" w:cs="Arial"/>
          <w:b/>
          <w:bCs/>
          <w:sz w:val="22"/>
          <w:szCs w:val="22"/>
        </w:rPr>
        <w:t>13</w:t>
      </w:r>
      <w:r w:rsidRPr="00BC2ED3">
        <w:rPr>
          <w:rFonts w:ascii="Arial" w:hAnsi="Arial" w:cs="Arial"/>
          <w:sz w:val="22"/>
          <w:szCs w:val="22"/>
        </w:rPr>
        <w:t>: 024004.</w:t>
      </w:r>
    </w:p>
    <w:p w14:paraId="11962AEC"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50 </w:t>
      </w:r>
      <w:r w:rsidRPr="00BC2ED3">
        <w:rPr>
          <w:rFonts w:ascii="Arial" w:hAnsi="Arial" w:cs="Arial"/>
          <w:sz w:val="22"/>
          <w:szCs w:val="22"/>
        </w:rPr>
        <w:tab/>
      </w:r>
      <w:proofErr w:type="spellStart"/>
      <w:r w:rsidRPr="00BC2ED3">
        <w:rPr>
          <w:rFonts w:ascii="Arial" w:hAnsi="Arial" w:cs="Arial"/>
          <w:sz w:val="22"/>
          <w:szCs w:val="22"/>
        </w:rPr>
        <w:t>Montzka</w:t>
      </w:r>
      <w:proofErr w:type="spellEnd"/>
      <w:r w:rsidRPr="00BC2ED3">
        <w:rPr>
          <w:rFonts w:ascii="Arial" w:hAnsi="Arial" w:cs="Arial"/>
          <w:sz w:val="22"/>
          <w:szCs w:val="22"/>
        </w:rPr>
        <w:t xml:space="preserve"> SA, Dutton GS, Yu P, Ray E, </w:t>
      </w:r>
      <w:proofErr w:type="spellStart"/>
      <w:r w:rsidRPr="00BC2ED3">
        <w:rPr>
          <w:rFonts w:ascii="Arial" w:hAnsi="Arial" w:cs="Arial"/>
          <w:sz w:val="22"/>
          <w:szCs w:val="22"/>
        </w:rPr>
        <w:t>Portmann</w:t>
      </w:r>
      <w:proofErr w:type="spellEnd"/>
      <w:r w:rsidRPr="00BC2ED3">
        <w:rPr>
          <w:rFonts w:ascii="Arial" w:hAnsi="Arial" w:cs="Arial"/>
          <w:sz w:val="22"/>
          <w:szCs w:val="22"/>
        </w:rPr>
        <w:t xml:space="preserve"> RW, Daniel JS </w:t>
      </w:r>
      <w:r w:rsidRPr="00BC2ED3">
        <w:rPr>
          <w:rFonts w:ascii="Arial" w:hAnsi="Arial" w:cs="Arial"/>
          <w:i/>
          <w:iCs/>
          <w:sz w:val="22"/>
          <w:szCs w:val="22"/>
        </w:rPr>
        <w:t>et al.</w:t>
      </w:r>
      <w:r w:rsidRPr="00BC2ED3">
        <w:rPr>
          <w:rFonts w:ascii="Arial" w:hAnsi="Arial" w:cs="Arial"/>
          <w:sz w:val="22"/>
          <w:szCs w:val="22"/>
        </w:rPr>
        <w:t xml:space="preserve"> An unexpected and persistent increase in global emissions of ozone-depleting CFC-11. </w:t>
      </w:r>
      <w:r w:rsidRPr="00BC2ED3">
        <w:rPr>
          <w:rFonts w:ascii="Arial" w:hAnsi="Arial" w:cs="Arial"/>
          <w:i/>
          <w:iCs/>
          <w:sz w:val="22"/>
          <w:szCs w:val="22"/>
        </w:rPr>
        <w:t>Nature</w:t>
      </w:r>
      <w:r w:rsidRPr="00BC2ED3">
        <w:rPr>
          <w:rFonts w:ascii="Arial" w:hAnsi="Arial" w:cs="Arial"/>
          <w:sz w:val="22"/>
          <w:szCs w:val="22"/>
        </w:rPr>
        <w:t xml:space="preserve"> 2018; </w:t>
      </w:r>
      <w:r w:rsidRPr="00BC2ED3">
        <w:rPr>
          <w:rFonts w:ascii="Arial" w:hAnsi="Arial" w:cs="Arial"/>
          <w:b/>
          <w:bCs/>
          <w:sz w:val="22"/>
          <w:szCs w:val="22"/>
        </w:rPr>
        <w:t>557</w:t>
      </w:r>
      <w:r w:rsidRPr="00BC2ED3">
        <w:rPr>
          <w:rFonts w:ascii="Arial" w:hAnsi="Arial" w:cs="Arial"/>
          <w:sz w:val="22"/>
          <w:szCs w:val="22"/>
        </w:rPr>
        <w:t>: 413–417.</w:t>
      </w:r>
    </w:p>
    <w:p w14:paraId="48F947D2"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51 </w:t>
      </w:r>
      <w:r w:rsidRPr="00BC2ED3">
        <w:rPr>
          <w:rFonts w:ascii="Arial" w:hAnsi="Arial" w:cs="Arial"/>
          <w:sz w:val="22"/>
          <w:szCs w:val="22"/>
        </w:rPr>
        <w:tab/>
        <w:t>Perchloroethylene (PCE); Regulation Under the Toxic Substances Control Act (TSCA). 2024.</w:t>
      </w:r>
    </w:p>
    <w:p w14:paraId="1E4523F3"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52 </w:t>
      </w:r>
      <w:r w:rsidRPr="00BC2ED3">
        <w:rPr>
          <w:rFonts w:ascii="Arial" w:hAnsi="Arial" w:cs="Arial"/>
          <w:sz w:val="22"/>
          <w:szCs w:val="22"/>
        </w:rPr>
        <w:tab/>
        <w:t xml:space="preserve">Miller DD, </w:t>
      </w:r>
      <w:proofErr w:type="spellStart"/>
      <w:r w:rsidRPr="00BC2ED3">
        <w:rPr>
          <w:rFonts w:ascii="Arial" w:hAnsi="Arial" w:cs="Arial"/>
          <w:sz w:val="22"/>
          <w:szCs w:val="22"/>
        </w:rPr>
        <w:t>Bajracharya</w:t>
      </w:r>
      <w:proofErr w:type="spellEnd"/>
      <w:r w:rsidRPr="00BC2ED3">
        <w:rPr>
          <w:rFonts w:ascii="Arial" w:hAnsi="Arial" w:cs="Arial"/>
          <w:sz w:val="22"/>
          <w:szCs w:val="22"/>
        </w:rPr>
        <w:t xml:space="preserve"> A, Dickinson GN, Durbin TA, McGarry JKP, Moser EP </w:t>
      </w:r>
      <w:r w:rsidRPr="00BC2ED3">
        <w:rPr>
          <w:rFonts w:ascii="Arial" w:hAnsi="Arial" w:cs="Arial"/>
          <w:i/>
          <w:iCs/>
          <w:sz w:val="22"/>
          <w:szCs w:val="22"/>
        </w:rPr>
        <w:t>et al.</w:t>
      </w:r>
      <w:r w:rsidRPr="00BC2ED3">
        <w:rPr>
          <w:rFonts w:ascii="Arial" w:hAnsi="Arial" w:cs="Arial"/>
          <w:sz w:val="22"/>
          <w:szCs w:val="22"/>
        </w:rPr>
        <w:t xml:space="preserve"> Diffusive uptake rates for passive air sampling: Application to volatile organic compound exposure during FIREX-AQ campaign. </w:t>
      </w:r>
      <w:r w:rsidRPr="00BC2ED3">
        <w:rPr>
          <w:rFonts w:ascii="Arial" w:hAnsi="Arial" w:cs="Arial"/>
          <w:i/>
          <w:iCs/>
          <w:sz w:val="22"/>
          <w:szCs w:val="22"/>
        </w:rPr>
        <w:t>Chemosphere</w:t>
      </w:r>
      <w:r w:rsidRPr="00BC2ED3">
        <w:rPr>
          <w:rFonts w:ascii="Arial" w:hAnsi="Arial" w:cs="Arial"/>
          <w:sz w:val="22"/>
          <w:szCs w:val="22"/>
        </w:rPr>
        <w:t xml:space="preserve"> 2022; </w:t>
      </w:r>
      <w:r w:rsidRPr="00BC2ED3">
        <w:rPr>
          <w:rFonts w:ascii="Arial" w:hAnsi="Arial" w:cs="Arial"/>
          <w:b/>
          <w:bCs/>
          <w:sz w:val="22"/>
          <w:szCs w:val="22"/>
        </w:rPr>
        <w:t>287</w:t>
      </w:r>
      <w:r w:rsidRPr="00BC2ED3">
        <w:rPr>
          <w:rFonts w:ascii="Arial" w:hAnsi="Arial" w:cs="Arial"/>
          <w:sz w:val="22"/>
          <w:szCs w:val="22"/>
        </w:rPr>
        <w:t>: 131808.</w:t>
      </w:r>
    </w:p>
    <w:p w14:paraId="5D80E0E4"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53 </w:t>
      </w:r>
      <w:r w:rsidRPr="00BC2ED3">
        <w:rPr>
          <w:rFonts w:ascii="Arial" w:hAnsi="Arial" w:cs="Arial"/>
          <w:sz w:val="22"/>
          <w:szCs w:val="22"/>
        </w:rPr>
        <w:tab/>
      </w:r>
      <w:proofErr w:type="spellStart"/>
      <w:r w:rsidRPr="00BC2ED3">
        <w:rPr>
          <w:rFonts w:ascii="Arial" w:hAnsi="Arial" w:cs="Arial"/>
          <w:sz w:val="22"/>
          <w:szCs w:val="22"/>
        </w:rPr>
        <w:t>Mukerjee</w:t>
      </w:r>
      <w:proofErr w:type="spellEnd"/>
      <w:r w:rsidRPr="00BC2ED3">
        <w:rPr>
          <w:rFonts w:ascii="Arial" w:hAnsi="Arial" w:cs="Arial"/>
          <w:sz w:val="22"/>
          <w:szCs w:val="22"/>
        </w:rPr>
        <w:t xml:space="preserve"> S, Smith LA, Johnson MM, </w:t>
      </w:r>
      <w:proofErr w:type="spellStart"/>
      <w:r w:rsidRPr="00BC2ED3">
        <w:rPr>
          <w:rFonts w:ascii="Arial" w:hAnsi="Arial" w:cs="Arial"/>
          <w:sz w:val="22"/>
          <w:szCs w:val="22"/>
        </w:rPr>
        <w:t>Neas</w:t>
      </w:r>
      <w:proofErr w:type="spellEnd"/>
      <w:r w:rsidRPr="00BC2ED3">
        <w:rPr>
          <w:rFonts w:ascii="Arial" w:hAnsi="Arial" w:cs="Arial"/>
          <w:sz w:val="22"/>
          <w:szCs w:val="22"/>
        </w:rPr>
        <w:t xml:space="preserve"> LM, Stallings CA. Spatial </w:t>
      </w:r>
      <w:proofErr w:type="gramStart"/>
      <w:r w:rsidRPr="00BC2ED3">
        <w:rPr>
          <w:rFonts w:ascii="Arial" w:hAnsi="Arial" w:cs="Arial"/>
          <w:sz w:val="22"/>
          <w:szCs w:val="22"/>
        </w:rPr>
        <w:t>analysis</w:t>
      </w:r>
      <w:proofErr w:type="gramEnd"/>
      <w:r w:rsidRPr="00BC2ED3">
        <w:rPr>
          <w:rFonts w:ascii="Arial" w:hAnsi="Arial" w:cs="Arial"/>
          <w:sz w:val="22"/>
          <w:szCs w:val="22"/>
        </w:rPr>
        <w:t xml:space="preserve"> and land use regression of VOCs and NO2 from school-based urban air monitoring in Detroit/Dearborn, USA. </w:t>
      </w:r>
      <w:r w:rsidRPr="00BC2ED3">
        <w:rPr>
          <w:rFonts w:ascii="Arial" w:hAnsi="Arial" w:cs="Arial"/>
          <w:i/>
          <w:iCs/>
          <w:sz w:val="22"/>
          <w:szCs w:val="22"/>
        </w:rPr>
        <w:t>Science of The Total Environment</w:t>
      </w:r>
      <w:r w:rsidRPr="00BC2ED3">
        <w:rPr>
          <w:rFonts w:ascii="Arial" w:hAnsi="Arial" w:cs="Arial"/>
          <w:sz w:val="22"/>
          <w:szCs w:val="22"/>
        </w:rPr>
        <w:t xml:space="preserve"> 2009; </w:t>
      </w:r>
      <w:r w:rsidRPr="00BC2ED3">
        <w:rPr>
          <w:rFonts w:ascii="Arial" w:hAnsi="Arial" w:cs="Arial"/>
          <w:b/>
          <w:bCs/>
          <w:sz w:val="22"/>
          <w:szCs w:val="22"/>
        </w:rPr>
        <w:t>407</w:t>
      </w:r>
      <w:r w:rsidRPr="00BC2ED3">
        <w:rPr>
          <w:rFonts w:ascii="Arial" w:hAnsi="Arial" w:cs="Arial"/>
          <w:sz w:val="22"/>
          <w:szCs w:val="22"/>
        </w:rPr>
        <w:t>: 4642–4651.</w:t>
      </w:r>
    </w:p>
    <w:p w14:paraId="34406CD6"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54 </w:t>
      </w:r>
      <w:r w:rsidRPr="00BC2ED3">
        <w:rPr>
          <w:rFonts w:ascii="Arial" w:hAnsi="Arial" w:cs="Arial"/>
          <w:sz w:val="22"/>
          <w:szCs w:val="22"/>
        </w:rPr>
        <w:tab/>
        <w:t xml:space="preserve">Milazzo MJ, </w:t>
      </w:r>
      <w:proofErr w:type="spellStart"/>
      <w:r w:rsidRPr="00BC2ED3">
        <w:rPr>
          <w:rFonts w:ascii="Arial" w:hAnsi="Arial" w:cs="Arial"/>
          <w:sz w:val="22"/>
          <w:szCs w:val="22"/>
        </w:rPr>
        <w:t>Gohlke</w:t>
      </w:r>
      <w:proofErr w:type="spellEnd"/>
      <w:r w:rsidRPr="00BC2ED3">
        <w:rPr>
          <w:rFonts w:ascii="Arial" w:hAnsi="Arial" w:cs="Arial"/>
          <w:sz w:val="22"/>
          <w:szCs w:val="22"/>
        </w:rPr>
        <w:t xml:space="preserve"> JM, Gallagher DL, Scott AA, Zaitchik BF, Marr LC. Potential for city parks to reduce exposure to BTEX in air. </w:t>
      </w:r>
      <w:r w:rsidRPr="00BC2ED3">
        <w:rPr>
          <w:rFonts w:ascii="Arial" w:hAnsi="Arial" w:cs="Arial"/>
          <w:i/>
          <w:iCs/>
          <w:sz w:val="22"/>
          <w:szCs w:val="22"/>
        </w:rPr>
        <w:t>Environ Sci: Processes Impacts</w:t>
      </w:r>
      <w:r w:rsidRPr="00BC2ED3">
        <w:rPr>
          <w:rFonts w:ascii="Arial" w:hAnsi="Arial" w:cs="Arial"/>
          <w:sz w:val="22"/>
          <w:szCs w:val="22"/>
        </w:rPr>
        <w:t xml:space="preserve"> 2019; </w:t>
      </w:r>
      <w:r w:rsidRPr="00BC2ED3">
        <w:rPr>
          <w:rFonts w:ascii="Arial" w:hAnsi="Arial" w:cs="Arial"/>
          <w:b/>
          <w:bCs/>
          <w:sz w:val="22"/>
          <w:szCs w:val="22"/>
        </w:rPr>
        <w:t>21</w:t>
      </w:r>
      <w:r w:rsidRPr="00BC2ED3">
        <w:rPr>
          <w:rFonts w:ascii="Arial" w:hAnsi="Arial" w:cs="Arial"/>
          <w:sz w:val="22"/>
          <w:szCs w:val="22"/>
        </w:rPr>
        <w:t>: 40–50.</w:t>
      </w:r>
    </w:p>
    <w:p w14:paraId="269C17B3"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55 </w:t>
      </w:r>
      <w:r w:rsidRPr="00BC2ED3">
        <w:rPr>
          <w:rFonts w:ascii="Arial" w:hAnsi="Arial" w:cs="Arial"/>
          <w:sz w:val="22"/>
          <w:szCs w:val="22"/>
        </w:rPr>
        <w:tab/>
      </w:r>
      <w:proofErr w:type="spellStart"/>
      <w:r w:rsidRPr="00BC2ED3">
        <w:rPr>
          <w:rFonts w:ascii="Arial" w:hAnsi="Arial" w:cs="Arial"/>
          <w:sz w:val="22"/>
          <w:szCs w:val="22"/>
        </w:rPr>
        <w:t>Buczynska</w:t>
      </w:r>
      <w:proofErr w:type="spellEnd"/>
      <w:r w:rsidRPr="00BC2ED3">
        <w:rPr>
          <w:rFonts w:ascii="Arial" w:hAnsi="Arial" w:cs="Arial"/>
          <w:sz w:val="22"/>
          <w:szCs w:val="22"/>
        </w:rPr>
        <w:t xml:space="preserve"> AJ, </w:t>
      </w:r>
      <w:proofErr w:type="spellStart"/>
      <w:r w:rsidRPr="00BC2ED3">
        <w:rPr>
          <w:rFonts w:ascii="Arial" w:hAnsi="Arial" w:cs="Arial"/>
          <w:sz w:val="22"/>
          <w:szCs w:val="22"/>
        </w:rPr>
        <w:t>Krata</w:t>
      </w:r>
      <w:proofErr w:type="spellEnd"/>
      <w:r w:rsidRPr="00BC2ED3">
        <w:rPr>
          <w:rFonts w:ascii="Arial" w:hAnsi="Arial" w:cs="Arial"/>
          <w:sz w:val="22"/>
          <w:szCs w:val="22"/>
        </w:rPr>
        <w:t xml:space="preserve"> A, Stranger M, </w:t>
      </w:r>
      <w:proofErr w:type="spellStart"/>
      <w:r w:rsidRPr="00BC2ED3">
        <w:rPr>
          <w:rFonts w:ascii="Arial" w:hAnsi="Arial" w:cs="Arial"/>
          <w:sz w:val="22"/>
          <w:szCs w:val="22"/>
        </w:rPr>
        <w:t>Locateli</w:t>
      </w:r>
      <w:proofErr w:type="spellEnd"/>
      <w:r w:rsidRPr="00BC2ED3">
        <w:rPr>
          <w:rFonts w:ascii="Arial" w:hAnsi="Arial" w:cs="Arial"/>
          <w:sz w:val="22"/>
          <w:szCs w:val="22"/>
        </w:rPr>
        <w:t xml:space="preserve"> </w:t>
      </w:r>
      <w:proofErr w:type="spellStart"/>
      <w:r w:rsidRPr="00BC2ED3">
        <w:rPr>
          <w:rFonts w:ascii="Arial" w:hAnsi="Arial" w:cs="Arial"/>
          <w:sz w:val="22"/>
          <w:szCs w:val="22"/>
        </w:rPr>
        <w:t>Godoi</w:t>
      </w:r>
      <w:proofErr w:type="spellEnd"/>
      <w:r w:rsidRPr="00BC2ED3">
        <w:rPr>
          <w:rFonts w:ascii="Arial" w:hAnsi="Arial" w:cs="Arial"/>
          <w:sz w:val="22"/>
          <w:szCs w:val="22"/>
        </w:rPr>
        <w:t xml:space="preserve"> AF, </w:t>
      </w:r>
      <w:proofErr w:type="spellStart"/>
      <w:r w:rsidRPr="00BC2ED3">
        <w:rPr>
          <w:rFonts w:ascii="Arial" w:hAnsi="Arial" w:cs="Arial"/>
          <w:sz w:val="22"/>
          <w:szCs w:val="22"/>
        </w:rPr>
        <w:t>Kontozova</w:t>
      </w:r>
      <w:proofErr w:type="spellEnd"/>
      <w:r w:rsidRPr="00BC2ED3">
        <w:rPr>
          <w:rFonts w:ascii="Arial" w:hAnsi="Arial" w:cs="Arial"/>
          <w:sz w:val="22"/>
          <w:szCs w:val="22"/>
        </w:rPr>
        <w:t xml:space="preserve">-Deutsch V, </w:t>
      </w:r>
      <w:proofErr w:type="spellStart"/>
      <w:r w:rsidRPr="00BC2ED3">
        <w:rPr>
          <w:rFonts w:ascii="Arial" w:hAnsi="Arial" w:cs="Arial"/>
          <w:sz w:val="22"/>
          <w:szCs w:val="22"/>
        </w:rPr>
        <w:t>Bencs</w:t>
      </w:r>
      <w:proofErr w:type="spellEnd"/>
      <w:r w:rsidRPr="00BC2ED3">
        <w:rPr>
          <w:rFonts w:ascii="Arial" w:hAnsi="Arial" w:cs="Arial"/>
          <w:sz w:val="22"/>
          <w:szCs w:val="22"/>
        </w:rPr>
        <w:t xml:space="preserve"> L </w:t>
      </w:r>
      <w:r w:rsidRPr="00BC2ED3">
        <w:rPr>
          <w:rFonts w:ascii="Arial" w:hAnsi="Arial" w:cs="Arial"/>
          <w:i/>
          <w:iCs/>
          <w:sz w:val="22"/>
          <w:szCs w:val="22"/>
        </w:rPr>
        <w:t>et al.</w:t>
      </w:r>
      <w:r w:rsidRPr="00BC2ED3">
        <w:rPr>
          <w:rFonts w:ascii="Arial" w:hAnsi="Arial" w:cs="Arial"/>
          <w:sz w:val="22"/>
          <w:szCs w:val="22"/>
        </w:rPr>
        <w:t xml:space="preserve"> Atmospheric BTEX-concentrations in an area with intensive street traffic. </w:t>
      </w:r>
      <w:r w:rsidRPr="00BC2ED3">
        <w:rPr>
          <w:rFonts w:ascii="Arial" w:hAnsi="Arial" w:cs="Arial"/>
          <w:i/>
          <w:iCs/>
          <w:sz w:val="22"/>
          <w:szCs w:val="22"/>
        </w:rPr>
        <w:t>Atmospheric Environment</w:t>
      </w:r>
      <w:r w:rsidRPr="00BC2ED3">
        <w:rPr>
          <w:rFonts w:ascii="Arial" w:hAnsi="Arial" w:cs="Arial"/>
          <w:sz w:val="22"/>
          <w:szCs w:val="22"/>
        </w:rPr>
        <w:t xml:space="preserve"> 2009; </w:t>
      </w:r>
      <w:r w:rsidRPr="00BC2ED3">
        <w:rPr>
          <w:rFonts w:ascii="Arial" w:hAnsi="Arial" w:cs="Arial"/>
          <w:b/>
          <w:bCs/>
          <w:sz w:val="22"/>
          <w:szCs w:val="22"/>
        </w:rPr>
        <w:t>43</w:t>
      </w:r>
      <w:r w:rsidRPr="00BC2ED3">
        <w:rPr>
          <w:rFonts w:ascii="Arial" w:hAnsi="Arial" w:cs="Arial"/>
          <w:sz w:val="22"/>
          <w:szCs w:val="22"/>
        </w:rPr>
        <w:t>: 311–318.</w:t>
      </w:r>
    </w:p>
    <w:p w14:paraId="4D45EC38"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56 </w:t>
      </w:r>
      <w:r w:rsidRPr="00BC2ED3">
        <w:rPr>
          <w:rFonts w:ascii="Arial" w:hAnsi="Arial" w:cs="Arial"/>
          <w:sz w:val="22"/>
          <w:szCs w:val="22"/>
        </w:rPr>
        <w:tab/>
      </w:r>
      <w:proofErr w:type="spellStart"/>
      <w:r w:rsidRPr="00BC2ED3">
        <w:rPr>
          <w:rFonts w:ascii="Arial" w:hAnsi="Arial" w:cs="Arial"/>
          <w:sz w:val="22"/>
          <w:szCs w:val="22"/>
        </w:rPr>
        <w:t>Marć</w:t>
      </w:r>
      <w:proofErr w:type="spellEnd"/>
      <w:r w:rsidRPr="00BC2ED3">
        <w:rPr>
          <w:rFonts w:ascii="Arial" w:hAnsi="Arial" w:cs="Arial"/>
          <w:sz w:val="22"/>
          <w:szCs w:val="22"/>
        </w:rPr>
        <w:t xml:space="preserve"> M, </w:t>
      </w:r>
      <w:proofErr w:type="spellStart"/>
      <w:r w:rsidRPr="00BC2ED3">
        <w:rPr>
          <w:rFonts w:ascii="Arial" w:hAnsi="Arial" w:cs="Arial"/>
          <w:sz w:val="22"/>
          <w:szCs w:val="22"/>
        </w:rPr>
        <w:t>Namieśnik</w:t>
      </w:r>
      <w:proofErr w:type="spellEnd"/>
      <w:r w:rsidRPr="00BC2ED3">
        <w:rPr>
          <w:rFonts w:ascii="Arial" w:hAnsi="Arial" w:cs="Arial"/>
          <w:sz w:val="22"/>
          <w:szCs w:val="22"/>
        </w:rPr>
        <w:t xml:space="preserve"> J, </w:t>
      </w:r>
      <w:proofErr w:type="spellStart"/>
      <w:r w:rsidRPr="00BC2ED3">
        <w:rPr>
          <w:rFonts w:ascii="Arial" w:hAnsi="Arial" w:cs="Arial"/>
          <w:sz w:val="22"/>
          <w:szCs w:val="22"/>
        </w:rPr>
        <w:t>Zabiegała</w:t>
      </w:r>
      <w:proofErr w:type="spellEnd"/>
      <w:r w:rsidRPr="00BC2ED3">
        <w:rPr>
          <w:rFonts w:ascii="Arial" w:hAnsi="Arial" w:cs="Arial"/>
          <w:sz w:val="22"/>
          <w:szCs w:val="22"/>
        </w:rPr>
        <w:t xml:space="preserve"> B. BTEX concentration levels in urban air </w:t>
      </w:r>
      <w:proofErr w:type="gramStart"/>
      <w:r w:rsidRPr="00BC2ED3">
        <w:rPr>
          <w:rFonts w:ascii="Arial" w:hAnsi="Arial" w:cs="Arial"/>
          <w:sz w:val="22"/>
          <w:szCs w:val="22"/>
        </w:rPr>
        <w:t>in the area of</w:t>
      </w:r>
      <w:proofErr w:type="gramEnd"/>
      <w:r w:rsidRPr="00BC2ED3">
        <w:rPr>
          <w:rFonts w:ascii="Arial" w:hAnsi="Arial" w:cs="Arial"/>
          <w:sz w:val="22"/>
          <w:szCs w:val="22"/>
        </w:rPr>
        <w:t xml:space="preserve"> the Tri-City agglomeration (Gdansk, Gdynia, Sopot), Poland. </w:t>
      </w:r>
      <w:r w:rsidRPr="00BC2ED3">
        <w:rPr>
          <w:rFonts w:ascii="Arial" w:hAnsi="Arial" w:cs="Arial"/>
          <w:i/>
          <w:iCs/>
          <w:sz w:val="22"/>
          <w:szCs w:val="22"/>
        </w:rPr>
        <w:t>Air Qual Atmos Health</w:t>
      </w:r>
      <w:r w:rsidRPr="00BC2ED3">
        <w:rPr>
          <w:rFonts w:ascii="Arial" w:hAnsi="Arial" w:cs="Arial"/>
          <w:sz w:val="22"/>
          <w:szCs w:val="22"/>
        </w:rPr>
        <w:t xml:space="preserve"> 2014; </w:t>
      </w:r>
      <w:r w:rsidRPr="00BC2ED3">
        <w:rPr>
          <w:rFonts w:ascii="Arial" w:hAnsi="Arial" w:cs="Arial"/>
          <w:b/>
          <w:bCs/>
          <w:sz w:val="22"/>
          <w:szCs w:val="22"/>
        </w:rPr>
        <w:t>7</w:t>
      </w:r>
      <w:r w:rsidRPr="00BC2ED3">
        <w:rPr>
          <w:rFonts w:ascii="Arial" w:hAnsi="Arial" w:cs="Arial"/>
          <w:sz w:val="22"/>
          <w:szCs w:val="22"/>
        </w:rPr>
        <w:t>: 489–504.</w:t>
      </w:r>
    </w:p>
    <w:p w14:paraId="0E83F10B"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57 </w:t>
      </w:r>
      <w:r w:rsidRPr="00BC2ED3">
        <w:rPr>
          <w:rFonts w:ascii="Arial" w:hAnsi="Arial" w:cs="Arial"/>
          <w:sz w:val="22"/>
          <w:szCs w:val="22"/>
        </w:rPr>
        <w:tab/>
        <w:t xml:space="preserve">Lerner JEC, </w:t>
      </w:r>
      <w:proofErr w:type="spellStart"/>
      <w:r w:rsidRPr="00BC2ED3">
        <w:rPr>
          <w:rFonts w:ascii="Arial" w:hAnsi="Arial" w:cs="Arial"/>
          <w:sz w:val="22"/>
          <w:szCs w:val="22"/>
        </w:rPr>
        <w:t>Kohajda</w:t>
      </w:r>
      <w:proofErr w:type="spellEnd"/>
      <w:r w:rsidRPr="00BC2ED3">
        <w:rPr>
          <w:rFonts w:ascii="Arial" w:hAnsi="Arial" w:cs="Arial"/>
          <w:sz w:val="22"/>
          <w:szCs w:val="22"/>
        </w:rPr>
        <w:t xml:space="preserve"> T, Aguilar ME, </w:t>
      </w:r>
      <w:proofErr w:type="spellStart"/>
      <w:r w:rsidRPr="00BC2ED3">
        <w:rPr>
          <w:rFonts w:ascii="Arial" w:hAnsi="Arial" w:cs="Arial"/>
          <w:sz w:val="22"/>
          <w:szCs w:val="22"/>
        </w:rPr>
        <w:t>Massolo</w:t>
      </w:r>
      <w:proofErr w:type="spellEnd"/>
      <w:r w:rsidRPr="00BC2ED3">
        <w:rPr>
          <w:rFonts w:ascii="Arial" w:hAnsi="Arial" w:cs="Arial"/>
          <w:sz w:val="22"/>
          <w:szCs w:val="22"/>
        </w:rPr>
        <w:t xml:space="preserve"> LA, Sánchez EY, Porta AA </w:t>
      </w:r>
      <w:r w:rsidRPr="00BC2ED3">
        <w:rPr>
          <w:rFonts w:ascii="Arial" w:hAnsi="Arial" w:cs="Arial"/>
          <w:i/>
          <w:iCs/>
          <w:sz w:val="22"/>
          <w:szCs w:val="22"/>
        </w:rPr>
        <w:t>et al.</w:t>
      </w:r>
      <w:r w:rsidRPr="00BC2ED3">
        <w:rPr>
          <w:rFonts w:ascii="Arial" w:hAnsi="Arial" w:cs="Arial"/>
          <w:sz w:val="22"/>
          <w:szCs w:val="22"/>
        </w:rPr>
        <w:t xml:space="preserve"> Improvement of health risk factors after reduction of VOC concentrations in industrial and urban areas. </w:t>
      </w:r>
      <w:r w:rsidRPr="00BC2ED3">
        <w:rPr>
          <w:rFonts w:ascii="Arial" w:hAnsi="Arial" w:cs="Arial"/>
          <w:i/>
          <w:iCs/>
          <w:sz w:val="22"/>
          <w:szCs w:val="22"/>
        </w:rPr>
        <w:t xml:space="preserve">Environ Sci </w:t>
      </w:r>
      <w:proofErr w:type="spellStart"/>
      <w:r w:rsidRPr="00BC2ED3">
        <w:rPr>
          <w:rFonts w:ascii="Arial" w:hAnsi="Arial" w:cs="Arial"/>
          <w:i/>
          <w:iCs/>
          <w:sz w:val="22"/>
          <w:szCs w:val="22"/>
        </w:rPr>
        <w:t>Pollut</w:t>
      </w:r>
      <w:proofErr w:type="spellEnd"/>
      <w:r w:rsidRPr="00BC2ED3">
        <w:rPr>
          <w:rFonts w:ascii="Arial" w:hAnsi="Arial" w:cs="Arial"/>
          <w:i/>
          <w:iCs/>
          <w:sz w:val="22"/>
          <w:szCs w:val="22"/>
        </w:rPr>
        <w:t xml:space="preserve"> Res</w:t>
      </w:r>
      <w:r w:rsidRPr="00BC2ED3">
        <w:rPr>
          <w:rFonts w:ascii="Arial" w:hAnsi="Arial" w:cs="Arial"/>
          <w:sz w:val="22"/>
          <w:szCs w:val="22"/>
        </w:rPr>
        <w:t xml:space="preserve"> 2014; </w:t>
      </w:r>
      <w:r w:rsidRPr="00BC2ED3">
        <w:rPr>
          <w:rFonts w:ascii="Arial" w:hAnsi="Arial" w:cs="Arial"/>
          <w:b/>
          <w:bCs/>
          <w:sz w:val="22"/>
          <w:szCs w:val="22"/>
        </w:rPr>
        <w:t>21</w:t>
      </w:r>
      <w:r w:rsidRPr="00BC2ED3">
        <w:rPr>
          <w:rFonts w:ascii="Arial" w:hAnsi="Arial" w:cs="Arial"/>
          <w:sz w:val="22"/>
          <w:szCs w:val="22"/>
        </w:rPr>
        <w:t>: 9676–9688.</w:t>
      </w:r>
    </w:p>
    <w:p w14:paraId="76C2FE85"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58 </w:t>
      </w:r>
      <w:r w:rsidRPr="00BC2ED3">
        <w:rPr>
          <w:rFonts w:ascii="Arial" w:hAnsi="Arial" w:cs="Arial"/>
          <w:sz w:val="22"/>
          <w:szCs w:val="22"/>
        </w:rPr>
        <w:tab/>
        <w:t xml:space="preserve">Kim S-J, Kwon H-O, Lee M-I, </w:t>
      </w:r>
      <w:proofErr w:type="spellStart"/>
      <w:r w:rsidRPr="00BC2ED3">
        <w:rPr>
          <w:rFonts w:ascii="Arial" w:hAnsi="Arial" w:cs="Arial"/>
          <w:sz w:val="22"/>
          <w:szCs w:val="22"/>
        </w:rPr>
        <w:t>Seo</w:t>
      </w:r>
      <w:proofErr w:type="spellEnd"/>
      <w:r w:rsidRPr="00BC2ED3">
        <w:rPr>
          <w:rFonts w:ascii="Arial" w:hAnsi="Arial" w:cs="Arial"/>
          <w:sz w:val="22"/>
          <w:szCs w:val="22"/>
        </w:rPr>
        <w:t xml:space="preserve"> Y, Choi S-D. Spatial and temporal variations of volatile organic compounds using passive air samplers in the multi-industrial city of Ulsan, Korea. </w:t>
      </w:r>
      <w:r w:rsidRPr="00BC2ED3">
        <w:rPr>
          <w:rFonts w:ascii="Arial" w:hAnsi="Arial" w:cs="Arial"/>
          <w:i/>
          <w:iCs/>
          <w:sz w:val="22"/>
          <w:szCs w:val="22"/>
        </w:rPr>
        <w:t xml:space="preserve">Environ Sci </w:t>
      </w:r>
      <w:proofErr w:type="spellStart"/>
      <w:r w:rsidRPr="00BC2ED3">
        <w:rPr>
          <w:rFonts w:ascii="Arial" w:hAnsi="Arial" w:cs="Arial"/>
          <w:i/>
          <w:iCs/>
          <w:sz w:val="22"/>
          <w:szCs w:val="22"/>
        </w:rPr>
        <w:t>Pollut</w:t>
      </w:r>
      <w:proofErr w:type="spellEnd"/>
      <w:r w:rsidRPr="00BC2ED3">
        <w:rPr>
          <w:rFonts w:ascii="Arial" w:hAnsi="Arial" w:cs="Arial"/>
          <w:i/>
          <w:iCs/>
          <w:sz w:val="22"/>
          <w:szCs w:val="22"/>
        </w:rPr>
        <w:t xml:space="preserve"> Res</w:t>
      </w:r>
      <w:r w:rsidRPr="00BC2ED3">
        <w:rPr>
          <w:rFonts w:ascii="Arial" w:hAnsi="Arial" w:cs="Arial"/>
          <w:sz w:val="22"/>
          <w:szCs w:val="22"/>
        </w:rPr>
        <w:t xml:space="preserve"> 2019; </w:t>
      </w:r>
      <w:r w:rsidRPr="00BC2ED3">
        <w:rPr>
          <w:rFonts w:ascii="Arial" w:hAnsi="Arial" w:cs="Arial"/>
          <w:b/>
          <w:bCs/>
          <w:sz w:val="22"/>
          <w:szCs w:val="22"/>
        </w:rPr>
        <w:t>26</w:t>
      </w:r>
      <w:r w:rsidRPr="00BC2ED3">
        <w:rPr>
          <w:rFonts w:ascii="Arial" w:hAnsi="Arial" w:cs="Arial"/>
          <w:sz w:val="22"/>
          <w:szCs w:val="22"/>
        </w:rPr>
        <w:t>: 5831–5841.</w:t>
      </w:r>
    </w:p>
    <w:p w14:paraId="31AB381E"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59 </w:t>
      </w:r>
      <w:r w:rsidRPr="00BC2ED3">
        <w:rPr>
          <w:rFonts w:ascii="Arial" w:hAnsi="Arial" w:cs="Arial"/>
          <w:sz w:val="22"/>
          <w:szCs w:val="22"/>
        </w:rPr>
        <w:tab/>
        <w:t xml:space="preserve">Das A, </w:t>
      </w:r>
      <w:proofErr w:type="spellStart"/>
      <w:r w:rsidRPr="00BC2ED3">
        <w:rPr>
          <w:rFonts w:ascii="Arial" w:hAnsi="Arial" w:cs="Arial"/>
          <w:sz w:val="22"/>
          <w:szCs w:val="22"/>
        </w:rPr>
        <w:t>Giri</w:t>
      </w:r>
      <w:proofErr w:type="spellEnd"/>
      <w:r w:rsidRPr="00BC2ED3">
        <w:rPr>
          <w:rFonts w:ascii="Arial" w:hAnsi="Arial" w:cs="Arial"/>
          <w:sz w:val="22"/>
          <w:szCs w:val="22"/>
        </w:rPr>
        <w:t xml:space="preserve"> BS, </w:t>
      </w:r>
      <w:proofErr w:type="spellStart"/>
      <w:r w:rsidRPr="00BC2ED3">
        <w:rPr>
          <w:rFonts w:ascii="Arial" w:hAnsi="Arial" w:cs="Arial"/>
          <w:sz w:val="22"/>
          <w:szCs w:val="22"/>
        </w:rPr>
        <w:t>Manjunatha</w:t>
      </w:r>
      <w:proofErr w:type="spellEnd"/>
      <w:r w:rsidRPr="00BC2ED3">
        <w:rPr>
          <w:rFonts w:ascii="Arial" w:hAnsi="Arial" w:cs="Arial"/>
          <w:sz w:val="22"/>
          <w:szCs w:val="22"/>
        </w:rPr>
        <w:t xml:space="preserve"> R. Systematic review on benzene, toluene, ethylbenzene, and xylene (BTEX) emissions; health impact assessment; and detection techniques in oil and natural gas operations. </w:t>
      </w:r>
      <w:r w:rsidRPr="00BC2ED3">
        <w:rPr>
          <w:rFonts w:ascii="Arial" w:hAnsi="Arial" w:cs="Arial"/>
          <w:i/>
          <w:iCs/>
          <w:sz w:val="22"/>
          <w:szCs w:val="22"/>
        </w:rPr>
        <w:t xml:space="preserve">Environ Sci </w:t>
      </w:r>
      <w:proofErr w:type="spellStart"/>
      <w:r w:rsidRPr="00BC2ED3">
        <w:rPr>
          <w:rFonts w:ascii="Arial" w:hAnsi="Arial" w:cs="Arial"/>
          <w:i/>
          <w:iCs/>
          <w:sz w:val="22"/>
          <w:szCs w:val="22"/>
        </w:rPr>
        <w:t>Pollut</w:t>
      </w:r>
      <w:proofErr w:type="spellEnd"/>
      <w:r w:rsidRPr="00BC2ED3">
        <w:rPr>
          <w:rFonts w:ascii="Arial" w:hAnsi="Arial" w:cs="Arial"/>
          <w:i/>
          <w:iCs/>
          <w:sz w:val="22"/>
          <w:szCs w:val="22"/>
        </w:rPr>
        <w:t xml:space="preserve"> Res</w:t>
      </w:r>
      <w:r w:rsidRPr="00BC2ED3">
        <w:rPr>
          <w:rFonts w:ascii="Arial" w:hAnsi="Arial" w:cs="Arial"/>
          <w:sz w:val="22"/>
          <w:szCs w:val="22"/>
        </w:rPr>
        <w:t xml:space="preserve"> 2025; </w:t>
      </w:r>
      <w:r w:rsidRPr="00BC2ED3">
        <w:rPr>
          <w:rFonts w:ascii="Arial" w:hAnsi="Arial" w:cs="Arial"/>
          <w:b/>
          <w:bCs/>
          <w:sz w:val="22"/>
          <w:szCs w:val="22"/>
        </w:rPr>
        <w:t>32</w:t>
      </w:r>
      <w:r w:rsidRPr="00BC2ED3">
        <w:rPr>
          <w:rFonts w:ascii="Arial" w:hAnsi="Arial" w:cs="Arial"/>
          <w:sz w:val="22"/>
          <w:szCs w:val="22"/>
        </w:rPr>
        <w:t>: 1–22.</w:t>
      </w:r>
    </w:p>
    <w:p w14:paraId="10949DDC"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60 </w:t>
      </w:r>
      <w:r w:rsidRPr="00BC2ED3">
        <w:rPr>
          <w:rFonts w:ascii="Arial" w:hAnsi="Arial" w:cs="Arial"/>
          <w:sz w:val="22"/>
          <w:szCs w:val="22"/>
        </w:rPr>
        <w:tab/>
        <w:t xml:space="preserve">Hoque RR, </w:t>
      </w:r>
      <w:proofErr w:type="spellStart"/>
      <w:r w:rsidRPr="00BC2ED3">
        <w:rPr>
          <w:rFonts w:ascii="Arial" w:hAnsi="Arial" w:cs="Arial"/>
          <w:sz w:val="22"/>
          <w:szCs w:val="22"/>
        </w:rPr>
        <w:t>Khillare</w:t>
      </w:r>
      <w:proofErr w:type="spellEnd"/>
      <w:r w:rsidRPr="00BC2ED3">
        <w:rPr>
          <w:rFonts w:ascii="Arial" w:hAnsi="Arial" w:cs="Arial"/>
          <w:sz w:val="22"/>
          <w:szCs w:val="22"/>
        </w:rPr>
        <w:t xml:space="preserve"> PS, Agarwal T, Shridhar V, Balachandran S. Spatial and temporal variation of BTEX in the urban atmosphere of Delhi, India. </w:t>
      </w:r>
      <w:r w:rsidRPr="00BC2ED3">
        <w:rPr>
          <w:rFonts w:ascii="Arial" w:hAnsi="Arial" w:cs="Arial"/>
          <w:i/>
          <w:iCs/>
          <w:sz w:val="22"/>
          <w:szCs w:val="22"/>
        </w:rPr>
        <w:t>Science of The Total Environment</w:t>
      </w:r>
      <w:r w:rsidRPr="00BC2ED3">
        <w:rPr>
          <w:rFonts w:ascii="Arial" w:hAnsi="Arial" w:cs="Arial"/>
          <w:sz w:val="22"/>
          <w:szCs w:val="22"/>
        </w:rPr>
        <w:t xml:space="preserve"> 2008; </w:t>
      </w:r>
      <w:r w:rsidRPr="00BC2ED3">
        <w:rPr>
          <w:rFonts w:ascii="Arial" w:hAnsi="Arial" w:cs="Arial"/>
          <w:b/>
          <w:bCs/>
          <w:sz w:val="22"/>
          <w:szCs w:val="22"/>
        </w:rPr>
        <w:t>392</w:t>
      </w:r>
      <w:r w:rsidRPr="00BC2ED3">
        <w:rPr>
          <w:rFonts w:ascii="Arial" w:hAnsi="Arial" w:cs="Arial"/>
          <w:sz w:val="22"/>
          <w:szCs w:val="22"/>
        </w:rPr>
        <w:t>: 30–40.</w:t>
      </w:r>
    </w:p>
    <w:p w14:paraId="3078B4EC"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61 </w:t>
      </w:r>
      <w:r w:rsidRPr="00BC2ED3">
        <w:rPr>
          <w:rFonts w:ascii="Arial" w:hAnsi="Arial" w:cs="Arial"/>
          <w:sz w:val="22"/>
          <w:szCs w:val="22"/>
        </w:rPr>
        <w:tab/>
        <w:t xml:space="preserve">Gu P, </w:t>
      </w:r>
      <w:proofErr w:type="spellStart"/>
      <w:r w:rsidRPr="00BC2ED3">
        <w:rPr>
          <w:rFonts w:ascii="Arial" w:hAnsi="Arial" w:cs="Arial"/>
          <w:sz w:val="22"/>
          <w:szCs w:val="22"/>
        </w:rPr>
        <w:t>Dallmann</w:t>
      </w:r>
      <w:proofErr w:type="spellEnd"/>
      <w:r w:rsidRPr="00BC2ED3">
        <w:rPr>
          <w:rFonts w:ascii="Arial" w:hAnsi="Arial" w:cs="Arial"/>
          <w:sz w:val="22"/>
          <w:szCs w:val="22"/>
        </w:rPr>
        <w:t xml:space="preserve"> TR, Li HZ, Tan Y, Presto AA, Gu P </w:t>
      </w:r>
      <w:r w:rsidRPr="00BC2ED3">
        <w:rPr>
          <w:rFonts w:ascii="Arial" w:hAnsi="Arial" w:cs="Arial"/>
          <w:i/>
          <w:iCs/>
          <w:sz w:val="22"/>
          <w:szCs w:val="22"/>
        </w:rPr>
        <w:t>et al.</w:t>
      </w:r>
      <w:r w:rsidRPr="00BC2ED3">
        <w:rPr>
          <w:rFonts w:ascii="Arial" w:hAnsi="Arial" w:cs="Arial"/>
          <w:sz w:val="22"/>
          <w:szCs w:val="22"/>
        </w:rPr>
        <w:t xml:space="preserve"> Quantifying Urban Spatial Variations of Anthropogenic VOC Concentrations and Source Contributions with a Mobile Sampling Platform. </w:t>
      </w:r>
      <w:r w:rsidRPr="00BC2ED3">
        <w:rPr>
          <w:rFonts w:ascii="Arial" w:hAnsi="Arial" w:cs="Arial"/>
          <w:i/>
          <w:iCs/>
          <w:sz w:val="22"/>
          <w:szCs w:val="22"/>
        </w:rPr>
        <w:t>International Journal of Environmental Research and Public Health</w:t>
      </w:r>
      <w:r w:rsidRPr="00BC2ED3">
        <w:rPr>
          <w:rFonts w:ascii="Arial" w:hAnsi="Arial" w:cs="Arial"/>
          <w:sz w:val="22"/>
          <w:szCs w:val="22"/>
        </w:rPr>
        <w:t xml:space="preserve"> 2019; </w:t>
      </w:r>
      <w:r w:rsidRPr="00BC2ED3">
        <w:rPr>
          <w:rFonts w:ascii="Arial" w:hAnsi="Arial" w:cs="Arial"/>
          <w:b/>
          <w:bCs/>
          <w:sz w:val="22"/>
          <w:szCs w:val="22"/>
        </w:rPr>
        <w:t>16</w:t>
      </w:r>
      <w:r w:rsidRPr="00BC2ED3">
        <w:rPr>
          <w:rFonts w:ascii="Arial" w:hAnsi="Arial" w:cs="Arial"/>
          <w:sz w:val="22"/>
          <w:szCs w:val="22"/>
        </w:rPr>
        <w:t>. doi:10.3390/ijerph16091632.</w:t>
      </w:r>
    </w:p>
    <w:p w14:paraId="21C19DD3"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62 </w:t>
      </w:r>
      <w:r w:rsidRPr="00BC2ED3">
        <w:rPr>
          <w:rFonts w:ascii="Arial" w:hAnsi="Arial" w:cs="Arial"/>
          <w:sz w:val="22"/>
          <w:szCs w:val="22"/>
        </w:rPr>
        <w:tab/>
        <w:t xml:space="preserve">Brown SG, Frankel A, Hafner HR. Source apportionment of VOCs in the Los Angeles area using positive matrix factorization. </w:t>
      </w:r>
      <w:r w:rsidRPr="00BC2ED3">
        <w:rPr>
          <w:rFonts w:ascii="Arial" w:hAnsi="Arial" w:cs="Arial"/>
          <w:i/>
          <w:iCs/>
          <w:sz w:val="22"/>
          <w:szCs w:val="22"/>
        </w:rPr>
        <w:t>Atmospheric Environment</w:t>
      </w:r>
      <w:r w:rsidRPr="00BC2ED3">
        <w:rPr>
          <w:rFonts w:ascii="Arial" w:hAnsi="Arial" w:cs="Arial"/>
          <w:sz w:val="22"/>
          <w:szCs w:val="22"/>
        </w:rPr>
        <w:t xml:space="preserve"> 2007; </w:t>
      </w:r>
      <w:r w:rsidRPr="00BC2ED3">
        <w:rPr>
          <w:rFonts w:ascii="Arial" w:hAnsi="Arial" w:cs="Arial"/>
          <w:b/>
          <w:bCs/>
          <w:sz w:val="22"/>
          <w:szCs w:val="22"/>
        </w:rPr>
        <w:t>41</w:t>
      </w:r>
      <w:r w:rsidRPr="00BC2ED3">
        <w:rPr>
          <w:rFonts w:ascii="Arial" w:hAnsi="Arial" w:cs="Arial"/>
          <w:sz w:val="22"/>
          <w:szCs w:val="22"/>
        </w:rPr>
        <w:t>: 227–237.</w:t>
      </w:r>
    </w:p>
    <w:p w14:paraId="1BD06432"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63 </w:t>
      </w:r>
      <w:r w:rsidRPr="00BC2ED3">
        <w:rPr>
          <w:rFonts w:ascii="Arial" w:hAnsi="Arial" w:cs="Arial"/>
          <w:sz w:val="22"/>
          <w:szCs w:val="22"/>
        </w:rPr>
        <w:tab/>
        <w:t xml:space="preserve">Yuan B, Shao M, de </w:t>
      </w:r>
      <w:proofErr w:type="spellStart"/>
      <w:r w:rsidRPr="00BC2ED3">
        <w:rPr>
          <w:rFonts w:ascii="Arial" w:hAnsi="Arial" w:cs="Arial"/>
          <w:sz w:val="22"/>
          <w:szCs w:val="22"/>
        </w:rPr>
        <w:t>Gouw</w:t>
      </w:r>
      <w:proofErr w:type="spellEnd"/>
      <w:r w:rsidRPr="00BC2ED3">
        <w:rPr>
          <w:rFonts w:ascii="Arial" w:hAnsi="Arial" w:cs="Arial"/>
          <w:sz w:val="22"/>
          <w:szCs w:val="22"/>
        </w:rPr>
        <w:t xml:space="preserve"> J, Parrish DD, Lu S, Wang M </w:t>
      </w:r>
      <w:r w:rsidRPr="00BC2ED3">
        <w:rPr>
          <w:rFonts w:ascii="Arial" w:hAnsi="Arial" w:cs="Arial"/>
          <w:i/>
          <w:iCs/>
          <w:sz w:val="22"/>
          <w:szCs w:val="22"/>
        </w:rPr>
        <w:t>et al.</w:t>
      </w:r>
      <w:r w:rsidRPr="00BC2ED3">
        <w:rPr>
          <w:rFonts w:ascii="Arial" w:hAnsi="Arial" w:cs="Arial"/>
          <w:sz w:val="22"/>
          <w:szCs w:val="22"/>
        </w:rPr>
        <w:t xml:space="preserve"> Volatile organic compounds (VOCs) in urban air: How chemistry affects the interpretation of positive matrix factorization (PMF) analysis. </w:t>
      </w:r>
      <w:r w:rsidRPr="00BC2ED3">
        <w:rPr>
          <w:rFonts w:ascii="Arial" w:hAnsi="Arial" w:cs="Arial"/>
          <w:i/>
          <w:iCs/>
          <w:sz w:val="22"/>
          <w:szCs w:val="22"/>
        </w:rPr>
        <w:t>Journal of Geophysical Research: Atmospheres</w:t>
      </w:r>
      <w:r w:rsidRPr="00BC2ED3">
        <w:rPr>
          <w:rFonts w:ascii="Arial" w:hAnsi="Arial" w:cs="Arial"/>
          <w:sz w:val="22"/>
          <w:szCs w:val="22"/>
        </w:rPr>
        <w:t xml:space="preserve"> 2012; </w:t>
      </w:r>
      <w:r w:rsidRPr="00BC2ED3">
        <w:rPr>
          <w:rFonts w:ascii="Arial" w:hAnsi="Arial" w:cs="Arial"/>
          <w:b/>
          <w:bCs/>
          <w:sz w:val="22"/>
          <w:szCs w:val="22"/>
        </w:rPr>
        <w:t>117</w:t>
      </w:r>
      <w:r w:rsidRPr="00BC2ED3">
        <w:rPr>
          <w:rFonts w:ascii="Arial" w:hAnsi="Arial" w:cs="Arial"/>
          <w:sz w:val="22"/>
          <w:szCs w:val="22"/>
        </w:rPr>
        <w:t>. doi:10.1029/2012JD018236.</w:t>
      </w:r>
    </w:p>
    <w:p w14:paraId="24A0A304" w14:textId="77777777" w:rsidR="00C31C4A" w:rsidRPr="00BC2ED3" w:rsidRDefault="00C31C4A" w:rsidP="00C31C4A">
      <w:pPr>
        <w:pStyle w:val="Bibliography"/>
        <w:rPr>
          <w:rFonts w:ascii="Arial" w:hAnsi="Arial" w:cs="Arial"/>
          <w:sz w:val="22"/>
          <w:szCs w:val="22"/>
        </w:rPr>
      </w:pPr>
      <w:r w:rsidRPr="00BC2ED3">
        <w:rPr>
          <w:rFonts w:ascii="Arial" w:hAnsi="Arial" w:cs="Arial"/>
          <w:sz w:val="22"/>
          <w:szCs w:val="22"/>
        </w:rPr>
        <w:t xml:space="preserve">64 </w:t>
      </w:r>
      <w:r w:rsidRPr="00BC2ED3">
        <w:rPr>
          <w:rFonts w:ascii="Arial" w:hAnsi="Arial" w:cs="Arial"/>
          <w:sz w:val="22"/>
          <w:szCs w:val="22"/>
        </w:rPr>
        <w:tab/>
        <w:t xml:space="preserve">McCarthy MC, </w:t>
      </w:r>
      <w:proofErr w:type="spellStart"/>
      <w:r w:rsidRPr="00BC2ED3">
        <w:rPr>
          <w:rFonts w:ascii="Arial" w:hAnsi="Arial" w:cs="Arial"/>
          <w:sz w:val="22"/>
          <w:szCs w:val="22"/>
        </w:rPr>
        <w:t>Aklilu</w:t>
      </w:r>
      <w:proofErr w:type="spellEnd"/>
      <w:r w:rsidRPr="00BC2ED3">
        <w:rPr>
          <w:rFonts w:ascii="Arial" w:hAnsi="Arial" w:cs="Arial"/>
          <w:sz w:val="22"/>
          <w:szCs w:val="22"/>
        </w:rPr>
        <w:t xml:space="preserve"> Y-A, Brown SG, </w:t>
      </w:r>
      <w:proofErr w:type="spellStart"/>
      <w:r w:rsidRPr="00BC2ED3">
        <w:rPr>
          <w:rFonts w:ascii="Arial" w:hAnsi="Arial" w:cs="Arial"/>
          <w:sz w:val="22"/>
          <w:szCs w:val="22"/>
        </w:rPr>
        <w:t>Lyder</w:t>
      </w:r>
      <w:proofErr w:type="spellEnd"/>
      <w:r w:rsidRPr="00BC2ED3">
        <w:rPr>
          <w:rFonts w:ascii="Arial" w:hAnsi="Arial" w:cs="Arial"/>
          <w:sz w:val="22"/>
          <w:szCs w:val="22"/>
        </w:rPr>
        <w:t xml:space="preserve"> DA. Source apportionment of volatile organic compounds measured in Edmonton, Alberta. </w:t>
      </w:r>
      <w:r w:rsidRPr="00BC2ED3">
        <w:rPr>
          <w:rFonts w:ascii="Arial" w:hAnsi="Arial" w:cs="Arial"/>
          <w:i/>
          <w:iCs/>
          <w:sz w:val="22"/>
          <w:szCs w:val="22"/>
        </w:rPr>
        <w:t>Atmospheric Environment</w:t>
      </w:r>
      <w:r w:rsidRPr="00BC2ED3">
        <w:rPr>
          <w:rFonts w:ascii="Arial" w:hAnsi="Arial" w:cs="Arial"/>
          <w:sz w:val="22"/>
          <w:szCs w:val="22"/>
        </w:rPr>
        <w:t xml:space="preserve"> 2013; </w:t>
      </w:r>
      <w:r w:rsidRPr="00BC2ED3">
        <w:rPr>
          <w:rFonts w:ascii="Arial" w:hAnsi="Arial" w:cs="Arial"/>
          <w:b/>
          <w:bCs/>
          <w:sz w:val="22"/>
          <w:szCs w:val="22"/>
        </w:rPr>
        <w:t>81</w:t>
      </w:r>
      <w:r w:rsidRPr="00BC2ED3">
        <w:rPr>
          <w:rFonts w:ascii="Arial" w:hAnsi="Arial" w:cs="Arial"/>
          <w:sz w:val="22"/>
          <w:szCs w:val="22"/>
        </w:rPr>
        <w:t>: 504–516.</w:t>
      </w:r>
    </w:p>
    <w:p w14:paraId="6FDB2098" w14:textId="6CE4CF12" w:rsidR="008C5966" w:rsidRPr="00BC2ED3" w:rsidRDefault="001D2683" w:rsidP="00BC2ED3">
      <w:pPr>
        <w:pStyle w:val="Bibliography"/>
        <w:ind w:left="0" w:firstLine="0"/>
        <w:rPr>
          <w:rFonts w:ascii="Arial" w:hAnsi="Arial" w:cs="Arial"/>
        </w:rPr>
      </w:pPr>
      <w:r w:rsidRPr="00BC2ED3">
        <w:rPr>
          <w:rFonts w:ascii="Arial" w:hAnsi="Arial" w:cs="Arial"/>
          <w:sz w:val="22"/>
          <w:szCs w:val="22"/>
        </w:rPr>
        <w:fldChar w:fldCharType="end"/>
      </w:r>
    </w:p>
    <w:p w14:paraId="4C747F82" w14:textId="3E39FB0A" w:rsidR="00586726" w:rsidRDefault="006117B1">
      <w:pPr>
        <w:autoSpaceDE/>
        <w:autoSpaceDN/>
        <w:adjustRightInd/>
        <w:rPr>
          <w:rFonts w:ascii="Arial" w:hAnsi="Arial" w:cs="Arial"/>
        </w:rPr>
      </w:pPr>
      <w:commentRangeStart w:id="12"/>
      <w:commentRangeStart w:id="13"/>
      <w:r>
        <w:rPr>
          <w:rFonts w:ascii="Arial" w:hAnsi="Arial" w:cs="Arial"/>
          <w:b/>
          <w:bCs/>
        </w:rPr>
        <w:t>Table</w:t>
      </w:r>
      <w:r w:rsidR="005221EB">
        <w:rPr>
          <w:rFonts w:ascii="Arial" w:hAnsi="Arial" w:cs="Arial"/>
          <w:b/>
          <w:bCs/>
        </w:rPr>
        <w:t xml:space="preserve"> 1</w:t>
      </w:r>
      <w:r>
        <w:rPr>
          <w:rFonts w:ascii="Arial" w:hAnsi="Arial" w:cs="Arial"/>
          <w:b/>
          <w:bCs/>
        </w:rPr>
        <w:t xml:space="preserve">. </w:t>
      </w:r>
      <w:commentRangeEnd w:id="12"/>
      <w:r w:rsidR="009E17A0">
        <w:rPr>
          <w:rStyle w:val="CommentReference"/>
        </w:rPr>
        <w:commentReference w:id="12"/>
      </w:r>
      <w:commentRangeEnd w:id="13"/>
      <w:r w:rsidR="00C93267">
        <w:rPr>
          <w:rStyle w:val="CommentReference"/>
        </w:rPr>
        <w:commentReference w:id="13"/>
      </w:r>
      <w:r w:rsidR="00CC2A9C">
        <w:rPr>
          <w:rFonts w:ascii="Arial" w:hAnsi="Arial" w:cs="Arial"/>
        </w:rPr>
        <w:t>Median [IQR]</w:t>
      </w:r>
      <w:r w:rsidR="00974E8D">
        <w:rPr>
          <w:rFonts w:ascii="Arial" w:hAnsi="Arial" w:cs="Arial"/>
        </w:rPr>
        <w:t xml:space="preserve"> </w:t>
      </w:r>
      <w:r w:rsidR="00286825">
        <w:rPr>
          <w:rFonts w:ascii="Arial" w:hAnsi="Arial" w:cs="Arial"/>
        </w:rPr>
        <w:t xml:space="preserve">of each measured VOC for </w:t>
      </w:r>
      <w:r w:rsidR="00AB349E">
        <w:rPr>
          <w:rFonts w:ascii="Arial" w:hAnsi="Arial" w:cs="Arial"/>
        </w:rPr>
        <w:t xml:space="preserve">sites in </w:t>
      </w:r>
      <w:r w:rsidR="00AB349E" w:rsidRPr="00B5189B">
        <w:rPr>
          <w:rFonts w:ascii="Arial" w:hAnsi="Arial" w:cs="Arial"/>
        </w:rPr>
        <w:t>µg/m</w:t>
      </w:r>
      <w:r w:rsidR="00AB349E" w:rsidRPr="00B5189B">
        <w:rPr>
          <w:rFonts w:ascii="Arial" w:hAnsi="Arial" w:cs="Arial"/>
          <w:vertAlign w:val="superscript"/>
        </w:rPr>
        <w:t>3</w:t>
      </w:r>
      <w:r w:rsidR="00184B2D">
        <w:rPr>
          <w:rFonts w:ascii="Arial" w:hAnsi="Arial" w:cs="Arial"/>
        </w:rPr>
        <w:t xml:space="preserve"> stratified by site type. </w:t>
      </w:r>
      <w:r w:rsidR="00586726">
        <w:rPr>
          <w:rFonts w:ascii="Arial" w:hAnsi="Arial" w:cs="Arial"/>
        </w:rPr>
        <w:t>Stationary sites were sampled weekly for one year, and community sites were sampled for 4 total weeks in a rotating fashion across one summer and one winter session.</w:t>
      </w:r>
      <w:r w:rsidR="00184B2D">
        <w:rPr>
          <w:rFonts w:ascii="Arial" w:hAnsi="Arial" w:cs="Arial"/>
        </w:rPr>
        <w:t xml:space="preserve"> Sites were considered industrial if &gt;20% of the area within a 100m buffer of the site is of industrial land use categorization.</w:t>
      </w:r>
    </w:p>
    <w:p w14:paraId="0DF1115B" w14:textId="77777777" w:rsidR="00264CDD" w:rsidRPr="00586726" w:rsidRDefault="00264CDD">
      <w:pPr>
        <w:autoSpaceDE/>
        <w:autoSpaceDN/>
        <w:adjustRightInd/>
        <w:rPr>
          <w:rFonts w:ascii="Arial" w:hAnsi="Arial" w:cs="Arial"/>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1615"/>
        <w:gridCol w:w="1305"/>
        <w:gridCol w:w="1305"/>
        <w:gridCol w:w="1260"/>
        <w:gridCol w:w="1350"/>
        <w:gridCol w:w="1305"/>
        <w:gridCol w:w="1305"/>
      </w:tblGrid>
      <w:tr w:rsidR="002D4B38" w:rsidRPr="00FC1C73" w14:paraId="2322D9BE" w14:textId="77777777" w:rsidTr="003923EA">
        <w:trPr>
          <w:trHeight w:val="300"/>
          <w:tblHeader/>
        </w:trPr>
        <w:tc>
          <w:tcPr>
            <w:tcW w:w="1615" w:type="dxa"/>
            <w:vMerge w:val="restart"/>
            <w:noWrap/>
            <w:vAlign w:val="bottom"/>
          </w:tcPr>
          <w:p w14:paraId="6F440A5A" w14:textId="77777777" w:rsidR="002D4B38" w:rsidRPr="00FC1C73" w:rsidRDefault="002D4B38" w:rsidP="00F246B1">
            <w:pPr>
              <w:autoSpaceDE/>
              <w:autoSpaceDN/>
              <w:adjustRightInd/>
              <w:rPr>
                <w:rFonts w:ascii="Arial" w:hAnsi="Arial" w:cs="Arial"/>
                <w:color w:val="000000"/>
                <w:sz w:val="18"/>
                <w:szCs w:val="18"/>
              </w:rPr>
            </w:pPr>
          </w:p>
        </w:tc>
        <w:tc>
          <w:tcPr>
            <w:tcW w:w="3870" w:type="dxa"/>
            <w:gridSpan w:val="3"/>
            <w:noWrap/>
            <w:vAlign w:val="bottom"/>
          </w:tcPr>
          <w:p w14:paraId="2F2C8212" w14:textId="56B5DD03" w:rsidR="002D4B38" w:rsidRDefault="002D4B38" w:rsidP="003B1440">
            <w:pPr>
              <w:autoSpaceDE/>
              <w:autoSpaceDN/>
              <w:adjustRightInd/>
              <w:jc w:val="center"/>
              <w:rPr>
                <w:rFonts w:ascii="Arial" w:hAnsi="Arial" w:cs="Arial"/>
                <w:color w:val="000000"/>
                <w:kern w:val="0"/>
                <w:sz w:val="18"/>
                <w:szCs w:val="18"/>
                <w14:ligatures w14:val="none"/>
              </w:rPr>
            </w:pPr>
            <w:r>
              <w:rPr>
                <w:rFonts w:ascii="Arial" w:hAnsi="Arial" w:cs="Arial"/>
                <w:color w:val="000000"/>
                <w:kern w:val="0"/>
                <w:sz w:val="18"/>
                <w:szCs w:val="18"/>
                <w14:ligatures w14:val="none"/>
              </w:rPr>
              <w:t>Weekly Sites</w:t>
            </w:r>
          </w:p>
        </w:tc>
        <w:tc>
          <w:tcPr>
            <w:tcW w:w="3960" w:type="dxa"/>
            <w:gridSpan w:val="3"/>
            <w:vAlign w:val="bottom"/>
          </w:tcPr>
          <w:p w14:paraId="67A95285" w14:textId="09C402B3" w:rsidR="002D4B38" w:rsidRPr="00FC1C73" w:rsidRDefault="002D4B38" w:rsidP="003B1440">
            <w:pPr>
              <w:autoSpaceDE/>
              <w:autoSpaceDN/>
              <w:adjustRightInd/>
              <w:jc w:val="center"/>
              <w:rPr>
                <w:rFonts w:ascii="Arial" w:hAnsi="Arial" w:cs="Arial"/>
                <w:color w:val="000000"/>
                <w:sz w:val="18"/>
                <w:szCs w:val="18"/>
              </w:rPr>
            </w:pPr>
            <w:r>
              <w:rPr>
                <w:rFonts w:ascii="Arial" w:hAnsi="Arial" w:cs="Arial"/>
                <w:color w:val="000000"/>
                <w:sz w:val="18"/>
                <w:szCs w:val="18"/>
              </w:rPr>
              <w:t>Rotating Community Sites</w:t>
            </w:r>
          </w:p>
        </w:tc>
      </w:tr>
      <w:tr w:rsidR="002D4B38" w:rsidRPr="00FC1C73" w14:paraId="16740E94" w14:textId="77777777" w:rsidTr="003923EA">
        <w:trPr>
          <w:trHeight w:val="300"/>
          <w:tblHeader/>
        </w:trPr>
        <w:tc>
          <w:tcPr>
            <w:tcW w:w="1615" w:type="dxa"/>
            <w:vMerge/>
            <w:noWrap/>
            <w:vAlign w:val="bottom"/>
          </w:tcPr>
          <w:p w14:paraId="257C090C" w14:textId="77777777" w:rsidR="002D4B38" w:rsidRPr="00FC1C73" w:rsidRDefault="002D4B38" w:rsidP="00F246B1">
            <w:pPr>
              <w:autoSpaceDE/>
              <w:autoSpaceDN/>
              <w:adjustRightInd/>
              <w:rPr>
                <w:rFonts w:ascii="Arial" w:hAnsi="Arial" w:cs="Arial"/>
                <w:color w:val="000000"/>
                <w:sz w:val="18"/>
                <w:szCs w:val="18"/>
              </w:rPr>
            </w:pPr>
          </w:p>
        </w:tc>
        <w:tc>
          <w:tcPr>
            <w:tcW w:w="1305" w:type="dxa"/>
            <w:noWrap/>
            <w:vAlign w:val="bottom"/>
          </w:tcPr>
          <w:p w14:paraId="2273E069" w14:textId="789982B8" w:rsidR="002D4B38" w:rsidRDefault="002D4B38" w:rsidP="003B1440">
            <w:pPr>
              <w:autoSpaceDE/>
              <w:autoSpaceDN/>
              <w:adjustRightInd/>
              <w:jc w:val="center"/>
              <w:rPr>
                <w:rFonts w:ascii="Arial" w:hAnsi="Arial" w:cs="Arial"/>
                <w:color w:val="000000"/>
                <w:kern w:val="0"/>
                <w:sz w:val="18"/>
                <w:szCs w:val="18"/>
                <w14:ligatures w14:val="none"/>
              </w:rPr>
            </w:pPr>
            <w:r>
              <w:rPr>
                <w:rFonts w:ascii="Arial" w:hAnsi="Arial" w:cs="Arial"/>
                <w:color w:val="000000"/>
                <w:kern w:val="0"/>
                <w:sz w:val="18"/>
                <w:szCs w:val="18"/>
                <w14:ligatures w14:val="none"/>
              </w:rPr>
              <w:t>Overall</w:t>
            </w:r>
          </w:p>
        </w:tc>
        <w:tc>
          <w:tcPr>
            <w:tcW w:w="1305" w:type="dxa"/>
            <w:noWrap/>
            <w:vAlign w:val="bottom"/>
          </w:tcPr>
          <w:p w14:paraId="5274E7D2" w14:textId="64290EB5" w:rsidR="002D4B38" w:rsidRDefault="002D4B38" w:rsidP="003B1440">
            <w:pPr>
              <w:autoSpaceDE/>
              <w:autoSpaceDN/>
              <w:adjustRightInd/>
              <w:jc w:val="center"/>
              <w:rPr>
                <w:rFonts w:ascii="Arial" w:hAnsi="Arial" w:cs="Arial"/>
                <w:color w:val="000000"/>
                <w:kern w:val="0"/>
                <w:sz w:val="18"/>
                <w:szCs w:val="18"/>
                <w14:ligatures w14:val="none"/>
              </w:rPr>
            </w:pPr>
            <w:r>
              <w:rPr>
                <w:rFonts w:ascii="Arial" w:hAnsi="Arial" w:cs="Arial"/>
                <w:color w:val="000000"/>
                <w:kern w:val="0"/>
                <w:sz w:val="18"/>
                <w:szCs w:val="18"/>
                <w14:ligatures w14:val="none"/>
              </w:rPr>
              <w:t>Industrial</w:t>
            </w:r>
          </w:p>
        </w:tc>
        <w:tc>
          <w:tcPr>
            <w:tcW w:w="1260" w:type="dxa"/>
            <w:noWrap/>
            <w:vAlign w:val="bottom"/>
          </w:tcPr>
          <w:p w14:paraId="69EE4EA9" w14:textId="7F8AEEA7" w:rsidR="002D4B38" w:rsidRDefault="002D4B38" w:rsidP="003B1440">
            <w:pPr>
              <w:autoSpaceDE/>
              <w:autoSpaceDN/>
              <w:adjustRightInd/>
              <w:jc w:val="center"/>
              <w:rPr>
                <w:rFonts w:ascii="Arial" w:hAnsi="Arial" w:cs="Arial"/>
                <w:color w:val="000000"/>
                <w:kern w:val="0"/>
                <w:sz w:val="18"/>
                <w:szCs w:val="18"/>
                <w14:ligatures w14:val="none"/>
              </w:rPr>
            </w:pPr>
            <w:r>
              <w:rPr>
                <w:rFonts w:ascii="Arial" w:hAnsi="Arial" w:cs="Arial"/>
                <w:color w:val="000000"/>
                <w:kern w:val="0"/>
                <w:sz w:val="18"/>
                <w:szCs w:val="18"/>
                <w14:ligatures w14:val="none"/>
              </w:rPr>
              <w:t>Non-Industrial</w:t>
            </w:r>
          </w:p>
        </w:tc>
        <w:tc>
          <w:tcPr>
            <w:tcW w:w="1350" w:type="dxa"/>
            <w:vAlign w:val="bottom"/>
          </w:tcPr>
          <w:p w14:paraId="764C8E65" w14:textId="1F96697C" w:rsidR="002D4B38" w:rsidRPr="00FC1C73" w:rsidRDefault="002D4B38" w:rsidP="003B1440">
            <w:pPr>
              <w:autoSpaceDE/>
              <w:autoSpaceDN/>
              <w:adjustRightInd/>
              <w:jc w:val="center"/>
              <w:rPr>
                <w:rFonts w:ascii="Arial" w:hAnsi="Arial" w:cs="Arial"/>
                <w:color w:val="000000"/>
                <w:sz w:val="18"/>
                <w:szCs w:val="18"/>
              </w:rPr>
            </w:pPr>
            <w:r>
              <w:rPr>
                <w:rFonts w:ascii="Arial" w:hAnsi="Arial" w:cs="Arial"/>
                <w:color w:val="000000"/>
                <w:sz w:val="18"/>
                <w:szCs w:val="18"/>
              </w:rPr>
              <w:t>Overall</w:t>
            </w:r>
          </w:p>
        </w:tc>
        <w:tc>
          <w:tcPr>
            <w:tcW w:w="1305" w:type="dxa"/>
            <w:vAlign w:val="bottom"/>
          </w:tcPr>
          <w:p w14:paraId="71FFB332" w14:textId="5B880868" w:rsidR="002D4B38" w:rsidRPr="00FC1C73" w:rsidRDefault="002D4B38" w:rsidP="003B1440">
            <w:pPr>
              <w:autoSpaceDE/>
              <w:autoSpaceDN/>
              <w:adjustRightInd/>
              <w:jc w:val="center"/>
              <w:rPr>
                <w:rFonts w:ascii="Arial" w:hAnsi="Arial" w:cs="Arial"/>
                <w:color w:val="000000"/>
                <w:sz w:val="18"/>
                <w:szCs w:val="18"/>
              </w:rPr>
            </w:pPr>
            <w:r>
              <w:rPr>
                <w:rFonts w:ascii="Arial" w:hAnsi="Arial" w:cs="Arial"/>
                <w:color w:val="000000"/>
                <w:sz w:val="18"/>
                <w:szCs w:val="18"/>
              </w:rPr>
              <w:t>Industrial</w:t>
            </w:r>
          </w:p>
        </w:tc>
        <w:tc>
          <w:tcPr>
            <w:tcW w:w="1305" w:type="dxa"/>
            <w:vAlign w:val="bottom"/>
          </w:tcPr>
          <w:p w14:paraId="798A84C4" w14:textId="65280EF8" w:rsidR="002D4B38" w:rsidRPr="00FC1C73" w:rsidRDefault="002D4B38" w:rsidP="003B1440">
            <w:pPr>
              <w:autoSpaceDE/>
              <w:autoSpaceDN/>
              <w:adjustRightInd/>
              <w:jc w:val="center"/>
              <w:rPr>
                <w:rFonts w:ascii="Arial" w:hAnsi="Arial" w:cs="Arial"/>
                <w:color w:val="000000"/>
                <w:sz w:val="18"/>
                <w:szCs w:val="18"/>
              </w:rPr>
            </w:pPr>
            <w:r>
              <w:rPr>
                <w:rFonts w:ascii="Arial" w:hAnsi="Arial" w:cs="Arial"/>
                <w:color w:val="000000"/>
                <w:sz w:val="18"/>
                <w:szCs w:val="18"/>
              </w:rPr>
              <w:t>Non-Industrial</w:t>
            </w:r>
          </w:p>
        </w:tc>
      </w:tr>
      <w:tr w:rsidR="002D4B38" w:rsidRPr="00FC1C73" w14:paraId="4C15CF00" w14:textId="77777777" w:rsidTr="003923EA">
        <w:trPr>
          <w:trHeight w:val="300"/>
          <w:tblHeader/>
        </w:trPr>
        <w:tc>
          <w:tcPr>
            <w:tcW w:w="1615" w:type="dxa"/>
            <w:vMerge/>
            <w:noWrap/>
            <w:vAlign w:val="bottom"/>
          </w:tcPr>
          <w:p w14:paraId="5050962C" w14:textId="77777777" w:rsidR="002D4B38" w:rsidRPr="00FC1C73" w:rsidRDefault="002D4B38" w:rsidP="00F246B1">
            <w:pPr>
              <w:autoSpaceDE/>
              <w:autoSpaceDN/>
              <w:adjustRightInd/>
              <w:rPr>
                <w:rFonts w:ascii="Arial" w:hAnsi="Arial" w:cs="Arial"/>
                <w:color w:val="000000"/>
                <w:sz w:val="18"/>
                <w:szCs w:val="18"/>
              </w:rPr>
            </w:pPr>
          </w:p>
        </w:tc>
        <w:tc>
          <w:tcPr>
            <w:tcW w:w="1305" w:type="dxa"/>
            <w:noWrap/>
            <w:vAlign w:val="bottom"/>
          </w:tcPr>
          <w:p w14:paraId="3E9DF91D" w14:textId="415D7F0D" w:rsidR="002D4B38" w:rsidRPr="004E1AF8" w:rsidRDefault="002D4B38" w:rsidP="003B1440">
            <w:pPr>
              <w:autoSpaceDE/>
              <w:autoSpaceDN/>
              <w:adjustRightInd/>
              <w:jc w:val="center"/>
              <w:rPr>
                <w:rFonts w:ascii="Arial" w:hAnsi="Arial" w:cs="Arial"/>
                <w:color w:val="000000"/>
                <w:kern w:val="0"/>
                <w:sz w:val="18"/>
                <w:szCs w:val="18"/>
                <w14:ligatures w14:val="none"/>
              </w:rPr>
            </w:pPr>
            <w:r>
              <w:rPr>
                <w:rFonts w:ascii="Arial" w:hAnsi="Arial" w:cs="Arial"/>
                <w:color w:val="000000"/>
                <w:kern w:val="0"/>
                <w:sz w:val="18"/>
                <w:szCs w:val="18"/>
                <w14:ligatures w14:val="none"/>
              </w:rPr>
              <w:t>N = 408</w:t>
            </w:r>
          </w:p>
        </w:tc>
        <w:tc>
          <w:tcPr>
            <w:tcW w:w="1305" w:type="dxa"/>
            <w:noWrap/>
            <w:vAlign w:val="bottom"/>
          </w:tcPr>
          <w:p w14:paraId="4D6AB34A" w14:textId="1066F8C5" w:rsidR="002D4B38" w:rsidRPr="004E1AF8" w:rsidRDefault="002D4B38" w:rsidP="003B1440">
            <w:pPr>
              <w:autoSpaceDE/>
              <w:autoSpaceDN/>
              <w:adjustRightInd/>
              <w:jc w:val="center"/>
              <w:rPr>
                <w:rFonts w:ascii="Arial" w:hAnsi="Arial" w:cs="Arial"/>
                <w:color w:val="000000"/>
                <w:kern w:val="0"/>
                <w:sz w:val="18"/>
                <w:szCs w:val="18"/>
                <w14:ligatures w14:val="none"/>
              </w:rPr>
            </w:pPr>
            <w:r>
              <w:rPr>
                <w:rFonts w:ascii="Arial" w:hAnsi="Arial" w:cs="Arial"/>
                <w:color w:val="000000"/>
                <w:kern w:val="0"/>
                <w:sz w:val="18"/>
                <w:szCs w:val="18"/>
                <w14:ligatures w14:val="none"/>
              </w:rPr>
              <w:t>N = 227</w:t>
            </w:r>
          </w:p>
        </w:tc>
        <w:tc>
          <w:tcPr>
            <w:tcW w:w="1260" w:type="dxa"/>
            <w:noWrap/>
            <w:vAlign w:val="bottom"/>
          </w:tcPr>
          <w:p w14:paraId="116CEAFD" w14:textId="6C608399" w:rsidR="002D4B38" w:rsidRPr="004E1AF8" w:rsidRDefault="002D4B38" w:rsidP="003B1440">
            <w:pPr>
              <w:autoSpaceDE/>
              <w:autoSpaceDN/>
              <w:adjustRightInd/>
              <w:jc w:val="center"/>
              <w:rPr>
                <w:rFonts w:ascii="Arial" w:hAnsi="Arial" w:cs="Arial"/>
                <w:color w:val="000000"/>
                <w:kern w:val="0"/>
                <w:sz w:val="18"/>
                <w:szCs w:val="18"/>
                <w14:ligatures w14:val="none"/>
              </w:rPr>
            </w:pPr>
            <w:r>
              <w:rPr>
                <w:rFonts w:ascii="Arial" w:hAnsi="Arial" w:cs="Arial"/>
                <w:color w:val="000000"/>
                <w:kern w:val="0"/>
                <w:sz w:val="18"/>
                <w:szCs w:val="18"/>
                <w14:ligatures w14:val="none"/>
              </w:rPr>
              <w:t>N = 181</w:t>
            </w:r>
          </w:p>
        </w:tc>
        <w:tc>
          <w:tcPr>
            <w:tcW w:w="1350" w:type="dxa"/>
            <w:vAlign w:val="bottom"/>
          </w:tcPr>
          <w:p w14:paraId="1A7F9BDE" w14:textId="08FB92DE" w:rsidR="002D4B38" w:rsidRPr="00FC1C73" w:rsidRDefault="002D4B38" w:rsidP="003B1440">
            <w:pPr>
              <w:autoSpaceDE/>
              <w:autoSpaceDN/>
              <w:adjustRightInd/>
              <w:jc w:val="center"/>
              <w:rPr>
                <w:rFonts w:ascii="Arial" w:hAnsi="Arial" w:cs="Arial"/>
                <w:color w:val="000000"/>
                <w:sz w:val="18"/>
                <w:szCs w:val="18"/>
              </w:rPr>
            </w:pPr>
            <w:r>
              <w:rPr>
                <w:rFonts w:ascii="Arial" w:hAnsi="Arial" w:cs="Arial"/>
                <w:color w:val="000000"/>
                <w:sz w:val="18"/>
                <w:szCs w:val="18"/>
              </w:rPr>
              <w:t>N = 46</w:t>
            </w:r>
          </w:p>
        </w:tc>
        <w:tc>
          <w:tcPr>
            <w:tcW w:w="1305" w:type="dxa"/>
            <w:vAlign w:val="bottom"/>
          </w:tcPr>
          <w:p w14:paraId="2C8B50B7" w14:textId="4E11F131" w:rsidR="002D4B38" w:rsidRPr="00FC1C73" w:rsidRDefault="002D4B38" w:rsidP="003B1440">
            <w:pPr>
              <w:autoSpaceDE/>
              <w:autoSpaceDN/>
              <w:adjustRightInd/>
              <w:jc w:val="center"/>
              <w:rPr>
                <w:rFonts w:ascii="Arial" w:hAnsi="Arial" w:cs="Arial"/>
                <w:color w:val="000000"/>
                <w:sz w:val="18"/>
                <w:szCs w:val="18"/>
              </w:rPr>
            </w:pPr>
            <w:r>
              <w:rPr>
                <w:rFonts w:ascii="Arial" w:hAnsi="Arial" w:cs="Arial"/>
                <w:color w:val="000000"/>
                <w:sz w:val="18"/>
                <w:szCs w:val="18"/>
              </w:rPr>
              <w:t>N = 12</w:t>
            </w:r>
          </w:p>
        </w:tc>
        <w:tc>
          <w:tcPr>
            <w:tcW w:w="1305" w:type="dxa"/>
            <w:vAlign w:val="bottom"/>
          </w:tcPr>
          <w:p w14:paraId="77A457BD" w14:textId="1ED310CE" w:rsidR="002D4B38" w:rsidRPr="00FC1C73" w:rsidRDefault="002D4B38" w:rsidP="003B1440">
            <w:pPr>
              <w:autoSpaceDE/>
              <w:autoSpaceDN/>
              <w:adjustRightInd/>
              <w:jc w:val="center"/>
              <w:rPr>
                <w:rFonts w:ascii="Arial" w:hAnsi="Arial" w:cs="Arial"/>
                <w:color w:val="000000"/>
                <w:sz w:val="18"/>
                <w:szCs w:val="18"/>
              </w:rPr>
            </w:pPr>
            <w:r>
              <w:rPr>
                <w:rFonts w:ascii="Arial" w:hAnsi="Arial" w:cs="Arial"/>
                <w:color w:val="000000"/>
                <w:sz w:val="18"/>
                <w:szCs w:val="18"/>
              </w:rPr>
              <w:t>N = 34</w:t>
            </w:r>
          </w:p>
        </w:tc>
      </w:tr>
      <w:tr w:rsidR="002D0EB4" w:rsidRPr="00FC1C73" w14:paraId="72DEC45A" w14:textId="77777777" w:rsidTr="003923EA">
        <w:trPr>
          <w:trHeight w:val="300"/>
        </w:trPr>
        <w:tc>
          <w:tcPr>
            <w:tcW w:w="9445" w:type="dxa"/>
            <w:gridSpan w:val="7"/>
            <w:noWrap/>
            <w:vAlign w:val="bottom"/>
          </w:tcPr>
          <w:p w14:paraId="1DB9903A" w14:textId="25A574F3" w:rsidR="002D0EB4" w:rsidRPr="00D1726A" w:rsidRDefault="002D0EB4" w:rsidP="00F246B1">
            <w:pPr>
              <w:autoSpaceDE/>
              <w:autoSpaceDN/>
              <w:adjustRightInd/>
              <w:rPr>
                <w:rFonts w:ascii="Arial" w:hAnsi="Arial" w:cs="Arial"/>
                <w:b/>
                <w:bCs/>
                <w:color w:val="000000"/>
                <w:sz w:val="18"/>
                <w:szCs w:val="18"/>
              </w:rPr>
            </w:pPr>
            <w:r w:rsidRPr="00D1726A">
              <w:rPr>
                <w:rFonts w:ascii="Arial" w:hAnsi="Arial" w:cs="Arial"/>
                <w:b/>
                <w:bCs/>
                <w:color w:val="000000"/>
                <w:sz w:val="18"/>
                <w:szCs w:val="18"/>
              </w:rPr>
              <w:t>BTEX</w:t>
            </w:r>
          </w:p>
        </w:tc>
      </w:tr>
      <w:tr w:rsidR="004C0BCF" w:rsidRPr="00FC1C73" w14:paraId="74D2F1B6" w14:textId="05380DF8" w:rsidTr="003923EA">
        <w:trPr>
          <w:trHeight w:val="300"/>
        </w:trPr>
        <w:tc>
          <w:tcPr>
            <w:tcW w:w="1615" w:type="dxa"/>
            <w:noWrap/>
            <w:vAlign w:val="bottom"/>
            <w:hideMark/>
          </w:tcPr>
          <w:p w14:paraId="46D96A7F" w14:textId="75F9C711"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Benzene</w:t>
            </w:r>
          </w:p>
        </w:tc>
        <w:tc>
          <w:tcPr>
            <w:tcW w:w="1305" w:type="dxa"/>
            <w:noWrap/>
            <w:vAlign w:val="bottom"/>
            <w:hideMark/>
          </w:tcPr>
          <w:p w14:paraId="1DD764CD" w14:textId="08474020"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1.21 [0.82, 1.64]</w:t>
            </w:r>
          </w:p>
        </w:tc>
        <w:tc>
          <w:tcPr>
            <w:tcW w:w="1305" w:type="dxa"/>
            <w:noWrap/>
            <w:vAlign w:val="bottom"/>
            <w:hideMark/>
          </w:tcPr>
          <w:p w14:paraId="6B42DE11" w14:textId="762906C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1.27 [0.87, 1.72]</w:t>
            </w:r>
          </w:p>
        </w:tc>
        <w:tc>
          <w:tcPr>
            <w:tcW w:w="1260" w:type="dxa"/>
            <w:noWrap/>
            <w:vAlign w:val="bottom"/>
            <w:hideMark/>
          </w:tcPr>
          <w:p w14:paraId="7F4E2AF5" w14:textId="76BB1FC1"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1.10 [0.76, 1.55]</w:t>
            </w:r>
          </w:p>
        </w:tc>
        <w:tc>
          <w:tcPr>
            <w:tcW w:w="1350" w:type="dxa"/>
            <w:vAlign w:val="bottom"/>
          </w:tcPr>
          <w:p w14:paraId="527C83E9" w14:textId="754967B2" w:rsidR="004C0BCF" w:rsidRPr="004C0BCF" w:rsidRDefault="004C0BCF" w:rsidP="00F246B1">
            <w:pPr>
              <w:autoSpaceDE/>
              <w:autoSpaceDN/>
              <w:adjustRightInd/>
              <w:rPr>
                <w:rFonts w:ascii="Arial" w:hAnsi="Arial" w:cs="Arial"/>
                <w:color w:val="000000"/>
                <w:sz w:val="18"/>
                <w:szCs w:val="18"/>
              </w:rPr>
            </w:pPr>
            <w:r w:rsidRPr="00FC1C73">
              <w:rPr>
                <w:rFonts w:ascii="Arial" w:hAnsi="Arial" w:cs="Arial"/>
                <w:color w:val="000000"/>
                <w:sz w:val="18"/>
                <w:szCs w:val="18"/>
              </w:rPr>
              <w:t>1.38 [0.79, 1.61]</w:t>
            </w:r>
          </w:p>
        </w:tc>
        <w:tc>
          <w:tcPr>
            <w:tcW w:w="1305" w:type="dxa"/>
            <w:vAlign w:val="bottom"/>
          </w:tcPr>
          <w:p w14:paraId="0DDD70EB" w14:textId="523F14BB" w:rsidR="004C0BCF" w:rsidRPr="004C0BCF" w:rsidRDefault="004C0BCF" w:rsidP="00F246B1">
            <w:pPr>
              <w:autoSpaceDE/>
              <w:autoSpaceDN/>
              <w:adjustRightInd/>
              <w:rPr>
                <w:rFonts w:ascii="Arial" w:hAnsi="Arial" w:cs="Arial"/>
                <w:color w:val="000000"/>
                <w:sz w:val="18"/>
                <w:szCs w:val="18"/>
              </w:rPr>
            </w:pPr>
            <w:r w:rsidRPr="00FC1C73">
              <w:rPr>
                <w:rFonts w:ascii="Arial" w:hAnsi="Arial" w:cs="Arial"/>
                <w:color w:val="000000"/>
                <w:sz w:val="18"/>
                <w:szCs w:val="18"/>
              </w:rPr>
              <w:t>1.14 [0.74, 1.48]</w:t>
            </w:r>
          </w:p>
        </w:tc>
        <w:tc>
          <w:tcPr>
            <w:tcW w:w="1305" w:type="dxa"/>
            <w:vAlign w:val="bottom"/>
          </w:tcPr>
          <w:p w14:paraId="34C03860" w14:textId="331AE8DC"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1.42 [0.86, 1.63]</w:t>
            </w:r>
          </w:p>
        </w:tc>
      </w:tr>
      <w:tr w:rsidR="004C0BCF" w:rsidRPr="00FC1C73" w14:paraId="0CB09C14" w14:textId="370B9576" w:rsidTr="003923EA">
        <w:trPr>
          <w:trHeight w:val="332"/>
        </w:trPr>
        <w:tc>
          <w:tcPr>
            <w:tcW w:w="1615" w:type="dxa"/>
            <w:noWrap/>
            <w:vAlign w:val="bottom"/>
            <w:hideMark/>
          </w:tcPr>
          <w:p w14:paraId="5B8FC4EF" w14:textId="3C4D2721"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Toluene</w:t>
            </w:r>
          </w:p>
        </w:tc>
        <w:tc>
          <w:tcPr>
            <w:tcW w:w="1305" w:type="dxa"/>
            <w:noWrap/>
            <w:vAlign w:val="bottom"/>
            <w:hideMark/>
          </w:tcPr>
          <w:p w14:paraId="3582DB5E" w14:textId="246A8EF6"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1.95 [1.47, 2.87]</w:t>
            </w:r>
          </w:p>
        </w:tc>
        <w:tc>
          <w:tcPr>
            <w:tcW w:w="1305" w:type="dxa"/>
            <w:noWrap/>
            <w:vAlign w:val="bottom"/>
            <w:hideMark/>
          </w:tcPr>
          <w:p w14:paraId="7826771E" w14:textId="57FB221B"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2.18 [1.56, 3.16]</w:t>
            </w:r>
          </w:p>
        </w:tc>
        <w:tc>
          <w:tcPr>
            <w:tcW w:w="1260" w:type="dxa"/>
            <w:noWrap/>
            <w:vAlign w:val="bottom"/>
            <w:hideMark/>
          </w:tcPr>
          <w:p w14:paraId="76B4AF29" w14:textId="02733CD0"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1.70 [1.38, 2.50]</w:t>
            </w:r>
          </w:p>
        </w:tc>
        <w:tc>
          <w:tcPr>
            <w:tcW w:w="1350" w:type="dxa"/>
            <w:vAlign w:val="bottom"/>
          </w:tcPr>
          <w:p w14:paraId="5271927A" w14:textId="717AC2C2" w:rsidR="004C0BCF" w:rsidRPr="004C0BCF" w:rsidRDefault="004C0BCF" w:rsidP="00F246B1">
            <w:pPr>
              <w:autoSpaceDE/>
              <w:autoSpaceDN/>
              <w:adjustRightInd/>
              <w:rPr>
                <w:rFonts w:ascii="Arial" w:hAnsi="Arial" w:cs="Arial"/>
                <w:color w:val="000000"/>
                <w:sz w:val="18"/>
                <w:szCs w:val="18"/>
              </w:rPr>
            </w:pPr>
            <w:r w:rsidRPr="00FC1C73">
              <w:rPr>
                <w:rFonts w:ascii="Arial" w:hAnsi="Arial" w:cs="Arial"/>
                <w:color w:val="000000"/>
                <w:sz w:val="18"/>
                <w:szCs w:val="18"/>
              </w:rPr>
              <w:t>2.05 [1.48, 2.70]</w:t>
            </w:r>
          </w:p>
        </w:tc>
        <w:tc>
          <w:tcPr>
            <w:tcW w:w="1305" w:type="dxa"/>
            <w:vAlign w:val="bottom"/>
          </w:tcPr>
          <w:p w14:paraId="6A0D3E84" w14:textId="33B52C3D" w:rsidR="004C0BCF" w:rsidRPr="004C0BCF" w:rsidRDefault="004C0BCF" w:rsidP="00F246B1">
            <w:pPr>
              <w:autoSpaceDE/>
              <w:autoSpaceDN/>
              <w:adjustRightInd/>
              <w:rPr>
                <w:rFonts w:ascii="Arial" w:hAnsi="Arial" w:cs="Arial"/>
                <w:color w:val="000000"/>
                <w:sz w:val="18"/>
                <w:szCs w:val="18"/>
              </w:rPr>
            </w:pPr>
            <w:r w:rsidRPr="00FC1C73">
              <w:rPr>
                <w:rFonts w:ascii="Arial" w:hAnsi="Arial" w:cs="Arial"/>
                <w:color w:val="000000"/>
                <w:sz w:val="18"/>
                <w:szCs w:val="18"/>
              </w:rPr>
              <w:t>2.08 [1.73, 2.61]</w:t>
            </w:r>
          </w:p>
        </w:tc>
        <w:tc>
          <w:tcPr>
            <w:tcW w:w="1305" w:type="dxa"/>
            <w:vAlign w:val="bottom"/>
          </w:tcPr>
          <w:p w14:paraId="72BD8FD1" w14:textId="2E3CCBEC"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2.05 [1.48, 2.70]</w:t>
            </w:r>
          </w:p>
        </w:tc>
      </w:tr>
      <w:tr w:rsidR="004C0BCF" w:rsidRPr="00FC1C73" w14:paraId="1F61E403" w14:textId="3161A097" w:rsidTr="003923EA">
        <w:trPr>
          <w:trHeight w:val="300"/>
        </w:trPr>
        <w:tc>
          <w:tcPr>
            <w:tcW w:w="1615" w:type="dxa"/>
            <w:noWrap/>
            <w:vAlign w:val="bottom"/>
            <w:hideMark/>
          </w:tcPr>
          <w:p w14:paraId="6E605932" w14:textId="7C159555"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Ethylbenzene</w:t>
            </w:r>
          </w:p>
        </w:tc>
        <w:tc>
          <w:tcPr>
            <w:tcW w:w="1305" w:type="dxa"/>
            <w:noWrap/>
            <w:vAlign w:val="bottom"/>
            <w:hideMark/>
          </w:tcPr>
          <w:p w14:paraId="014ABA4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0.52 [0.40, 0.75]</w:t>
            </w:r>
          </w:p>
        </w:tc>
        <w:tc>
          <w:tcPr>
            <w:tcW w:w="1305" w:type="dxa"/>
            <w:noWrap/>
            <w:vAlign w:val="bottom"/>
            <w:hideMark/>
          </w:tcPr>
          <w:p w14:paraId="2AD89A2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0.60 [0.43, 0.83]</w:t>
            </w:r>
          </w:p>
        </w:tc>
        <w:tc>
          <w:tcPr>
            <w:tcW w:w="1260" w:type="dxa"/>
            <w:noWrap/>
            <w:vAlign w:val="bottom"/>
            <w:hideMark/>
          </w:tcPr>
          <w:p w14:paraId="529E564F"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0.46 [0.36, 0.61]</w:t>
            </w:r>
          </w:p>
        </w:tc>
        <w:tc>
          <w:tcPr>
            <w:tcW w:w="1350" w:type="dxa"/>
            <w:vAlign w:val="bottom"/>
          </w:tcPr>
          <w:p w14:paraId="095A91C8" w14:textId="6D67E71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0.52 [0.39, 0.64]</w:t>
            </w:r>
          </w:p>
        </w:tc>
        <w:tc>
          <w:tcPr>
            <w:tcW w:w="1305" w:type="dxa"/>
            <w:vAlign w:val="bottom"/>
          </w:tcPr>
          <w:p w14:paraId="72975FB9" w14:textId="461831D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0.51 [0.44, 0.56]</w:t>
            </w:r>
          </w:p>
        </w:tc>
        <w:tc>
          <w:tcPr>
            <w:tcW w:w="1305" w:type="dxa"/>
            <w:vAlign w:val="bottom"/>
          </w:tcPr>
          <w:p w14:paraId="7C674F7B" w14:textId="293D0E0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0.52 [0.37, 0.72]</w:t>
            </w:r>
          </w:p>
        </w:tc>
      </w:tr>
      <w:tr w:rsidR="004C0BCF" w:rsidRPr="00FC1C73" w14:paraId="493595D5" w14:textId="1BD79DB6" w:rsidTr="003923EA">
        <w:trPr>
          <w:trHeight w:val="300"/>
        </w:trPr>
        <w:tc>
          <w:tcPr>
            <w:tcW w:w="1615" w:type="dxa"/>
            <w:noWrap/>
            <w:vAlign w:val="bottom"/>
            <w:hideMark/>
          </w:tcPr>
          <w:p w14:paraId="09751804" w14:textId="49B2FCAC"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w:t>
            </w:r>
            <w:proofErr w:type="spellStart"/>
            <w:r w:rsidRPr="00FC1C73">
              <w:rPr>
                <w:rFonts w:ascii="Arial" w:hAnsi="Arial" w:cs="Arial"/>
                <w:color w:val="000000"/>
                <w:sz w:val="18"/>
                <w:szCs w:val="18"/>
              </w:rPr>
              <w:t>m+p</w:t>
            </w:r>
            <w:proofErr w:type="spellEnd"/>
            <w:r w:rsidRPr="00FC1C73">
              <w:rPr>
                <w:rFonts w:ascii="Arial" w:hAnsi="Arial" w:cs="Arial"/>
                <w:color w:val="000000"/>
                <w:sz w:val="18"/>
                <w:szCs w:val="18"/>
              </w:rPr>
              <w:t>)-Xylenes</w:t>
            </w:r>
          </w:p>
        </w:tc>
        <w:tc>
          <w:tcPr>
            <w:tcW w:w="1305" w:type="dxa"/>
            <w:noWrap/>
            <w:vAlign w:val="bottom"/>
            <w:hideMark/>
          </w:tcPr>
          <w:p w14:paraId="6C270B8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3.42 [2.58, 5.14]</w:t>
            </w:r>
          </w:p>
        </w:tc>
        <w:tc>
          <w:tcPr>
            <w:tcW w:w="1305" w:type="dxa"/>
            <w:noWrap/>
            <w:vAlign w:val="bottom"/>
            <w:hideMark/>
          </w:tcPr>
          <w:p w14:paraId="30F1E4C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4.00 [2.97, 5.67]</w:t>
            </w:r>
          </w:p>
        </w:tc>
        <w:tc>
          <w:tcPr>
            <w:tcW w:w="1260" w:type="dxa"/>
            <w:noWrap/>
            <w:vAlign w:val="bottom"/>
            <w:hideMark/>
          </w:tcPr>
          <w:p w14:paraId="4AE1884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3.03 [2.42, 4.09]</w:t>
            </w:r>
          </w:p>
        </w:tc>
        <w:tc>
          <w:tcPr>
            <w:tcW w:w="1350" w:type="dxa"/>
            <w:vAlign w:val="bottom"/>
          </w:tcPr>
          <w:p w14:paraId="39CA11A8" w14:textId="264EEA5F"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2.96 [2.31, 4.25]</w:t>
            </w:r>
          </w:p>
        </w:tc>
        <w:tc>
          <w:tcPr>
            <w:tcW w:w="1305" w:type="dxa"/>
            <w:vAlign w:val="bottom"/>
          </w:tcPr>
          <w:p w14:paraId="18142FE7" w14:textId="3C82063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2.91 [2.64, 3.71]</w:t>
            </w:r>
          </w:p>
        </w:tc>
        <w:tc>
          <w:tcPr>
            <w:tcW w:w="1305" w:type="dxa"/>
            <w:vAlign w:val="bottom"/>
          </w:tcPr>
          <w:p w14:paraId="1AF119FD" w14:textId="633565AA"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3.10 [2.20, 4.77]</w:t>
            </w:r>
          </w:p>
        </w:tc>
      </w:tr>
      <w:tr w:rsidR="004C0BCF" w:rsidRPr="00FC1C73" w14:paraId="3D942C9F" w14:textId="5DC4CA33" w:rsidTr="003923EA">
        <w:trPr>
          <w:trHeight w:val="300"/>
        </w:trPr>
        <w:tc>
          <w:tcPr>
            <w:tcW w:w="1615" w:type="dxa"/>
            <w:noWrap/>
            <w:vAlign w:val="bottom"/>
            <w:hideMark/>
          </w:tcPr>
          <w:p w14:paraId="27C1F342" w14:textId="3A6992D5"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o-Xylene</w:t>
            </w:r>
          </w:p>
        </w:tc>
        <w:tc>
          <w:tcPr>
            <w:tcW w:w="1305" w:type="dxa"/>
            <w:noWrap/>
            <w:vAlign w:val="bottom"/>
            <w:hideMark/>
          </w:tcPr>
          <w:p w14:paraId="569DED83"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0.75 [0.57, 1.10]</w:t>
            </w:r>
          </w:p>
        </w:tc>
        <w:tc>
          <w:tcPr>
            <w:tcW w:w="1305" w:type="dxa"/>
            <w:noWrap/>
            <w:vAlign w:val="bottom"/>
            <w:hideMark/>
          </w:tcPr>
          <w:p w14:paraId="03AD9FD2"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0.86 [0.64, 1.24]</w:t>
            </w:r>
          </w:p>
        </w:tc>
        <w:tc>
          <w:tcPr>
            <w:tcW w:w="1260" w:type="dxa"/>
            <w:noWrap/>
            <w:vAlign w:val="bottom"/>
            <w:hideMark/>
          </w:tcPr>
          <w:p w14:paraId="36D8FDFA"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0.68 [0.52, 0.87]</w:t>
            </w:r>
          </w:p>
        </w:tc>
        <w:tc>
          <w:tcPr>
            <w:tcW w:w="1350" w:type="dxa"/>
            <w:vAlign w:val="bottom"/>
          </w:tcPr>
          <w:p w14:paraId="618DE469" w14:textId="128A040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0.71 [0.55, 0.93]</w:t>
            </w:r>
          </w:p>
        </w:tc>
        <w:tc>
          <w:tcPr>
            <w:tcW w:w="1305" w:type="dxa"/>
            <w:vAlign w:val="bottom"/>
          </w:tcPr>
          <w:p w14:paraId="1B8080D7" w14:textId="53C8344A"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0.70 [0.58, 0.78]</w:t>
            </w:r>
          </w:p>
        </w:tc>
        <w:tc>
          <w:tcPr>
            <w:tcW w:w="1305" w:type="dxa"/>
            <w:vAlign w:val="bottom"/>
          </w:tcPr>
          <w:p w14:paraId="7CB340F3" w14:textId="428ACEE1"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0.71 [0.55, 1.00]</w:t>
            </w:r>
          </w:p>
        </w:tc>
      </w:tr>
      <w:tr w:rsidR="004C0BCF" w:rsidRPr="00FC1C73" w14:paraId="0C934281" w14:textId="01EFD0FB" w:rsidTr="003923EA">
        <w:trPr>
          <w:trHeight w:val="300"/>
        </w:trPr>
        <w:tc>
          <w:tcPr>
            <w:tcW w:w="1615" w:type="dxa"/>
            <w:noWrap/>
            <w:vAlign w:val="bottom"/>
            <w:hideMark/>
          </w:tcPr>
          <w:p w14:paraId="7880B091" w14:textId="5A757253"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Total Xylenes</w:t>
            </w:r>
          </w:p>
        </w:tc>
        <w:tc>
          <w:tcPr>
            <w:tcW w:w="1305" w:type="dxa"/>
            <w:noWrap/>
            <w:vAlign w:val="bottom"/>
            <w:hideMark/>
          </w:tcPr>
          <w:p w14:paraId="7C029E96"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4.14 [3.16, 6.18]</w:t>
            </w:r>
          </w:p>
        </w:tc>
        <w:tc>
          <w:tcPr>
            <w:tcW w:w="1305" w:type="dxa"/>
            <w:noWrap/>
            <w:vAlign w:val="bottom"/>
            <w:hideMark/>
          </w:tcPr>
          <w:p w14:paraId="0B8AE0B3"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4.92 [3.64, 6.97]</w:t>
            </w:r>
          </w:p>
        </w:tc>
        <w:tc>
          <w:tcPr>
            <w:tcW w:w="1260" w:type="dxa"/>
            <w:noWrap/>
            <w:vAlign w:val="bottom"/>
            <w:hideMark/>
          </w:tcPr>
          <w:p w14:paraId="69DADE6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3.71 [2.94, 4.95]</w:t>
            </w:r>
          </w:p>
        </w:tc>
        <w:tc>
          <w:tcPr>
            <w:tcW w:w="1350" w:type="dxa"/>
            <w:vAlign w:val="bottom"/>
          </w:tcPr>
          <w:p w14:paraId="6830D9C4" w14:textId="622F58F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3.66 [2.82, 5.18]</w:t>
            </w:r>
          </w:p>
        </w:tc>
        <w:tc>
          <w:tcPr>
            <w:tcW w:w="1305" w:type="dxa"/>
            <w:vAlign w:val="bottom"/>
          </w:tcPr>
          <w:p w14:paraId="351F10F8" w14:textId="4D74E3A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3.62 [3.31, 4.48]</w:t>
            </w:r>
          </w:p>
        </w:tc>
        <w:tc>
          <w:tcPr>
            <w:tcW w:w="1305" w:type="dxa"/>
            <w:vAlign w:val="bottom"/>
          </w:tcPr>
          <w:p w14:paraId="4EE1D115" w14:textId="184E7B66"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3.79 [2.77, 5.78]</w:t>
            </w:r>
          </w:p>
        </w:tc>
      </w:tr>
      <w:tr w:rsidR="002D0EB4" w:rsidRPr="00FC1C73" w14:paraId="399134FF" w14:textId="77777777" w:rsidTr="003923EA">
        <w:trPr>
          <w:trHeight w:val="300"/>
        </w:trPr>
        <w:tc>
          <w:tcPr>
            <w:tcW w:w="9445" w:type="dxa"/>
            <w:gridSpan w:val="7"/>
            <w:noWrap/>
            <w:vAlign w:val="bottom"/>
          </w:tcPr>
          <w:p w14:paraId="2DE15BF3" w14:textId="3671972C" w:rsidR="002D0EB4" w:rsidRPr="00D1726A" w:rsidRDefault="002D0EB4" w:rsidP="00F246B1">
            <w:pPr>
              <w:autoSpaceDE/>
              <w:autoSpaceDN/>
              <w:adjustRightInd/>
              <w:rPr>
                <w:rFonts w:ascii="Arial" w:hAnsi="Arial" w:cs="Arial"/>
                <w:b/>
                <w:bCs/>
                <w:color w:val="000000"/>
                <w:sz w:val="18"/>
                <w:szCs w:val="18"/>
              </w:rPr>
            </w:pPr>
            <w:r w:rsidRPr="00D1726A">
              <w:rPr>
                <w:rFonts w:ascii="Arial" w:hAnsi="Arial" w:cs="Arial"/>
                <w:b/>
                <w:bCs/>
                <w:color w:val="000000"/>
                <w:sz w:val="18"/>
                <w:szCs w:val="18"/>
              </w:rPr>
              <w:t>Alkylbenzenes</w:t>
            </w:r>
          </w:p>
        </w:tc>
      </w:tr>
      <w:tr w:rsidR="004C0BCF" w:rsidRPr="00FC1C73" w14:paraId="7DC04A4F" w14:textId="433A3078" w:rsidTr="003923EA">
        <w:trPr>
          <w:trHeight w:val="300"/>
        </w:trPr>
        <w:tc>
          <w:tcPr>
            <w:tcW w:w="1615" w:type="dxa"/>
            <w:noWrap/>
            <w:vAlign w:val="bottom"/>
            <w:hideMark/>
          </w:tcPr>
          <w:p w14:paraId="086B18F9" w14:textId="01E743BF" w:rsidR="004C0BCF" w:rsidRPr="004E1AF8" w:rsidRDefault="004C0BCF" w:rsidP="00F246B1">
            <w:pPr>
              <w:autoSpaceDE/>
              <w:autoSpaceDN/>
              <w:adjustRightInd/>
              <w:rPr>
                <w:rFonts w:ascii="Arial" w:hAnsi="Arial" w:cs="Arial"/>
                <w:color w:val="000000"/>
                <w:kern w:val="0"/>
                <w:sz w:val="18"/>
                <w:szCs w:val="18"/>
                <w:vertAlign w:val="superscript"/>
                <w14:ligatures w14:val="none"/>
              </w:rPr>
            </w:pPr>
            <w:r w:rsidRPr="00FC1C73">
              <w:rPr>
                <w:rFonts w:ascii="Arial" w:hAnsi="Arial" w:cs="Arial"/>
                <w:color w:val="000000"/>
                <w:sz w:val="18"/>
                <w:szCs w:val="18"/>
              </w:rPr>
              <w:t>1,4-Diethylbenzene</w:t>
            </w:r>
            <w:r w:rsidR="00152819">
              <w:rPr>
                <w:rFonts w:ascii="Arial" w:hAnsi="Arial" w:cs="Arial"/>
                <w:color w:val="000000"/>
                <w:sz w:val="18"/>
                <w:szCs w:val="18"/>
                <w:vertAlign w:val="superscript"/>
              </w:rPr>
              <w:t>a</w:t>
            </w:r>
          </w:p>
        </w:tc>
        <w:tc>
          <w:tcPr>
            <w:tcW w:w="1305" w:type="dxa"/>
            <w:noWrap/>
            <w:vAlign w:val="bottom"/>
            <w:hideMark/>
          </w:tcPr>
          <w:p w14:paraId="0FA9AE3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0.12 [0.07, 0.20]</w:t>
            </w:r>
          </w:p>
        </w:tc>
        <w:tc>
          <w:tcPr>
            <w:tcW w:w="1305" w:type="dxa"/>
            <w:noWrap/>
            <w:vAlign w:val="bottom"/>
            <w:hideMark/>
          </w:tcPr>
          <w:p w14:paraId="7B8D892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0.15 [0.08, 0.26]</w:t>
            </w:r>
          </w:p>
        </w:tc>
        <w:tc>
          <w:tcPr>
            <w:tcW w:w="1260" w:type="dxa"/>
            <w:noWrap/>
            <w:vAlign w:val="bottom"/>
            <w:hideMark/>
          </w:tcPr>
          <w:p w14:paraId="7FD3DC88"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0.10 [0.07, 0.14]</w:t>
            </w:r>
          </w:p>
        </w:tc>
        <w:tc>
          <w:tcPr>
            <w:tcW w:w="1350" w:type="dxa"/>
            <w:vAlign w:val="bottom"/>
          </w:tcPr>
          <w:p w14:paraId="2A6240A4" w14:textId="15E0C9F4"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0.10 [0.07, 0.13]</w:t>
            </w:r>
          </w:p>
        </w:tc>
        <w:tc>
          <w:tcPr>
            <w:tcW w:w="1305" w:type="dxa"/>
            <w:vAlign w:val="bottom"/>
          </w:tcPr>
          <w:p w14:paraId="16568D47" w14:textId="6BB05D92"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0.10 [0.07, 0.13]</w:t>
            </w:r>
          </w:p>
        </w:tc>
        <w:tc>
          <w:tcPr>
            <w:tcW w:w="1305" w:type="dxa"/>
            <w:vAlign w:val="bottom"/>
          </w:tcPr>
          <w:p w14:paraId="7EEB2AF4" w14:textId="68029243"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0.10 [0.07, 0.13]</w:t>
            </w:r>
          </w:p>
        </w:tc>
      </w:tr>
      <w:tr w:rsidR="004C0BCF" w:rsidRPr="00FC1C73" w14:paraId="75C4061D" w14:textId="0C3506C2" w:rsidTr="003923EA">
        <w:trPr>
          <w:trHeight w:val="300"/>
        </w:trPr>
        <w:tc>
          <w:tcPr>
            <w:tcW w:w="1615" w:type="dxa"/>
            <w:noWrap/>
            <w:vAlign w:val="bottom"/>
            <w:hideMark/>
          </w:tcPr>
          <w:p w14:paraId="54EFB11C" w14:textId="30289878" w:rsidR="004C0BCF" w:rsidRPr="004E1AF8" w:rsidRDefault="004C0BCF" w:rsidP="00F246B1">
            <w:pPr>
              <w:autoSpaceDE/>
              <w:autoSpaceDN/>
              <w:adjustRightInd/>
              <w:rPr>
                <w:rFonts w:ascii="Arial" w:hAnsi="Arial" w:cs="Arial"/>
                <w:color w:val="000000"/>
                <w:kern w:val="0"/>
                <w:sz w:val="18"/>
                <w:szCs w:val="18"/>
                <w:vertAlign w:val="superscript"/>
                <w14:ligatures w14:val="none"/>
              </w:rPr>
            </w:pPr>
            <w:r w:rsidRPr="00FC1C73">
              <w:rPr>
                <w:rFonts w:ascii="Arial" w:hAnsi="Arial" w:cs="Arial"/>
                <w:color w:val="000000"/>
                <w:sz w:val="18"/>
                <w:szCs w:val="18"/>
              </w:rPr>
              <w:t>1,2,3-Trimethylbenzene</w:t>
            </w:r>
            <w:r w:rsidR="00F27714">
              <w:rPr>
                <w:rFonts w:ascii="Arial" w:hAnsi="Arial" w:cs="Arial"/>
                <w:color w:val="000000"/>
                <w:sz w:val="18"/>
                <w:szCs w:val="18"/>
                <w:vertAlign w:val="superscript"/>
              </w:rPr>
              <w:t>b</w:t>
            </w:r>
          </w:p>
        </w:tc>
        <w:tc>
          <w:tcPr>
            <w:tcW w:w="1305" w:type="dxa"/>
            <w:noWrap/>
            <w:vAlign w:val="bottom"/>
            <w:hideMark/>
          </w:tcPr>
          <w:p w14:paraId="0A6A551E"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0.17 [0.13, 0.26]</w:t>
            </w:r>
          </w:p>
        </w:tc>
        <w:tc>
          <w:tcPr>
            <w:tcW w:w="1305" w:type="dxa"/>
            <w:noWrap/>
            <w:vAlign w:val="bottom"/>
            <w:hideMark/>
          </w:tcPr>
          <w:p w14:paraId="2C50207D"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0.19 [0.13, 0.32]</w:t>
            </w:r>
          </w:p>
        </w:tc>
        <w:tc>
          <w:tcPr>
            <w:tcW w:w="1260" w:type="dxa"/>
            <w:noWrap/>
            <w:vAlign w:val="bottom"/>
            <w:hideMark/>
          </w:tcPr>
          <w:p w14:paraId="18FB24EB"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0.15 [0.11, 0.20]</w:t>
            </w:r>
          </w:p>
        </w:tc>
        <w:tc>
          <w:tcPr>
            <w:tcW w:w="1350" w:type="dxa"/>
            <w:vAlign w:val="bottom"/>
          </w:tcPr>
          <w:p w14:paraId="6950F633" w14:textId="45B207A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0.15 [0.11, 0.19]</w:t>
            </w:r>
          </w:p>
        </w:tc>
        <w:tc>
          <w:tcPr>
            <w:tcW w:w="1305" w:type="dxa"/>
            <w:vAlign w:val="bottom"/>
          </w:tcPr>
          <w:p w14:paraId="6201E56E" w14:textId="59DC8069"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0.16 [0.13, 0.18]</w:t>
            </w:r>
          </w:p>
        </w:tc>
        <w:tc>
          <w:tcPr>
            <w:tcW w:w="1305" w:type="dxa"/>
            <w:vAlign w:val="bottom"/>
          </w:tcPr>
          <w:p w14:paraId="3AC0FC04" w14:textId="7B3727D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0.15 [0.11, 0.19]</w:t>
            </w:r>
          </w:p>
        </w:tc>
      </w:tr>
      <w:tr w:rsidR="004C0BCF" w:rsidRPr="00FC1C73" w14:paraId="03C653EC" w14:textId="104E94D5" w:rsidTr="003923EA">
        <w:trPr>
          <w:trHeight w:val="300"/>
        </w:trPr>
        <w:tc>
          <w:tcPr>
            <w:tcW w:w="1615" w:type="dxa"/>
            <w:noWrap/>
            <w:vAlign w:val="bottom"/>
            <w:hideMark/>
          </w:tcPr>
          <w:p w14:paraId="7C2B6FF5" w14:textId="40F5D447" w:rsidR="004C0BCF" w:rsidRPr="001C4564"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1-Ethyl-2-Methylbenzene</w:t>
            </w:r>
            <w:r w:rsidR="001C4564">
              <w:rPr>
                <w:rFonts w:ascii="Arial" w:hAnsi="Arial" w:cs="Arial"/>
                <w:color w:val="000000"/>
                <w:sz w:val="18"/>
                <w:szCs w:val="18"/>
                <w:vertAlign w:val="superscript"/>
              </w:rPr>
              <w:t>b</w:t>
            </w:r>
          </w:p>
        </w:tc>
        <w:tc>
          <w:tcPr>
            <w:tcW w:w="1305" w:type="dxa"/>
            <w:noWrap/>
            <w:vAlign w:val="bottom"/>
            <w:hideMark/>
          </w:tcPr>
          <w:p w14:paraId="2972F9B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0.14 [0.10, 0.22]</w:t>
            </w:r>
          </w:p>
        </w:tc>
        <w:tc>
          <w:tcPr>
            <w:tcW w:w="1305" w:type="dxa"/>
            <w:noWrap/>
            <w:vAlign w:val="bottom"/>
            <w:hideMark/>
          </w:tcPr>
          <w:p w14:paraId="3AE30174"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0.17 [0.12, 0.26]</w:t>
            </w:r>
          </w:p>
        </w:tc>
        <w:tc>
          <w:tcPr>
            <w:tcW w:w="1260" w:type="dxa"/>
            <w:noWrap/>
            <w:vAlign w:val="bottom"/>
            <w:hideMark/>
          </w:tcPr>
          <w:p w14:paraId="31BB916A"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0.12 [0.10, 0.16]</w:t>
            </w:r>
          </w:p>
        </w:tc>
        <w:tc>
          <w:tcPr>
            <w:tcW w:w="1350" w:type="dxa"/>
            <w:vAlign w:val="bottom"/>
          </w:tcPr>
          <w:p w14:paraId="31B0737D" w14:textId="0DFF5771"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0.13 [0.09, 0.15]</w:t>
            </w:r>
          </w:p>
        </w:tc>
        <w:tc>
          <w:tcPr>
            <w:tcW w:w="1305" w:type="dxa"/>
            <w:vAlign w:val="bottom"/>
          </w:tcPr>
          <w:p w14:paraId="594B6085" w14:textId="17CA4DB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0.12 [0.08, 0.14]</w:t>
            </w:r>
          </w:p>
        </w:tc>
        <w:tc>
          <w:tcPr>
            <w:tcW w:w="1305" w:type="dxa"/>
            <w:vAlign w:val="bottom"/>
          </w:tcPr>
          <w:p w14:paraId="61BDEE04" w14:textId="471419C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0.14 [0.11, 0.17]</w:t>
            </w:r>
          </w:p>
        </w:tc>
      </w:tr>
      <w:tr w:rsidR="004C0BCF" w:rsidRPr="00FC1C73" w14:paraId="62ADD8E6" w14:textId="7AC852FA" w:rsidTr="003923EA">
        <w:trPr>
          <w:trHeight w:val="300"/>
        </w:trPr>
        <w:tc>
          <w:tcPr>
            <w:tcW w:w="1615" w:type="dxa"/>
            <w:noWrap/>
            <w:vAlign w:val="bottom"/>
            <w:hideMark/>
          </w:tcPr>
          <w:p w14:paraId="6A8E31FD" w14:textId="3330C8E4"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1-Ethyl-3-Methylbenzene</w:t>
            </w:r>
          </w:p>
        </w:tc>
        <w:tc>
          <w:tcPr>
            <w:tcW w:w="1305" w:type="dxa"/>
            <w:noWrap/>
            <w:vAlign w:val="bottom"/>
            <w:hideMark/>
          </w:tcPr>
          <w:p w14:paraId="6C20AC0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0.34 [0.25, 0.53]</w:t>
            </w:r>
          </w:p>
        </w:tc>
        <w:tc>
          <w:tcPr>
            <w:tcW w:w="1305" w:type="dxa"/>
            <w:noWrap/>
            <w:vAlign w:val="bottom"/>
            <w:hideMark/>
          </w:tcPr>
          <w:p w14:paraId="3C74385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0.41 [0.27, 0.65]</w:t>
            </w:r>
          </w:p>
        </w:tc>
        <w:tc>
          <w:tcPr>
            <w:tcW w:w="1260" w:type="dxa"/>
            <w:noWrap/>
            <w:vAlign w:val="bottom"/>
            <w:hideMark/>
          </w:tcPr>
          <w:p w14:paraId="51A283F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0.30 [0.24, 0.41]</w:t>
            </w:r>
          </w:p>
        </w:tc>
        <w:tc>
          <w:tcPr>
            <w:tcW w:w="1350" w:type="dxa"/>
            <w:vAlign w:val="bottom"/>
          </w:tcPr>
          <w:p w14:paraId="722441EB" w14:textId="692DDF4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0.33 [0.26, 0.40]</w:t>
            </w:r>
          </w:p>
        </w:tc>
        <w:tc>
          <w:tcPr>
            <w:tcW w:w="1305" w:type="dxa"/>
            <w:vAlign w:val="bottom"/>
          </w:tcPr>
          <w:p w14:paraId="7401D35F" w14:textId="1FDA9309"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0.34 [0.26, 0.37]</w:t>
            </w:r>
          </w:p>
        </w:tc>
        <w:tc>
          <w:tcPr>
            <w:tcW w:w="1305" w:type="dxa"/>
            <w:vAlign w:val="bottom"/>
          </w:tcPr>
          <w:p w14:paraId="2CAA2567" w14:textId="1F47929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0.32 [0.26, 0.40]</w:t>
            </w:r>
          </w:p>
        </w:tc>
      </w:tr>
      <w:tr w:rsidR="004C0BCF" w:rsidRPr="00FC1C73" w14:paraId="15AAEBD7" w14:textId="3DBF43E6" w:rsidTr="003923EA">
        <w:trPr>
          <w:trHeight w:val="300"/>
        </w:trPr>
        <w:tc>
          <w:tcPr>
            <w:tcW w:w="1615" w:type="dxa"/>
            <w:noWrap/>
            <w:vAlign w:val="bottom"/>
            <w:hideMark/>
          </w:tcPr>
          <w:p w14:paraId="4266C98B" w14:textId="5EABDD20"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1-Ethyl-4-Methylbenzene</w:t>
            </w:r>
          </w:p>
        </w:tc>
        <w:tc>
          <w:tcPr>
            <w:tcW w:w="1305" w:type="dxa"/>
            <w:noWrap/>
            <w:vAlign w:val="bottom"/>
            <w:hideMark/>
          </w:tcPr>
          <w:p w14:paraId="7C4EB91A"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0.16 [0.11, 0.24]</w:t>
            </w:r>
          </w:p>
        </w:tc>
        <w:tc>
          <w:tcPr>
            <w:tcW w:w="1305" w:type="dxa"/>
            <w:noWrap/>
            <w:vAlign w:val="bottom"/>
            <w:hideMark/>
          </w:tcPr>
          <w:p w14:paraId="732011F4"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0.19 [0.13, 0.31]</w:t>
            </w:r>
          </w:p>
        </w:tc>
        <w:tc>
          <w:tcPr>
            <w:tcW w:w="1260" w:type="dxa"/>
            <w:noWrap/>
            <w:vAlign w:val="bottom"/>
            <w:hideMark/>
          </w:tcPr>
          <w:p w14:paraId="305DB30E"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0.14 [0.11, 0.18]</w:t>
            </w:r>
          </w:p>
        </w:tc>
        <w:tc>
          <w:tcPr>
            <w:tcW w:w="1350" w:type="dxa"/>
            <w:vAlign w:val="bottom"/>
          </w:tcPr>
          <w:p w14:paraId="6D9CAE29" w14:textId="17D082C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0.15 [0.11, 0.19]</w:t>
            </w:r>
          </w:p>
        </w:tc>
        <w:tc>
          <w:tcPr>
            <w:tcW w:w="1305" w:type="dxa"/>
            <w:vAlign w:val="bottom"/>
          </w:tcPr>
          <w:p w14:paraId="2ED25268" w14:textId="3535DBCB"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0.15 [0.13, 0.18]</w:t>
            </w:r>
          </w:p>
        </w:tc>
        <w:tc>
          <w:tcPr>
            <w:tcW w:w="1305" w:type="dxa"/>
            <w:vAlign w:val="bottom"/>
          </w:tcPr>
          <w:p w14:paraId="5DD8653B" w14:textId="6E3DC9D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0.15 [0.11, 0.20]</w:t>
            </w:r>
          </w:p>
        </w:tc>
      </w:tr>
      <w:tr w:rsidR="004C0BCF" w:rsidRPr="00FC1C73" w14:paraId="5D2C3F01" w14:textId="46C27682" w:rsidTr="003923EA">
        <w:trPr>
          <w:trHeight w:val="300"/>
        </w:trPr>
        <w:tc>
          <w:tcPr>
            <w:tcW w:w="1615" w:type="dxa"/>
            <w:noWrap/>
            <w:vAlign w:val="bottom"/>
            <w:hideMark/>
          </w:tcPr>
          <w:p w14:paraId="59266315" w14:textId="201EA2E5" w:rsidR="004C0BCF" w:rsidRPr="004E1AF8" w:rsidRDefault="004C0BCF" w:rsidP="00F246B1">
            <w:pPr>
              <w:autoSpaceDE/>
              <w:autoSpaceDN/>
              <w:adjustRightInd/>
              <w:rPr>
                <w:rFonts w:ascii="Arial" w:hAnsi="Arial" w:cs="Arial"/>
                <w:color w:val="000000"/>
                <w:kern w:val="0"/>
                <w:sz w:val="18"/>
                <w:szCs w:val="18"/>
                <w:vertAlign w:val="superscript"/>
                <w14:ligatures w14:val="none"/>
              </w:rPr>
            </w:pPr>
            <w:proofErr w:type="spellStart"/>
            <w:r w:rsidRPr="00FC1C73">
              <w:rPr>
                <w:rFonts w:ascii="Arial" w:hAnsi="Arial" w:cs="Arial"/>
                <w:color w:val="000000"/>
                <w:sz w:val="18"/>
                <w:szCs w:val="18"/>
              </w:rPr>
              <w:t>Propylbenzene</w:t>
            </w:r>
            <w:r w:rsidR="00152819">
              <w:rPr>
                <w:rFonts w:ascii="Arial" w:hAnsi="Arial" w:cs="Arial"/>
                <w:color w:val="000000"/>
                <w:sz w:val="18"/>
                <w:szCs w:val="18"/>
                <w:vertAlign w:val="superscript"/>
              </w:rPr>
              <w:t>a</w:t>
            </w:r>
            <w:proofErr w:type="spellEnd"/>
          </w:p>
        </w:tc>
        <w:tc>
          <w:tcPr>
            <w:tcW w:w="1305" w:type="dxa"/>
            <w:noWrap/>
            <w:vAlign w:val="bottom"/>
            <w:hideMark/>
          </w:tcPr>
          <w:p w14:paraId="30B3FD83"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0.18 [0.12, 0.28]</w:t>
            </w:r>
          </w:p>
        </w:tc>
        <w:tc>
          <w:tcPr>
            <w:tcW w:w="1305" w:type="dxa"/>
            <w:noWrap/>
            <w:vAlign w:val="bottom"/>
            <w:hideMark/>
          </w:tcPr>
          <w:p w14:paraId="04115F1D"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0.23 [0.15, 0.36]</w:t>
            </w:r>
          </w:p>
        </w:tc>
        <w:tc>
          <w:tcPr>
            <w:tcW w:w="1260" w:type="dxa"/>
            <w:noWrap/>
            <w:vAlign w:val="bottom"/>
            <w:hideMark/>
          </w:tcPr>
          <w:p w14:paraId="297A8AD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0.15 [0.12, 0.21]</w:t>
            </w:r>
          </w:p>
        </w:tc>
        <w:tc>
          <w:tcPr>
            <w:tcW w:w="1350" w:type="dxa"/>
            <w:vAlign w:val="bottom"/>
          </w:tcPr>
          <w:p w14:paraId="2D492D5F" w14:textId="537642A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0.18 [0.15, 0.21]</w:t>
            </w:r>
          </w:p>
        </w:tc>
        <w:tc>
          <w:tcPr>
            <w:tcW w:w="1305" w:type="dxa"/>
            <w:vAlign w:val="bottom"/>
          </w:tcPr>
          <w:p w14:paraId="6B5E6EAD" w14:textId="7AE80E5B"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0.17 [0.12, 0.19]</w:t>
            </w:r>
          </w:p>
        </w:tc>
        <w:tc>
          <w:tcPr>
            <w:tcW w:w="1305" w:type="dxa"/>
            <w:vAlign w:val="bottom"/>
          </w:tcPr>
          <w:p w14:paraId="77C73E07" w14:textId="337BA56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0.18 [0.15, 0.21]</w:t>
            </w:r>
          </w:p>
        </w:tc>
      </w:tr>
      <w:tr w:rsidR="004C0BCF" w:rsidRPr="00FC1C73" w14:paraId="110266E4" w14:textId="021944C0" w:rsidTr="003923EA">
        <w:trPr>
          <w:trHeight w:val="300"/>
        </w:trPr>
        <w:tc>
          <w:tcPr>
            <w:tcW w:w="1615" w:type="dxa"/>
            <w:noWrap/>
            <w:vAlign w:val="bottom"/>
            <w:hideMark/>
          </w:tcPr>
          <w:p w14:paraId="0579E35B" w14:textId="2E9AD28F"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Mesitylene</w:t>
            </w:r>
          </w:p>
        </w:tc>
        <w:tc>
          <w:tcPr>
            <w:tcW w:w="1305" w:type="dxa"/>
            <w:noWrap/>
            <w:vAlign w:val="bottom"/>
            <w:hideMark/>
          </w:tcPr>
          <w:p w14:paraId="3013D34E"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0.42 [0.32, 0.69]</w:t>
            </w:r>
          </w:p>
        </w:tc>
        <w:tc>
          <w:tcPr>
            <w:tcW w:w="1305" w:type="dxa"/>
            <w:noWrap/>
            <w:vAlign w:val="bottom"/>
            <w:hideMark/>
          </w:tcPr>
          <w:p w14:paraId="039E287D"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0.53 [0.34, 0.88]</w:t>
            </w:r>
          </w:p>
        </w:tc>
        <w:tc>
          <w:tcPr>
            <w:tcW w:w="1260" w:type="dxa"/>
            <w:noWrap/>
            <w:vAlign w:val="bottom"/>
            <w:hideMark/>
          </w:tcPr>
          <w:p w14:paraId="6583EC0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0.37 [0.28, 0.50]</w:t>
            </w:r>
          </w:p>
        </w:tc>
        <w:tc>
          <w:tcPr>
            <w:tcW w:w="1350" w:type="dxa"/>
            <w:vAlign w:val="bottom"/>
          </w:tcPr>
          <w:p w14:paraId="1E6F195F" w14:textId="2985536F"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0.36 [0.28, 0.45]</w:t>
            </w:r>
          </w:p>
        </w:tc>
        <w:tc>
          <w:tcPr>
            <w:tcW w:w="1305" w:type="dxa"/>
            <w:vAlign w:val="bottom"/>
          </w:tcPr>
          <w:p w14:paraId="272D1E05" w14:textId="7ADE9C31"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0.36 [0.29, 0.42]</w:t>
            </w:r>
          </w:p>
        </w:tc>
        <w:tc>
          <w:tcPr>
            <w:tcW w:w="1305" w:type="dxa"/>
            <w:vAlign w:val="bottom"/>
          </w:tcPr>
          <w:p w14:paraId="6075ADFA" w14:textId="491AFFF5"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0.36 [0.28, 0.48]</w:t>
            </w:r>
          </w:p>
        </w:tc>
      </w:tr>
      <w:tr w:rsidR="002D0EB4" w:rsidRPr="00FC1C73" w14:paraId="3FDE78FF" w14:textId="77777777" w:rsidTr="003923EA">
        <w:trPr>
          <w:trHeight w:val="300"/>
        </w:trPr>
        <w:tc>
          <w:tcPr>
            <w:tcW w:w="9445" w:type="dxa"/>
            <w:gridSpan w:val="7"/>
            <w:noWrap/>
            <w:vAlign w:val="bottom"/>
          </w:tcPr>
          <w:p w14:paraId="2BE65F30" w14:textId="795E5A0F" w:rsidR="002D0EB4" w:rsidRPr="00D1726A" w:rsidRDefault="00D1726A" w:rsidP="00F246B1">
            <w:pPr>
              <w:autoSpaceDE/>
              <w:autoSpaceDN/>
              <w:adjustRightInd/>
              <w:rPr>
                <w:rFonts w:ascii="Arial" w:hAnsi="Arial" w:cs="Arial"/>
                <w:b/>
                <w:bCs/>
                <w:color w:val="000000"/>
                <w:sz w:val="18"/>
                <w:szCs w:val="18"/>
              </w:rPr>
            </w:pPr>
            <w:r w:rsidRPr="00D1726A">
              <w:rPr>
                <w:rFonts w:ascii="Arial" w:hAnsi="Arial" w:cs="Arial"/>
                <w:b/>
                <w:bCs/>
                <w:color w:val="000000"/>
                <w:sz w:val="18"/>
                <w:szCs w:val="18"/>
              </w:rPr>
              <w:t>C6-C9 Alkanes</w:t>
            </w:r>
          </w:p>
        </w:tc>
      </w:tr>
      <w:tr w:rsidR="004C0BCF" w:rsidRPr="00FC1C73" w14:paraId="3F7CBE18" w14:textId="299457BE" w:rsidTr="003923EA">
        <w:trPr>
          <w:trHeight w:val="300"/>
        </w:trPr>
        <w:tc>
          <w:tcPr>
            <w:tcW w:w="1615" w:type="dxa"/>
            <w:noWrap/>
            <w:vAlign w:val="bottom"/>
            <w:hideMark/>
          </w:tcPr>
          <w:p w14:paraId="243201F6" w14:textId="2031DF03"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n-Hexane</w:t>
            </w:r>
          </w:p>
        </w:tc>
        <w:tc>
          <w:tcPr>
            <w:tcW w:w="1305" w:type="dxa"/>
            <w:noWrap/>
            <w:vAlign w:val="bottom"/>
            <w:hideMark/>
          </w:tcPr>
          <w:p w14:paraId="2D81F8A2"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1.10 [0.68, 1.82]</w:t>
            </w:r>
          </w:p>
        </w:tc>
        <w:tc>
          <w:tcPr>
            <w:tcW w:w="1305" w:type="dxa"/>
            <w:noWrap/>
            <w:vAlign w:val="bottom"/>
            <w:hideMark/>
          </w:tcPr>
          <w:p w14:paraId="6E2C3684"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1.32 [0.79, 2.27]</w:t>
            </w:r>
          </w:p>
        </w:tc>
        <w:tc>
          <w:tcPr>
            <w:tcW w:w="1260" w:type="dxa"/>
            <w:noWrap/>
            <w:vAlign w:val="bottom"/>
            <w:hideMark/>
          </w:tcPr>
          <w:p w14:paraId="313453B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0.86 [0.61, 1.43]</w:t>
            </w:r>
          </w:p>
        </w:tc>
        <w:tc>
          <w:tcPr>
            <w:tcW w:w="1350" w:type="dxa"/>
            <w:vAlign w:val="bottom"/>
          </w:tcPr>
          <w:p w14:paraId="3AF6F043" w14:textId="2BDA331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1.07 [0.55, 1.44]</w:t>
            </w:r>
          </w:p>
        </w:tc>
        <w:tc>
          <w:tcPr>
            <w:tcW w:w="1305" w:type="dxa"/>
            <w:vAlign w:val="bottom"/>
          </w:tcPr>
          <w:p w14:paraId="2E6C04D2" w14:textId="6CE6F86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1.00 [0.53, 1.38]</w:t>
            </w:r>
          </w:p>
        </w:tc>
        <w:tc>
          <w:tcPr>
            <w:tcW w:w="1305" w:type="dxa"/>
            <w:vAlign w:val="bottom"/>
          </w:tcPr>
          <w:p w14:paraId="3C7C4A39" w14:textId="73D5968F"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1.12 [0.58, 1.51]</w:t>
            </w:r>
          </w:p>
        </w:tc>
      </w:tr>
      <w:tr w:rsidR="004C0BCF" w:rsidRPr="00FC1C73" w14:paraId="022F1F11" w14:textId="20A2DF13" w:rsidTr="003923EA">
        <w:trPr>
          <w:trHeight w:val="300"/>
        </w:trPr>
        <w:tc>
          <w:tcPr>
            <w:tcW w:w="1615" w:type="dxa"/>
            <w:noWrap/>
            <w:vAlign w:val="bottom"/>
            <w:hideMark/>
          </w:tcPr>
          <w:p w14:paraId="2F95690D" w14:textId="60F01C74"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Heptane</w:t>
            </w:r>
          </w:p>
        </w:tc>
        <w:tc>
          <w:tcPr>
            <w:tcW w:w="1305" w:type="dxa"/>
            <w:noWrap/>
            <w:vAlign w:val="bottom"/>
            <w:hideMark/>
          </w:tcPr>
          <w:p w14:paraId="11EBD26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0.84 [0.57, 1.33]</w:t>
            </w:r>
          </w:p>
        </w:tc>
        <w:tc>
          <w:tcPr>
            <w:tcW w:w="1305" w:type="dxa"/>
            <w:noWrap/>
            <w:vAlign w:val="bottom"/>
            <w:hideMark/>
          </w:tcPr>
          <w:p w14:paraId="1EF328C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0.97 [0.64, 1.78]</w:t>
            </w:r>
          </w:p>
        </w:tc>
        <w:tc>
          <w:tcPr>
            <w:tcW w:w="1260" w:type="dxa"/>
            <w:noWrap/>
            <w:vAlign w:val="bottom"/>
            <w:hideMark/>
          </w:tcPr>
          <w:p w14:paraId="7170746B"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0.67 [0.51, 0.96]</w:t>
            </w:r>
          </w:p>
        </w:tc>
        <w:tc>
          <w:tcPr>
            <w:tcW w:w="1350" w:type="dxa"/>
            <w:vAlign w:val="bottom"/>
          </w:tcPr>
          <w:p w14:paraId="2354A3FC" w14:textId="63FDDCDD"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0.78 [0.51, 1.02]</w:t>
            </w:r>
          </w:p>
        </w:tc>
        <w:tc>
          <w:tcPr>
            <w:tcW w:w="1305" w:type="dxa"/>
            <w:vAlign w:val="bottom"/>
          </w:tcPr>
          <w:p w14:paraId="0123CA5A" w14:textId="1D0F004D"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0.77 [0.50, 0.98]</w:t>
            </w:r>
          </w:p>
        </w:tc>
        <w:tc>
          <w:tcPr>
            <w:tcW w:w="1305" w:type="dxa"/>
            <w:vAlign w:val="bottom"/>
          </w:tcPr>
          <w:p w14:paraId="050169BD" w14:textId="638B40AB"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0.78 [0.55, 1.03]</w:t>
            </w:r>
          </w:p>
        </w:tc>
      </w:tr>
      <w:tr w:rsidR="004C0BCF" w:rsidRPr="00FC1C73" w14:paraId="59CAC086" w14:textId="086F994B" w:rsidTr="003923EA">
        <w:trPr>
          <w:trHeight w:val="300"/>
        </w:trPr>
        <w:tc>
          <w:tcPr>
            <w:tcW w:w="1615" w:type="dxa"/>
            <w:noWrap/>
            <w:vAlign w:val="bottom"/>
            <w:hideMark/>
          </w:tcPr>
          <w:p w14:paraId="64C77BC2" w14:textId="2E9EB391" w:rsidR="004C0BCF" w:rsidRPr="004E1AF8" w:rsidRDefault="004C0BCF" w:rsidP="00F246B1">
            <w:pPr>
              <w:autoSpaceDE/>
              <w:autoSpaceDN/>
              <w:adjustRightInd/>
              <w:rPr>
                <w:rFonts w:ascii="Arial" w:hAnsi="Arial" w:cs="Arial"/>
                <w:color w:val="000000"/>
                <w:kern w:val="0"/>
                <w:sz w:val="18"/>
                <w:szCs w:val="18"/>
                <w:vertAlign w:val="superscript"/>
                <w14:ligatures w14:val="none"/>
              </w:rPr>
            </w:pPr>
            <w:proofErr w:type="spellStart"/>
            <w:r w:rsidRPr="00FC1C73">
              <w:rPr>
                <w:rFonts w:ascii="Arial" w:hAnsi="Arial" w:cs="Arial"/>
                <w:color w:val="000000"/>
                <w:sz w:val="18"/>
                <w:szCs w:val="18"/>
              </w:rPr>
              <w:t>Octane</w:t>
            </w:r>
            <w:r w:rsidR="00152819">
              <w:rPr>
                <w:rFonts w:ascii="Arial" w:hAnsi="Arial" w:cs="Arial"/>
                <w:color w:val="000000"/>
                <w:sz w:val="18"/>
                <w:szCs w:val="18"/>
                <w:vertAlign w:val="superscript"/>
              </w:rPr>
              <w:t>a</w:t>
            </w:r>
            <w:proofErr w:type="spellEnd"/>
          </w:p>
        </w:tc>
        <w:tc>
          <w:tcPr>
            <w:tcW w:w="1305" w:type="dxa"/>
            <w:noWrap/>
            <w:vAlign w:val="bottom"/>
            <w:hideMark/>
          </w:tcPr>
          <w:p w14:paraId="53E39E3D"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0.36 [0.24, 0.59]</w:t>
            </w:r>
          </w:p>
        </w:tc>
        <w:tc>
          <w:tcPr>
            <w:tcW w:w="1305" w:type="dxa"/>
            <w:noWrap/>
            <w:vAlign w:val="bottom"/>
            <w:hideMark/>
          </w:tcPr>
          <w:p w14:paraId="5E3A760E"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0.43 [0.27, 0.69]</w:t>
            </w:r>
          </w:p>
        </w:tc>
        <w:tc>
          <w:tcPr>
            <w:tcW w:w="1260" w:type="dxa"/>
            <w:noWrap/>
            <w:vAlign w:val="bottom"/>
            <w:hideMark/>
          </w:tcPr>
          <w:p w14:paraId="03CFE682"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0.30 [0.20, 0.45]</w:t>
            </w:r>
          </w:p>
        </w:tc>
        <w:tc>
          <w:tcPr>
            <w:tcW w:w="1350" w:type="dxa"/>
            <w:vAlign w:val="bottom"/>
          </w:tcPr>
          <w:p w14:paraId="3C588C77" w14:textId="703CD0E3"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0.32 [0.20, 0.48]</w:t>
            </w:r>
          </w:p>
        </w:tc>
        <w:tc>
          <w:tcPr>
            <w:tcW w:w="1305" w:type="dxa"/>
            <w:vAlign w:val="bottom"/>
          </w:tcPr>
          <w:p w14:paraId="2C11903E" w14:textId="68267C7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0.26 [0.18, 0.40]</w:t>
            </w:r>
          </w:p>
        </w:tc>
        <w:tc>
          <w:tcPr>
            <w:tcW w:w="1305" w:type="dxa"/>
            <w:vAlign w:val="bottom"/>
          </w:tcPr>
          <w:p w14:paraId="05341CBE" w14:textId="2781BF91"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0.32 [0.22, 0.48]</w:t>
            </w:r>
          </w:p>
        </w:tc>
      </w:tr>
      <w:tr w:rsidR="004C0BCF" w:rsidRPr="00FC1C73" w14:paraId="43582BE0" w14:textId="0E3522DB" w:rsidTr="003923EA">
        <w:trPr>
          <w:trHeight w:val="300"/>
        </w:trPr>
        <w:tc>
          <w:tcPr>
            <w:tcW w:w="1615" w:type="dxa"/>
            <w:noWrap/>
            <w:vAlign w:val="bottom"/>
            <w:hideMark/>
          </w:tcPr>
          <w:p w14:paraId="5248B077" w14:textId="525C00FC" w:rsidR="004C0BCF" w:rsidRPr="004E1AF8" w:rsidRDefault="004C0BCF" w:rsidP="00F246B1">
            <w:pPr>
              <w:autoSpaceDE/>
              <w:autoSpaceDN/>
              <w:adjustRightInd/>
              <w:rPr>
                <w:rFonts w:ascii="Arial" w:hAnsi="Arial" w:cs="Arial"/>
                <w:color w:val="000000"/>
                <w:kern w:val="0"/>
                <w:sz w:val="18"/>
                <w:szCs w:val="18"/>
                <w:vertAlign w:val="superscript"/>
                <w14:ligatures w14:val="none"/>
              </w:rPr>
            </w:pPr>
            <w:proofErr w:type="spellStart"/>
            <w:r w:rsidRPr="00FC1C73">
              <w:rPr>
                <w:rFonts w:ascii="Arial" w:hAnsi="Arial" w:cs="Arial"/>
                <w:color w:val="000000"/>
                <w:sz w:val="18"/>
                <w:szCs w:val="18"/>
              </w:rPr>
              <w:t>Nonane</w:t>
            </w:r>
            <w:r w:rsidR="00152819">
              <w:rPr>
                <w:rFonts w:ascii="Arial" w:hAnsi="Arial" w:cs="Arial"/>
                <w:color w:val="000000"/>
                <w:sz w:val="18"/>
                <w:szCs w:val="18"/>
                <w:vertAlign w:val="superscript"/>
              </w:rPr>
              <w:t>a</w:t>
            </w:r>
            <w:proofErr w:type="spellEnd"/>
          </w:p>
        </w:tc>
        <w:tc>
          <w:tcPr>
            <w:tcW w:w="1305" w:type="dxa"/>
            <w:noWrap/>
            <w:vAlign w:val="bottom"/>
            <w:hideMark/>
          </w:tcPr>
          <w:p w14:paraId="49A6B2A0"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0.54 [0.25, 0.85]</w:t>
            </w:r>
          </w:p>
        </w:tc>
        <w:tc>
          <w:tcPr>
            <w:tcW w:w="1305" w:type="dxa"/>
            <w:noWrap/>
            <w:vAlign w:val="bottom"/>
            <w:hideMark/>
          </w:tcPr>
          <w:p w14:paraId="1B1F8576"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0.60 [0.32, 1.00]</w:t>
            </w:r>
          </w:p>
        </w:tc>
        <w:tc>
          <w:tcPr>
            <w:tcW w:w="1260" w:type="dxa"/>
            <w:noWrap/>
            <w:vAlign w:val="bottom"/>
            <w:hideMark/>
          </w:tcPr>
          <w:p w14:paraId="234FB17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0.47 [0.22, 0.74]</w:t>
            </w:r>
          </w:p>
        </w:tc>
        <w:tc>
          <w:tcPr>
            <w:tcW w:w="1350" w:type="dxa"/>
            <w:vAlign w:val="bottom"/>
          </w:tcPr>
          <w:p w14:paraId="2786F537" w14:textId="379EEB74"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0.48 [0.26, 0.69]</w:t>
            </w:r>
          </w:p>
        </w:tc>
        <w:tc>
          <w:tcPr>
            <w:tcW w:w="1305" w:type="dxa"/>
            <w:vAlign w:val="bottom"/>
          </w:tcPr>
          <w:p w14:paraId="7F7A07A8" w14:textId="66BB8972"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0.43 [0.18, 0.78]</w:t>
            </w:r>
          </w:p>
        </w:tc>
        <w:tc>
          <w:tcPr>
            <w:tcW w:w="1305" w:type="dxa"/>
            <w:vAlign w:val="bottom"/>
          </w:tcPr>
          <w:p w14:paraId="2247F897" w14:textId="4394BF1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0.50 [0.31, 0.67]</w:t>
            </w:r>
          </w:p>
        </w:tc>
      </w:tr>
      <w:tr w:rsidR="00D1726A" w:rsidRPr="00FC1C73" w14:paraId="24613C00" w14:textId="77777777" w:rsidTr="003923EA">
        <w:trPr>
          <w:trHeight w:val="300"/>
        </w:trPr>
        <w:tc>
          <w:tcPr>
            <w:tcW w:w="9445" w:type="dxa"/>
            <w:gridSpan w:val="7"/>
            <w:noWrap/>
            <w:vAlign w:val="bottom"/>
          </w:tcPr>
          <w:p w14:paraId="7F380D40" w14:textId="1BB7CC36" w:rsidR="00D1726A" w:rsidRPr="00D1726A" w:rsidRDefault="00D1726A" w:rsidP="00F246B1">
            <w:pPr>
              <w:autoSpaceDE/>
              <w:autoSpaceDN/>
              <w:adjustRightInd/>
              <w:rPr>
                <w:rFonts w:ascii="Arial" w:hAnsi="Arial" w:cs="Arial"/>
                <w:b/>
                <w:bCs/>
                <w:color w:val="000000"/>
                <w:sz w:val="18"/>
                <w:szCs w:val="18"/>
              </w:rPr>
            </w:pPr>
            <w:r w:rsidRPr="00D1726A">
              <w:rPr>
                <w:rFonts w:ascii="Arial" w:hAnsi="Arial" w:cs="Arial"/>
                <w:b/>
                <w:bCs/>
                <w:color w:val="000000"/>
                <w:sz w:val="18"/>
                <w:szCs w:val="18"/>
              </w:rPr>
              <w:t>C10-C12 Alkanes</w:t>
            </w:r>
          </w:p>
        </w:tc>
      </w:tr>
      <w:tr w:rsidR="004C0BCF" w:rsidRPr="00FC1C73" w14:paraId="280447FB" w14:textId="06A4D28A" w:rsidTr="003923EA">
        <w:trPr>
          <w:trHeight w:val="300"/>
        </w:trPr>
        <w:tc>
          <w:tcPr>
            <w:tcW w:w="1615" w:type="dxa"/>
            <w:noWrap/>
            <w:vAlign w:val="bottom"/>
            <w:hideMark/>
          </w:tcPr>
          <w:p w14:paraId="2897FDB4" w14:textId="75DC5F08" w:rsidR="004C0BCF" w:rsidRPr="004E1AF8" w:rsidRDefault="004C0BCF" w:rsidP="00F246B1">
            <w:pPr>
              <w:autoSpaceDE/>
              <w:autoSpaceDN/>
              <w:adjustRightInd/>
              <w:rPr>
                <w:rFonts w:ascii="Arial" w:hAnsi="Arial" w:cs="Arial"/>
                <w:color w:val="000000"/>
                <w:kern w:val="0"/>
                <w:sz w:val="18"/>
                <w:szCs w:val="18"/>
                <w:vertAlign w:val="superscript"/>
                <w14:ligatures w14:val="none"/>
              </w:rPr>
            </w:pPr>
            <w:proofErr w:type="spellStart"/>
            <w:r w:rsidRPr="00FC1C73">
              <w:rPr>
                <w:rFonts w:ascii="Arial" w:hAnsi="Arial" w:cs="Arial"/>
                <w:color w:val="000000"/>
                <w:sz w:val="18"/>
                <w:szCs w:val="18"/>
              </w:rPr>
              <w:t>Decane</w:t>
            </w:r>
            <w:r w:rsidR="0036193D">
              <w:rPr>
                <w:rFonts w:ascii="Arial" w:hAnsi="Arial" w:cs="Arial"/>
                <w:color w:val="000000"/>
                <w:sz w:val="18"/>
                <w:szCs w:val="18"/>
                <w:vertAlign w:val="superscript"/>
              </w:rPr>
              <w:t>b</w:t>
            </w:r>
            <w:proofErr w:type="spellEnd"/>
          </w:p>
        </w:tc>
        <w:tc>
          <w:tcPr>
            <w:tcW w:w="1305" w:type="dxa"/>
            <w:noWrap/>
            <w:vAlign w:val="bottom"/>
            <w:hideMark/>
          </w:tcPr>
          <w:p w14:paraId="69ECA73F"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0.46 [0.32, 0.76]</w:t>
            </w:r>
          </w:p>
        </w:tc>
        <w:tc>
          <w:tcPr>
            <w:tcW w:w="1305" w:type="dxa"/>
            <w:noWrap/>
            <w:vAlign w:val="bottom"/>
            <w:hideMark/>
          </w:tcPr>
          <w:p w14:paraId="36D9195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0.51 [0.33, 0.94]</w:t>
            </w:r>
          </w:p>
        </w:tc>
        <w:tc>
          <w:tcPr>
            <w:tcW w:w="1260" w:type="dxa"/>
            <w:noWrap/>
            <w:vAlign w:val="bottom"/>
            <w:hideMark/>
          </w:tcPr>
          <w:p w14:paraId="41AD14D0"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0.43 [0.31, 0.57]</w:t>
            </w:r>
          </w:p>
        </w:tc>
        <w:tc>
          <w:tcPr>
            <w:tcW w:w="1350" w:type="dxa"/>
            <w:vAlign w:val="bottom"/>
          </w:tcPr>
          <w:p w14:paraId="7C2D9E0B" w14:textId="3C74C089"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0.41 [0.35, 0.52]</w:t>
            </w:r>
          </w:p>
        </w:tc>
        <w:tc>
          <w:tcPr>
            <w:tcW w:w="1305" w:type="dxa"/>
            <w:vAlign w:val="bottom"/>
          </w:tcPr>
          <w:p w14:paraId="7D1508C0" w14:textId="660B0B0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0.43 [0.33, 0.48]</w:t>
            </w:r>
          </w:p>
        </w:tc>
        <w:tc>
          <w:tcPr>
            <w:tcW w:w="1305" w:type="dxa"/>
            <w:vAlign w:val="bottom"/>
          </w:tcPr>
          <w:p w14:paraId="04B121C3" w14:textId="50B3F645"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0.40 [0.35, 0.52]</w:t>
            </w:r>
          </w:p>
        </w:tc>
      </w:tr>
      <w:tr w:rsidR="004C0BCF" w:rsidRPr="00FC1C73" w14:paraId="3AA6AD22" w14:textId="5EF7D074" w:rsidTr="003923EA">
        <w:trPr>
          <w:trHeight w:val="300"/>
        </w:trPr>
        <w:tc>
          <w:tcPr>
            <w:tcW w:w="1615" w:type="dxa"/>
            <w:noWrap/>
            <w:vAlign w:val="bottom"/>
            <w:hideMark/>
          </w:tcPr>
          <w:p w14:paraId="474A288C" w14:textId="22369FA2" w:rsidR="004C0BCF" w:rsidRPr="004E1AF8" w:rsidRDefault="004C0BCF" w:rsidP="00F246B1">
            <w:pPr>
              <w:autoSpaceDE/>
              <w:autoSpaceDN/>
              <w:adjustRightInd/>
              <w:rPr>
                <w:rFonts w:ascii="Arial" w:hAnsi="Arial" w:cs="Arial"/>
                <w:color w:val="000000"/>
                <w:kern w:val="0"/>
                <w:sz w:val="18"/>
                <w:szCs w:val="18"/>
                <w:vertAlign w:val="superscript"/>
                <w14:ligatures w14:val="none"/>
              </w:rPr>
            </w:pPr>
            <w:proofErr w:type="spellStart"/>
            <w:r w:rsidRPr="00FC1C73">
              <w:rPr>
                <w:rFonts w:ascii="Arial" w:hAnsi="Arial" w:cs="Arial"/>
                <w:color w:val="000000"/>
                <w:sz w:val="18"/>
                <w:szCs w:val="18"/>
              </w:rPr>
              <w:t>Undecane</w:t>
            </w:r>
            <w:r w:rsidR="0036193D">
              <w:rPr>
                <w:rFonts w:ascii="Arial" w:hAnsi="Arial" w:cs="Arial"/>
                <w:color w:val="000000"/>
                <w:sz w:val="18"/>
                <w:szCs w:val="18"/>
                <w:vertAlign w:val="superscript"/>
              </w:rPr>
              <w:t>b</w:t>
            </w:r>
            <w:proofErr w:type="spellEnd"/>
          </w:p>
        </w:tc>
        <w:tc>
          <w:tcPr>
            <w:tcW w:w="1305" w:type="dxa"/>
            <w:noWrap/>
            <w:vAlign w:val="bottom"/>
            <w:hideMark/>
          </w:tcPr>
          <w:p w14:paraId="03025DD4"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0.59 [0.39, 0.98]</w:t>
            </w:r>
          </w:p>
        </w:tc>
        <w:tc>
          <w:tcPr>
            <w:tcW w:w="1305" w:type="dxa"/>
            <w:noWrap/>
            <w:vAlign w:val="bottom"/>
            <w:hideMark/>
          </w:tcPr>
          <w:p w14:paraId="0CD62EC3"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0.63 [0.41, 1.49]</w:t>
            </w:r>
          </w:p>
        </w:tc>
        <w:tc>
          <w:tcPr>
            <w:tcW w:w="1260" w:type="dxa"/>
            <w:noWrap/>
            <w:vAlign w:val="bottom"/>
            <w:hideMark/>
          </w:tcPr>
          <w:p w14:paraId="0FCCB0C8"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0.55 [0.37, 0.86]</w:t>
            </w:r>
          </w:p>
        </w:tc>
        <w:tc>
          <w:tcPr>
            <w:tcW w:w="1350" w:type="dxa"/>
            <w:vAlign w:val="bottom"/>
          </w:tcPr>
          <w:p w14:paraId="6404D618" w14:textId="22FB9B45"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0.44 [0.37, 0.68]</w:t>
            </w:r>
          </w:p>
        </w:tc>
        <w:tc>
          <w:tcPr>
            <w:tcW w:w="1305" w:type="dxa"/>
            <w:vAlign w:val="bottom"/>
          </w:tcPr>
          <w:p w14:paraId="28965367" w14:textId="2980769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0.53 [0.43, 0.63]</w:t>
            </w:r>
          </w:p>
        </w:tc>
        <w:tc>
          <w:tcPr>
            <w:tcW w:w="1305" w:type="dxa"/>
            <w:vAlign w:val="bottom"/>
          </w:tcPr>
          <w:p w14:paraId="2A2E75DA" w14:textId="405348FD"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0.41 [0.35, 0.72]</w:t>
            </w:r>
          </w:p>
        </w:tc>
      </w:tr>
      <w:tr w:rsidR="004C0BCF" w:rsidRPr="00FC1C73" w14:paraId="6E2DF6B2" w14:textId="7C02AF06" w:rsidTr="003923EA">
        <w:trPr>
          <w:trHeight w:val="300"/>
        </w:trPr>
        <w:tc>
          <w:tcPr>
            <w:tcW w:w="1615" w:type="dxa"/>
            <w:noWrap/>
            <w:vAlign w:val="bottom"/>
            <w:hideMark/>
          </w:tcPr>
          <w:p w14:paraId="274CBCB2" w14:textId="195B8A5C" w:rsidR="004C0BCF" w:rsidRPr="004E1AF8" w:rsidRDefault="004C0BCF" w:rsidP="00F246B1">
            <w:pPr>
              <w:autoSpaceDE/>
              <w:autoSpaceDN/>
              <w:adjustRightInd/>
              <w:rPr>
                <w:rFonts w:ascii="Arial" w:hAnsi="Arial" w:cs="Arial"/>
                <w:color w:val="000000"/>
                <w:kern w:val="0"/>
                <w:sz w:val="18"/>
                <w:szCs w:val="18"/>
                <w:vertAlign w:val="superscript"/>
                <w14:ligatures w14:val="none"/>
              </w:rPr>
            </w:pPr>
            <w:proofErr w:type="spellStart"/>
            <w:r w:rsidRPr="00FC1C73">
              <w:rPr>
                <w:rFonts w:ascii="Arial" w:hAnsi="Arial" w:cs="Arial"/>
                <w:color w:val="000000"/>
                <w:sz w:val="18"/>
                <w:szCs w:val="18"/>
              </w:rPr>
              <w:t>Dodecane</w:t>
            </w:r>
            <w:r w:rsidR="00152819">
              <w:rPr>
                <w:rFonts w:ascii="Arial" w:hAnsi="Arial" w:cs="Arial"/>
                <w:color w:val="000000"/>
                <w:sz w:val="18"/>
                <w:szCs w:val="18"/>
                <w:vertAlign w:val="superscript"/>
              </w:rPr>
              <w:t>a</w:t>
            </w:r>
            <w:proofErr w:type="spellEnd"/>
          </w:p>
        </w:tc>
        <w:tc>
          <w:tcPr>
            <w:tcW w:w="1305" w:type="dxa"/>
            <w:noWrap/>
            <w:vAlign w:val="bottom"/>
            <w:hideMark/>
          </w:tcPr>
          <w:p w14:paraId="45EFB176"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0.30 [0.18, 0.62]</w:t>
            </w:r>
          </w:p>
        </w:tc>
        <w:tc>
          <w:tcPr>
            <w:tcW w:w="1305" w:type="dxa"/>
            <w:noWrap/>
            <w:vAlign w:val="bottom"/>
            <w:hideMark/>
          </w:tcPr>
          <w:p w14:paraId="1777C992"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0.33 [0.20, 0.88]</w:t>
            </w:r>
          </w:p>
        </w:tc>
        <w:tc>
          <w:tcPr>
            <w:tcW w:w="1260" w:type="dxa"/>
            <w:noWrap/>
            <w:vAlign w:val="bottom"/>
            <w:hideMark/>
          </w:tcPr>
          <w:p w14:paraId="697CA760"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0.27 [0.16, 0.46]</w:t>
            </w:r>
          </w:p>
        </w:tc>
        <w:tc>
          <w:tcPr>
            <w:tcW w:w="1350" w:type="dxa"/>
            <w:vAlign w:val="bottom"/>
          </w:tcPr>
          <w:p w14:paraId="0E0174E4" w14:textId="5623F796"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0.20 [0.14, 0.34]</w:t>
            </w:r>
          </w:p>
        </w:tc>
        <w:tc>
          <w:tcPr>
            <w:tcW w:w="1305" w:type="dxa"/>
            <w:vAlign w:val="bottom"/>
          </w:tcPr>
          <w:p w14:paraId="68EDFE1B" w14:textId="3CDE21FD"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0.22 [0.18, 0.36]</w:t>
            </w:r>
          </w:p>
        </w:tc>
        <w:tc>
          <w:tcPr>
            <w:tcW w:w="1305" w:type="dxa"/>
            <w:vAlign w:val="bottom"/>
          </w:tcPr>
          <w:p w14:paraId="7A4825DE" w14:textId="30CAC15A"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0.18 [0.13, 0.31]</w:t>
            </w:r>
          </w:p>
        </w:tc>
      </w:tr>
      <w:tr w:rsidR="00D1726A" w:rsidRPr="00FC1C73" w14:paraId="007A19E5" w14:textId="77777777" w:rsidTr="003923EA">
        <w:trPr>
          <w:trHeight w:val="300"/>
        </w:trPr>
        <w:tc>
          <w:tcPr>
            <w:tcW w:w="9445" w:type="dxa"/>
            <w:gridSpan w:val="7"/>
            <w:noWrap/>
            <w:vAlign w:val="bottom"/>
          </w:tcPr>
          <w:p w14:paraId="15A1EFD2" w14:textId="0EFE384D" w:rsidR="00D1726A" w:rsidRPr="00D1726A" w:rsidRDefault="00D1726A" w:rsidP="00F246B1">
            <w:pPr>
              <w:autoSpaceDE/>
              <w:autoSpaceDN/>
              <w:adjustRightInd/>
              <w:rPr>
                <w:rFonts w:ascii="Arial" w:hAnsi="Arial" w:cs="Arial"/>
                <w:b/>
                <w:bCs/>
                <w:color w:val="000000"/>
                <w:sz w:val="18"/>
                <w:szCs w:val="18"/>
              </w:rPr>
            </w:pPr>
            <w:r>
              <w:rPr>
                <w:rFonts w:ascii="Arial" w:hAnsi="Arial" w:cs="Arial"/>
                <w:b/>
                <w:bCs/>
                <w:color w:val="000000"/>
                <w:sz w:val="18"/>
                <w:szCs w:val="18"/>
              </w:rPr>
              <w:t>Other Alkanes</w:t>
            </w:r>
          </w:p>
        </w:tc>
      </w:tr>
      <w:tr w:rsidR="004C0BCF" w:rsidRPr="00FC1C73" w14:paraId="0E2B2D29" w14:textId="5B2275B6" w:rsidTr="003923EA">
        <w:trPr>
          <w:trHeight w:val="300"/>
        </w:trPr>
        <w:tc>
          <w:tcPr>
            <w:tcW w:w="1615" w:type="dxa"/>
            <w:noWrap/>
            <w:vAlign w:val="bottom"/>
            <w:hideMark/>
          </w:tcPr>
          <w:p w14:paraId="745E0F49" w14:textId="65A2C309"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Isopentane</w:t>
            </w:r>
          </w:p>
        </w:tc>
        <w:tc>
          <w:tcPr>
            <w:tcW w:w="1305" w:type="dxa"/>
            <w:noWrap/>
            <w:vAlign w:val="bottom"/>
            <w:hideMark/>
          </w:tcPr>
          <w:p w14:paraId="577D50D7"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0.62 [0.31, 1.18]</w:t>
            </w:r>
          </w:p>
        </w:tc>
        <w:tc>
          <w:tcPr>
            <w:tcW w:w="1305" w:type="dxa"/>
            <w:noWrap/>
            <w:vAlign w:val="bottom"/>
            <w:hideMark/>
          </w:tcPr>
          <w:p w14:paraId="7D93228A"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0.81 [0.37, 1.43]</w:t>
            </w:r>
          </w:p>
        </w:tc>
        <w:tc>
          <w:tcPr>
            <w:tcW w:w="1260" w:type="dxa"/>
            <w:noWrap/>
            <w:vAlign w:val="bottom"/>
            <w:hideMark/>
          </w:tcPr>
          <w:p w14:paraId="10A1118E"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0.47 [0.25, 0.91]</w:t>
            </w:r>
          </w:p>
        </w:tc>
        <w:tc>
          <w:tcPr>
            <w:tcW w:w="1350" w:type="dxa"/>
            <w:vAlign w:val="bottom"/>
          </w:tcPr>
          <w:p w14:paraId="540ABC74" w14:textId="6D685663"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0.47 [0.16, 0.98]</w:t>
            </w:r>
          </w:p>
        </w:tc>
        <w:tc>
          <w:tcPr>
            <w:tcW w:w="1305" w:type="dxa"/>
            <w:vAlign w:val="bottom"/>
          </w:tcPr>
          <w:p w14:paraId="3AEC9937" w14:textId="56C6F2C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0.49 [0.14, 0.62]</w:t>
            </w:r>
          </w:p>
        </w:tc>
        <w:tc>
          <w:tcPr>
            <w:tcW w:w="1305" w:type="dxa"/>
            <w:vAlign w:val="bottom"/>
          </w:tcPr>
          <w:p w14:paraId="69E3E6E7" w14:textId="295B810D"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0.46 [0.16, 1.08]</w:t>
            </w:r>
          </w:p>
        </w:tc>
      </w:tr>
      <w:tr w:rsidR="004C0BCF" w:rsidRPr="00FC1C73" w14:paraId="32C59188" w14:textId="5F86CE7C" w:rsidTr="003923EA">
        <w:trPr>
          <w:trHeight w:val="300"/>
        </w:trPr>
        <w:tc>
          <w:tcPr>
            <w:tcW w:w="1615" w:type="dxa"/>
            <w:noWrap/>
            <w:vAlign w:val="bottom"/>
            <w:hideMark/>
          </w:tcPr>
          <w:p w14:paraId="297036B1" w14:textId="03BACA3A" w:rsidR="004C0BCF" w:rsidRPr="004E1AF8" w:rsidRDefault="004C0BCF" w:rsidP="00F246B1">
            <w:pPr>
              <w:autoSpaceDE/>
              <w:autoSpaceDN/>
              <w:adjustRightInd/>
              <w:rPr>
                <w:rFonts w:ascii="Arial" w:hAnsi="Arial" w:cs="Arial"/>
                <w:color w:val="000000"/>
                <w:kern w:val="0"/>
                <w:sz w:val="18"/>
                <w:szCs w:val="18"/>
                <w14:ligatures w14:val="none"/>
              </w:rPr>
            </w:pPr>
            <w:proofErr w:type="spellStart"/>
            <w:r w:rsidRPr="00FC1C73">
              <w:rPr>
                <w:rFonts w:ascii="Arial" w:hAnsi="Arial" w:cs="Arial"/>
                <w:color w:val="000000"/>
                <w:sz w:val="18"/>
                <w:szCs w:val="18"/>
              </w:rPr>
              <w:t>Isohexane</w:t>
            </w:r>
            <w:proofErr w:type="spellEnd"/>
          </w:p>
        </w:tc>
        <w:tc>
          <w:tcPr>
            <w:tcW w:w="1305" w:type="dxa"/>
            <w:noWrap/>
            <w:vAlign w:val="bottom"/>
            <w:hideMark/>
          </w:tcPr>
          <w:p w14:paraId="50EEF200"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5.97 [3.71, 10.64]</w:t>
            </w:r>
          </w:p>
        </w:tc>
        <w:tc>
          <w:tcPr>
            <w:tcW w:w="1305" w:type="dxa"/>
            <w:noWrap/>
            <w:vAlign w:val="bottom"/>
            <w:hideMark/>
          </w:tcPr>
          <w:p w14:paraId="79C6D1B3"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7.71 [4.46, 13.63]</w:t>
            </w:r>
          </w:p>
        </w:tc>
        <w:tc>
          <w:tcPr>
            <w:tcW w:w="1260" w:type="dxa"/>
            <w:noWrap/>
            <w:vAlign w:val="bottom"/>
            <w:hideMark/>
          </w:tcPr>
          <w:p w14:paraId="5B67A8DA"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4.72 [3.28, 7.27]</w:t>
            </w:r>
          </w:p>
        </w:tc>
        <w:tc>
          <w:tcPr>
            <w:tcW w:w="1350" w:type="dxa"/>
            <w:vAlign w:val="bottom"/>
          </w:tcPr>
          <w:p w14:paraId="51AC48DB" w14:textId="36728645"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4.58 [2.74, 7.25]</w:t>
            </w:r>
          </w:p>
        </w:tc>
        <w:tc>
          <w:tcPr>
            <w:tcW w:w="1305" w:type="dxa"/>
            <w:vAlign w:val="bottom"/>
          </w:tcPr>
          <w:p w14:paraId="5973E348" w14:textId="6295E7E5"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4.02 [2.61, 4.55]</w:t>
            </w:r>
          </w:p>
        </w:tc>
        <w:tc>
          <w:tcPr>
            <w:tcW w:w="1305" w:type="dxa"/>
            <w:vAlign w:val="bottom"/>
          </w:tcPr>
          <w:p w14:paraId="1981DDFA" w14:textId="2BEE2C6F"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5.12 [2.93, 8.20]</w:t>
            </w:r>
          </w:p>
        </w:tc>
      </w:tr>
      <w:tr w:rsidR="004C0BCF" w:rsidRPr="00FC1C73" w14:paraId="0EE7D0BA" w14:textId="6EE44932" w:rsidTr="003923EA">
        <w:trPr>
          <w:trHeight w:val="300"/>
        </w:trPr>
        <w:tc>
          <w:tcPr>
            <w:tcW w:w="1615" w:type="dxa"/>
            <w:noWrap/>
            <w:vAlign w:val="bottom"/>
            <w:hideMark/>
          </w:tcPr>
          <w:p w14:paraId="606CDC2E" w14:textId="2C38BBA0"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2-Methylhexane</w:t>
            </w:r>
          </w:p>
        </w:tc>
        <w:tc>
          <w:tcPr>
            <w:tcW w:w="1305" w:type="dxa"/>
            <w:noWrap/>
            <w:vAlign w:val="bottom"/>
            <w:hideMark/>
          </w:tcPr>
          <w:p w14:paraId="4B47BF6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0.75 [0.51, 1.34]</w:t>
            </w:r>
          </w:p>
        </w:tc>
        <w:tc>
          <w:tcPr>
            <w:tcW w:w="1305" w:type="dxa"/>
            <w:noWrap/>
            <w:vAlign w:val="bottom"/>
            <w:hideMark/>
          </w:tcPr>
          <w:p w14:paraId="1A85D0F2"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0.95 [0.59, 1.64]</w:t>
            </w:r>
          </w:p>
        </w:tc>
        <w:tc>
          <w:tcPr>
            <w:tcW w:w="1260" w:type="dxa"/>
            <w:noWrap/>
            <w:vAlign w:val="bottom"/>
            <w:hideMark/>
          </w:tcPr>
          <w:p w14:paraId="1AAD8C30"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0.61 [0.43, 0.89]</w:t>
            </w:r>
          </w:p>
        </w:tc>
        <w:tc>
          <w:tcPr>
            <w:tcW w:w="1350" w:type="dxa"/>
            <w:vAlign w:val="bottom"/>
          </w:tcPr>
          <w:p w14:paraId="46D8FA9A" w14:textId="6B2B7BE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0.66 [0.42, 0.90]</w:t>
            </w:r>
          </w:p>
        </w:tc>
        <w:tc>
          <w:tcPr>
            <w:tcW w:w="1305" w:type="dxa"/>
            <w:vAlign w:val="bottom"/>
          </w:tcPr>
          <w:p w14:paraId="0D12AE1B" w14:textId="7E3D6E76"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0.55 [0.51, 0.69]</w:t>
            </w:r>
          </w:p>
        </w:tc>
        <w:tc>
          <w:tcPr>
            <w:tcW w:w="1305" w:type="dxa"/>
            <w:vAlign w:val="bottom"/>
          </w:tcPr>
          <w:p w14:paraId="6BDAEECB" w14:textId="15C39663"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0.76 [0.41, 0.99]</w:t>
            </w:r>
          </w:p>
        </w:tc>
      </w:tr>
      <w:tr w:rsidR="004C0BCF" w:rsidRPr="00FC1C73" w14:paraId="10EA8AE6" w14:textId="712635B6" w:rsidTr="003923EA">
        <w:trPr>
          <w:trHeight w:val="300"/>
        </w:trPr>
        <w:tc>
          <w:tcPr>
            <w:tcW w:w="1615" w:type="dxa"/>
            <w:noWrap/>
            <w:vAlign w:val="bottom"/>
            <w:hideMark/>
          </w:tcPr>
          <w:p w14:paraId="6E3F2764" w14:textId="0A8D5CCD"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3-Methylhexane</w:t>
            </w:r>
          </w:p>
        </w:tc>
        <w:tc>
          <w:tcPr>
            <w:tcW w:w="1305" w:type="dxa"/>
            <w:noWrap/>
            <w:vAlign w:val="bottom"/>
            <w:hideMark/>
          </w:tcPr>
          <w:p w14:paraId="07D70D8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1.69 [1.16, 3.02]</w:t>
            </w:r>
          </w:p>
        </w:tc>
        <w:tc>
          <w:tcPr>
            <w:tcW w:w="1305" w:type="dxa"/>
            <w:noWrap/>
            <w:vAlign w:val="bottom"/>
            <w:hideMark/>
          </w:tcPr>
          <w:p w14:paraId="602EEAF4"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2.12 [1.35, 3.79]</w:t>
            </w:r>
          </w:p>
        </w:tc>
        <w:tc>
          <w:tcPr>
            <w:tcW w:w="1260" w:type="dxa"/>
            <w:noWrap/>
            <w:vAlign w:val="bottom"/>
            <w:hideMark/>
          </w:tcPr>
          <w:p w14:paraId="02F8769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1.39 [0.94, 1.92]</w:t>
            </w:r>
          </w:p>
        </w:tc>
        <w:tc>
          <w:tcPr>
            <w:tcW w:w="1350" w:type="dxa"/>
            <w:vAlign w:val="bottom"/>
          </w:tcPr>
          <w:p w14:paraId="61E7702A" w14:textId="0B6D0EA3"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1.43 [0.95, 1.95]</w:t>
            </w:r>
          </w:p>
        </w:tc>
        <w:tc>
          <w:tcPr>
            <w:tcW w:w="1305" w:type="dxa"/>
            <w:vAlign w:val="bottom"/>
          </w:tcPr>
          <w:p w14:paraId="06C6EE94" w14:textId="71D73F4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1.24 [1.16, 1.49]</w:t>
            </w:r>
          </w:p>
        </w:tc>
        <w:tc>
          <w:tcPr>
            <w:tcW w:w="1305" w:type="dxa"/>
            <w:vAlign w:val="bottom"/>
          </w:tcPr>
          <w:p w14:paraId="4B645257" w14:textId="69A48719"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1.63 [0.93, 2.20]</w:t>
            </w:r>
          </w:p>
        </w:tc>
      </w:tr>
      <w:tr w:rsidR="004C0BCF" w:rsidRPr="00FC1C73" w14:paraId="0A96135D" w14:textId="7DA36090" w:rsidTr="003923EA">
        <w:trPr>
          <w:trHeight w:val="300"/>
        </w:trPr>
        <w:tc>
          <w:tcPr>
            <w:tcW w:w="1615" w:type="dxa"/>
            <w:noWrap/>
            <w:vAlign w:val="bottom"/>
            <w:hideMark/>
          </w:tcPr>
          <w:p w14:paraId="10DF5FB1" w14:textId="33FF0B41"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3-Methylheptane</w:t>
            </w:r>
          </w:p>
        </w:tc>
        <w:tc>
          <w:tcPr>
            <w:tcW w:w="1305" w:type="dxa"/>
            <w:noWrap/>
            <w:vAlign w:val="bottom"/>
            <w:hideMark/>
          </w:tcPr>
          <w:p w14:paraId="6466D46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0.69 [0.45, 1.26]</w:t>
            </w:r>
          </w:p>
        </w:tc>
        <w:tc>
          <w:tcPr>
            <w:tcW w:w="1305" w:type="dxa"/>
            <w:noWrap/>
            <w:vAlign w:val="bottom"/>
            <w:hideMark/>
          </w:tcPr>
          <w:p w14:paraId="57EE673A"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0.87 [0.53, 1.65]</w:t>
            </w:r>
          </w:p>
        </w:tc>
        <w:tc>
          <w:tcPr>
            <w:tcW w:w="1260" w:type="dxa"/>
            <w:noWrap/>
            <w:vAlign w:val="bottom"/>
            <w:hideMark/>
          </w:tcPr>
          <w:p w14:paraId="6FFAFBAD"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0.56 [0.38, 0.81]</w:t>
            </w:r>
          </w:p>
        </w:tc>
        <w:tc>
          <w:tcPr>
            <w:tcW w:w="1350" w:type="dxa"/>
            <w:vAlign w:val="bottom"/>
          </w:tcPr>
          <w:p w14:paraId="7FBC7569" w14:textId="67DFBC5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0.54 [0.43, 0.73]</w:t>
            </w:r>
          </w:p>
        </w:tc>
        <w:tc>
          <w:tcPr>
            <w:tcW w:w="1305" w:type="dxa"/>
            <w:vAlign w:val="bottom"/>
          </w:tcPr>
          <w:p w14:paraId="7BF13C25" w14:textId="0D497C4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0.48 [0.42, 0.53]</w:t>
            </w:r>
          </w:p>
        </w:tc>
        <w:tc>
          <w:tcPr>
            <w:tcW w:w="1305" w:type="dxa"/>
            <w:vAlign w:val="bottom"/>
          </w:tcPr>
          <w:p w14:paraId="5B4A72EB" w14:textId="5730558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0.58 [0.45, 0.81]</w:t>
            </w:r>
          </w:p>
        </w:tc>
      </w:tr>
      <w:tr w:rsidR="004C0BCF" w:rsidRPr="00FC1C73" w14:paraId="7D0DFF42" w14:textId="171E576C" w:rsidTr="003923EA">
        <w:trPr>
          <w:trHeight w:val="300"/>
        </w:trPr>
        <w:tc>
          <w:tcPr>
            <w:tcW w:w="1615" w:type="dxa"/>
            <w:noWrap/>
            <w:vAlign w:val="bottom"/>
            <w:hideMark/>
          </w:tcPr>
          <w:p w14:paraId="3A717F79" w14:textId="1F46FB63"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3-Methylpentane</w:t>
            </w:r>
          </w:p>
        </w:tc>
        <w:tc>
          <w:tcPr>
            <w:tcW w:w="1305" w:type="dxa"/>
            <w:noWrap/>
            <w:vAlign w:val="bottom"/>
            <w:hideMark/>
          </w:tcPr>
          <w:p w14:paraId="2F3410A3"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2.10 [1.29, 3.96]</w:t>
            </w:r>
          </w:p>
        </w:tc>
        <w:tc>
          <w:tcPr>
            <w:tcW w:w="1305" w:type="dxa"/>
            <w:noWrap/>
            <w:vAlign w:val="bottom"/>
            <w:hideMark/>
          </w:tcPr>
          <w:p w14:paraId="7B6F0238"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2.81 [1.46, 5.34]</w:t>
            </w:r>
          </w:p>
        </w:tc>
        <w:tc>
          <w:tcPr>
            <w:tcW w:w="1260" w:type="dxa"/>
            <w:noWrap/>
            <w:vAlign w:val="bottom"/>
            <w:hideMark/>
          </w:tcPr>
          <w:p w14:paraId="6CB529B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1.57 [1.12, 2.45]</w:t>
            </w:r>
          </w:p>
        </w:tc>
        <w:tc>
          <w:tcPr>
            <w:tcW w:w="1350" w:type="dxa"/>
            <w:vAlign w:val="bottom"/>
          </w:tcPr>
          <w:p w14:paraId="020C7F5D" w14:textId="744DF14F"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1.58 [1.02, 2.44]</w:t>
            </w:r>
          </w:p>
        </w:tc>
        <w:tc>
          <w:tcPr>
            <w:tcW w:w="1305" w:type="dxa"/>
            <w:vAlign w:val="bottom"/>
          </w:tcPr>
          <w:p w14:paraId="347EBDF2" w14:textId="6D2F58A9"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1.43 [0.97, 1.66]</w:t>
            </w:r>
          </w:p>
        </w:tc>
        <w:tc>
          <w:tcPr>
            <w:tcW w:w="1305" w:type="dxa"/>
            <w:vAlign w:val="bottom"/>
          </w:tcPr>
          <w:p w14:paraId="4D6DD212" w14:textId="4C693A1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1.80 [1.07, 2.75]</w:t>
            </w:r>
          </w:p>
        </w:tc>
      </w:tr>
      <w:tr w:rsidR="004C0BCF" w:rsidRPr="00FC1C73" w14:paraId="0E11C282" w14:textId="0E2F9ABF" w:rsidTr="003923EA">
        <w:trPr>
          <w:trHeight w:val="300"/>
        </w:trPr>
        <w:tc>
          <w:tcPr>
            <w:tcW w:w="1615" w:type="dxa"/>
            <w:noWrap/>
            <w:vAlign w:val="bottom"/>
            <w:hideMark/>
          </w:tcPr>
          <w:p w14:paraId="1D068695" w14:textId="45229CDC"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2,4-Dimethylpentane</w:t>
            </w:r>
          </w:p>
        </w:tc>
        <w:tc>
          <w:tcPr>
            <w:tcW w:w="1305" w:type="dxa"/>
            <w:noWrap/>
            <w:vAlign w:val="bottom"/>
            <w:hideMark/>
          </w:tcPr>
          <w:p w14:paraId="1E65C27F"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0.34 [0.23, 0.61]</w:t>
            </w:r>
          </w:p>
        </w:tc>
        <w:tc>
          <w:tcPr>
            <w:tcW w:w="1305" w:type="dxa"/>
            <w:noWrap/>
            <w:vAlign w:val="bottom"/>
            <w:hideMark/>
          </w:tcPr>
          <w:p w14:paraId="40E336BD"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0.44 [0.27, 0.82]</w:t>
            </w:r>
          </w:p>
        </w:tc>
        <w:tc>
          <w:tcPr>
            <w:tcW w:w="1260" w:type="dxa"/>
            <w:noWrap/>
            <w:vAlign w:val="bottom"/>
            <w:hideMark/>
          </w:tcPr>
          <w:p w14:paraId="67B7B7C4"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0.28 [0.20, 0.39]</w:t>
            </w:r>
          </w:p>
        </w:tc>
        <w:tc>
          <w:tcPr>
            <w:tcW w:w="1350" w:type="dxa"/>
            <w:vAlign w:val="bottom"/>
          </w:tcPr>
          <w:p w14:paraId="53504A8E" w14:textId="7BE55C96"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0.23 [0.20, 0.36]</w:t>
            </w:r>
          </w:p>
        </w:tc>
        <w:tc>
          <w:tcPr>
            <w:tcW w:w="1305" w:type="dxa"/>
            <w:vAlign w:val="bottom"/>
          </w:tcPr>
          <w:p w14:paraId="4A491A21" w14:textId="291DF276"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0.22 [0.19, 0.26]</w:t>
            </w:r>
          </w:p>
        </w:tc>
        <w:tc>
          <w:tcPr>
            <w:tcW w:w="1305" w:type="dxa"/>
            <w:vAlign w:val="bottom"/>
          </w:tcPr>
          <w:p w14:paraId="0262454E" w14:textId="7CEB580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0.25 [0.20, 0.41]</w:t>
            </w:r>
          </w:p>
        </w:tc>
      </w:tr>
      <w:tr w:rsidR="004C0BCF" w:rsidRPr="00FC1C73" w14:paraId="238A2822" w14:textId="5ACFDE7E" w:rsidTr="003923EA">
        <w:trPr>
          <w:trHeight w:val="300"/>
        </w:trPr>
        <w:tc>
          <w:tcPr>
            <w:tcW w:w="1615" w:type="dxa"/>
            <w:noWrap/>
            <w:vAlign w:val="bottom"/>
            <w:hideMark/>
          </w:tcPr>
          <w:p w14:paraId="5A5FA2B5" w14:textId="03A022C9"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2,3,4-Trimethylpentane</w:t>
            </w:r>
          </w:p>
        </w:tc>
        <w:tc>
          <w:tcPr>
            <w:tcW w:w="1305" w:type="dxa"/>
            <w:noWrap/>
            <w:vAlign w:val="bottom"/>
            <w:hideMark/>
          </w:tcPr>
          <w:p w14:paraId="21F1DD6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0.44 [0.28, 0.76]</w:t>
            </w:r>
          </w:p>
        </w:tc>
        <w:tc>
          <w:tcPr>
            <w:tcW w:w="1305" w:type="dxa"/>
            <w:noWrap/>
            <w:vAlign w:val="bottom"/>
            <w:hideMark/>
          </w:tcPr>
          <w:p w14:paraId="56C7CEF3"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0.56 [0.33, 1.09]</w:t>
            </w:r>
          </w:p>
        </w:tc>
        <w:tc>
          <w:tcPr>
            <w:tcW w:w="1260" w:type="dxa"/>
            <w:noWrap/>
            <w:vAlign w:val="bottom"/>
            <w:hideMark/>
          </w:tcPr>
          <w:p w14:paraId="4A5B16E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0.36 [0.25, 0.56]</w:t>
            </w:r>
          </w:p>
        </w:tc>
        <w:tc>
          <w:tcPr>
            <w:tcW w:w="1350" w:type="dxa"/>
            <w:vAlign w:val="bottom"/>
          </w:tcPr>
          <w:p w14:paraId="73975D90" w14:textId="6B9D097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0.31 [0.23, 0.46]</w:t>
            </w:r>
          </w:p>
        </w:tc>
        <w:tc>
          <w:tcPr>
            <w:tcW w:w="1305" w:type="dxa"/>
            <w:vAlign w:val="bottom"/>
          </w:tcPr>
          <w:p w14:paraId="10ED5CB2" w14:textId="0280FD11"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0.26 [0.23, 0.28]</w:t>
            </w:r>
          </w:p>
        </w:tc>
        <w:tc>
          <w:tcPr>
            <w:tcW w:w="1305" w:type="dxa"/>
            <w:vAlign w:val="bottom"/>
          </w:tcPr>
          <w:p w14:paraId="790B8272" w14:textId="297918C5"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0.36 [0.26, 0.50]</w:t>
            </w:r>
          </w:p>
        </w:tc>
      </w:tr>
      <w:tr w:rsidR="004C0BCF" w:rsidRPr="00FC1C73" w14:paraId="410AAE89" w14:textId="7C5A4238" w:rsidTr="003923EA">
        <w:trPr>
          <w:trHeight w:val="300"/>
        </w:trPr>
        <w:tc>
          <w:tcPr>
            <w:tcW w:w="1615" w:type="dxa"/>
            <w:noWrap/>
            <w:vAlign w:val="bottom"/>
            <w:hideMark/>
          </w:tcPr>
          <w:p w14:paraId="06326B22" w14:textId="46C29DE2"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Methylcyclohexane</w:t>
            </w:r>
          </w:p>
        </w:tc>
        <w:tc>
          <w:tcPr>
            <w:tcW w:w="1305" w:type="dxa"/>
            <w:noWrap/>
            <w:vAlign w:val="bottom"/>
            <w:hideMark/>
          </w:tcPr>
          <w:p w14:paraId="5744B577"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1.61 [1.02, 3.22]</w:t>
            </w:r>
          </w:p>
        </w:tc>
        <w:tc>
          <w:tcPr>
            <w:tcW w:w="1305" w:type="dxa"/>
            <w:noWrap/>
            <w:vAlign w:val="bottom"/>
            <w:hideMark/>
          </w:tcPr>
          <w:p w14:paraId="01F28654"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2.08 [1.22, 4.54]</w:t>
            </w:r>
          </w:p>
        </w:tc>
        <w:tc>
          <w:tcPr>
            <w:tcW w:w="1260" w:type="dxa"/>
            <w:noWrap/>
            <w:vAlign w:val="bottom"/>
            <w:hideMark/>
          </w:tcPr>
          <w:p w14:paraId="5017EDCD"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1.39 [0.85, 2.04]</w:t>
            </w:r>
          </w:p>
        </w:tc>
        <w:tc>
          <w:tcPr>
            <w:tcW w:w="1350" w:type="dxa"/>
            <w:vAlign w:val="bottom"/>
          </w:tcPr>
          <w:p w14:paraId="2DAB4BE4" w14:textId="25B7FBC3"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1.12 [0.84, 1.60]</w:t>
            </w:r>
          </w:p>
        </w:tc>
        <w:tc>
          <w:tcPr>
            <w:tcW w:w="1305" w:type="dxa"/>
            <w:vAlign w:val="bottom"/>
          </w:tcPr>
          <w:p w14:paraId="1F8B32E3" w14:textId="1E42292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0.92 [0.85, 1.10]</w:t>
            </w:r>
          </w:p>
        </w:tc>
        <w:tc>
          <w:tcPr>
            <w:tcW w:w="1305" w:type="dxa"/>
            <w:vAlign w:val="bottom"/>
          </w:tcPr>
          <w:p w14:paraId="49E7A037" w14:textId="6B328C2C"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1.29 [0.88, 1.71]</w:t>
            </w:r>
          </w:p>
        </w:tc>
      </w:tr>
      <w:tr w:rsidR="00AA6E53" w:rsidRPr="00FC1C73" w14:paraId="186C8500" w14:textId="77777777" w:rsidTr="003923EA">
        <w:trPr>
          <w:trHeight w:val="300"/>
        </w:trPr>
        <w:tc>
          <w:tcPr>
            <w:tcW w:w="9445" w:type="dxa"/>
            <w:gridSpan w:val="7"/>
            <w:noWrap/>
            <w:vAlign w:val="bottom"/>
          </w:tcPr>
          <w:p w14:paraId="2FF9ACF2" w14:textId="0A3C7528" w:rsidR="00AA6E53" w:rsidRPr="00AA6E53" w:rsidRDefault="00AA6E53" w:rsidP="00F246B1">
            <w:pPr>
              <w:autoSpaceDE/>
              <w:autoSpaceDN/>
              <w:adjustRightInd/>
              <w:rPr>
                <w:rFonts w:ascii="Arial" w:hAnsi="Arial" w:cs="Arial"/>
                <w:b/>
                <w:bCs/>
                <w:color w:val="000000"/>
                <w:sz w:val="18"/>
                <w:szCs w:val="18"/>
              </w:rPr>
            </w:pPr>
            <w:r>
              <w:rPr>
                <w:rFonts w:ascii="Arial" w:hAnsi="Arial" w:cs="Arial"/>
                <w:b/>
                <w:bCs/>
                <w:color w:val="000000"/>
                <w:sz w:val="18"/>
                <w:szCs w:val="18"/>
              </w:rPr>
              <w:t>Alkenes</w:t>
            </w:r>
          </w:p>
        </w:tc>
      </w:tr>
      <w:tr w:rsidR="004C0BCF" w:rsidRPr="00FC1C73" w14:paraId="467AD153" w14:textId="6F63E7A5" w:rsidTr="003923EA">
        <w:trPr>
          <w:trHeight w:val="300"/>
        </w:trPr>
        <w:tc>
          <w:tcPr>
            <w:tcW w:w="1615" w:type="dxa"/>
            <w:noWrap/>
            <w:vAlign w:val="bottom"/>
            <w:hideMark/>
          </w:tcPr>
          <w:p w14:paraId="51D69F2D" w14:textId="67D7A63D" w:rsidR="004C0BCF" w:rsidRPr="004E1AF8" w:rsidRDefault="004C0BCF" w:rsidP="00F246B1">
            <w:pPr>
              <w:autoSpaceDE/>
              <w:autoSpaceDN/>
              <w:adjustRightInd/>
              <w:rPr>
                <w:rFonts w:ascii="Arial" w:hAnsi="Arial" w:cs="Arial"/>
                <w:color w:val="000000"/>
                <w:kern w:val="0"/>
                <w:sz w:val="18"/>
                <w:szCs w:val="18"/>
                <w:vertAlign w:val="superscript"/>
                <w14:ligatures w14:val="none"/>
              </w:rPr>
            </w:pPr>
            <w:r w:rsidRPr="00FC1C73">
              <w:rPr>
                <w:rFonts w:ascii="Arial" w:hAnsi="Arial" w:cs="Arial"/>
                <w:color w:val="000000"/>
                <w:sz w:val="18"/>
                <w:szCs w:val="18"/>
              </w:rPr>
              <w:t>1-Hexene</w:t>
            </w:r>
            <w:r w:rsidR="00152819">
              <w:rPr>
                <w:rFonts w:ascii="Arial" w:hAnsi="Arial" w:cs="Arial"/>
                <w:color w:val="000000"/>
                <w:sz w:val="18"/>
                <w:szCs w:val="18"/>
                <w:vertAlign w:val="superscript"/>
              </w:rPr>
              <w:t>a</w:t>
            </w:r>
          </w:p>
        </w:tc>
        <w:tc>
          <w:tcPr>
            <w:tcW w:w="1305" w:type="dxa"/>
            <w:noWrap/>
            <w:vAlign w:val="bottom"/>
            <w:hideMark/>
          </w:tcPr>
          <w:p w14:paraId="31A56048"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0.20 [0.11, 0.31]</w:t>
            </w:r>
          </w:p>
        </w:tc>
        <w:tc>
          <w:tcPr>
            <w:tcW w:w="1305" w:type="dxa"/>
            <w:noWrap/>
            <w:vAlign w:val="bottom"/>
            <w:hideMark/>
          </w:tcPr>
          <w:p w14:paraId="306B895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0.23 [0.14, 0.38]</w:t>
            </w:r>
          </w:p>
        </w:tc>
        <w:tc>
          <w:tcPr>
            <w:tcW w:w="1260" w:type="dxa"/>
            <w:noWrap/>
            <w:vAlign w:val="bottom"/>
            <w:hideMark/>
          </w:tcPr>
          <w:p w14:paraId="287FB62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0.17 [0.09, 0.24]</w:t>
            </w:r>
          </w:p>
        </w:tc>
        <w:tc>
          <w:tcPr>
            <w:tcW w:w="1350" w:type="dxa"/>
            <w:vAlign w:val="bottom"/>
          </w:tcPr>
          <w:p w14:paraId="66BAA345" w14:textId="0D38523F"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0.19 [0.10, 0.26]</w:t>
            </w:r>
          </w:p>
        </w:tc>
        <w:tc>
          <w:tcPr>
            <w:tcW w:w="1305" w:type="dxa"/>
            <w:vAlign w:val="bottom"/>
          </w:tcPr>
          <w:p w14:paraId="21167180" w14:textId="44B801D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0.18 [0.14, 0.23]</w:t>
            </w:r>
          </w:p>
        </w:tc>
        <w:tc>
          <w:tcPr>
            <w:tcW w:w="1305" w:type="dxa"/>
            <w:vAlign w:val="bottom"/>
          </w:tcPr>
          <w:p w14:paraId="008AB491" w14:textId="622B95D5"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0.19 [0.10, 0.26]</w:t>
            </w:r>
          </w:p>
        </w:tc>
      </w:tr>
      <w:tr w:rsidR="004C0BCF" w:rsidRPr="00FC1C73" w14:paraId="04E37BA6" w14:textId="28DC0A35" w:rsidTr="003923EA">
        <w:trPr>
          <w:trHeight w:val="300"/>
        </w:trPr>
        <w:tc>
          <w:tcPr>
            <w:tcW w:w="1615" w:type="dxa"/>
            <w:noWrap/>
            <w:vAlign w:val="bottom"/>
            <w:hideMark/>
          </w:tcPr>
          <w:p w14:paraId="70BD45F9" w14:textId="2496C8B8" w:rsidR="004C0BCF" w:rsidRPr="004E1AF8" w:rsidRDefault="004C0BCF" w:rsidP="00F246B1">
            <w:pPr>
              <w:autoSpaceDE/>
              <w:autoSpaceDN/>
              <w:adjustRightInd/>
              <w:rPr>
                <w:rFonts w:ascii="Arial" w:hAnsi="Arial" w:cs="Arial"/>
                <w:color w:val="000000"/>
                <w:kern w:val="0"/>
                <w:sz w:val="18"/>
                <w:szCs w:val="18"/>
                <w:vertAlign w:val="superscript"/>
                <w14:ligatures w14:val="none"/>
              </w:rPr>
            </w:pPr>
            <w:r w:rsidRPr="00FC1C73">
              <w:rPr>
                <w:rFonts w:ascii="Arial" w:hAnsi="Arial" w:cs="Arial"/>
                <w:color w:val="000000"/>
                <w:sz w:val="18"/>
                <w:szCs w:val="18"/>
              </w:rPr>
              <w:t>cis-2-Pentene</w:t>
            </w:r>
            <w:r w:rsidR="0036193D">
              <w:rPr>
                <w:rFonts w:ascii="Arial" w:hAnsi="Arial" w:cs="Arial"/>
                <w:color w:val="000000"/>
                <w:sz w:val="18"/>
                <w:szCs w:val="18"/>
                <w:vertAlign w:val="superscript"/>
              </w:rPr>
              <w:t>b</w:t>
            </w:r>
          </w:p>
        </w:tc>
        <w:tc>
          <w:tcPr>
            <w:tcW w:w="1305" w:type="dxa"/>
            <w:noWrap/>
            <w:vAlign w:val="bottom"/>
            <w:hideMark/>
          </w:tcPr>
          <w:p w14:paraId="2832661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0.04 [0.02, 0.08]</w:t>
            </w:r>
          </w:p>
        </w:tc>
        <w:tc>
          <w:tcPr>
            <w:tcW w:w="1305" w:type="dxa"/>
            <w:noWrap/>
            <w:vAlign w:val="bottom"/>
            <w:hideMark/>
          </w:tcPr>
          <w:p w14:paraId="3082FA96"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0.04 [0.02, 0.09]</w:t>
            </w:r>
          </w:p>
        </w:tc>
        <w:tc>
          <w:tcPr>
            <w:tcW w:w="1260" w:type="dxa"/>
            <w:noWrap/>
            <w:vAlign w:val="bottom"/>
            <w:hideMark/>
          </w:tcPr>
          <w:p w14:paraId="2BD426DB"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0.04 [0.01, 0.07]</w:t>
            </w:r>
          </w:p>
        </w:tc>
        <w:tc>
          <w:tcPr>
            <w:tcW w:w="1350" w:type="dxa"/>
            <w:vAlign w:val="bottom"/>
          </w:tcPr>
          <w:p w14:paraId="1C8064B4" w14:textId="3D1FE87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0.05 [0.02, 0.07]</w:t>
            </w:r>
          </w:p>
        </w:tc>
        <w:tc>
          <w:tcPr>
            <w:tcW w:w="1305" w:type="dxa"/>
            <w:vAlign w:val="bottom"/>
          </w:tcPr>
          <w:p w14:paraId="04A411E1" w14:textId="0C260024"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0.04 [0.03, 0.07]</w:t>
            </w:r>
          </w:p>
        </w:tc>
        <w:tc>
          <w:tcPr>
            <w:tcW w:w="1305" w:type="dxa"/>
            <w:vAlign w:val="bottom"/>
          </w:tcPr>
          <w:p w14:paraId="22A22A02" w14:textId="28E00F9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0.05 [0.02, 0.07]</w:t>
            </w:r>
          </w:p>
        </w:tc>
      </w:tr>
      <w:tr w:rsidR="004C0BCF" w:rsidRPr="00FC1C73" w14:paraId="566A17A0" w14:textId="21F14EB4" w:rsidTr="003923EA">
        <w:trPr>
          <w:trHeight w:val="300"/>
        </w:trPr>
        <w:tc>
          <w:tcPr>
            <w:tcW w:w="1615" w:type="dxa"/>
            <w:noWrap/>
            <w:vAlign w:val="bottom"/>
            <w:hideMark/>
          </w:tcPr>
          <w:p w14:paraId="260B4BD9" w14:textId="5711628D" w:rsidR="004C0BCF" w:rsidRPr="004E1AF8" w:rsidRDefault="004C0BCF" w:rsidP="00F246B1">
            <w:pPr>
              <w:autoSpaceDE/>
              <w:autoSpaceDN/>
              <w:adjustRightInd/>
              <w:rPr>
                <w:rFonts w:ascii="Arial" w:hAnsi="Arial" w:cs="Arial"/>
                <w:color w:val="000000"/>
                <w:kern w:val="0"/>
                <w:sz w:val="18"/>
                <w:szCs w:val="18"/>
                <w:vertAlign w:val="superscript"/>
                <w14:ligatures w14:val="none"/>
              </w:rPr>
            </w:pPr>
            <w:proofErr w:type="spellStart"/>
            <w:r w:rsidRPr="00FC1C73">
              <w:rPr>
                <w:rFonts w:ascii="Arial" w:hAnsi="Arial" w:cs="Arial"/>
                <w:color w:val="000000"/>
                <w:sz w:val="18"/>
                <w:szCs w:val="18"/>
              </w:rPr>
              <w:t>Isoprene</w:t>
            </w:r>
            <w:r w:rsidR="00152819">
              <w:rPr>
                <w:rFonts w:ascii="Arial" w:hAnsi="Arial" w:cs="Arial"/>
                <w:color w:val="000000"/>
                <w:sz w:val="18"/>
                <w:szCs w:val="18"/>
                <w:vertAlign w:val="superscript"/>
              </w:rPr>
              <w:t>a</w:t>
            </w:r>
            <w:proofErr w:type="spellEnd"/>
          </w:p>
        </w:tc>
        <w:tc>
          <w:tcPr>
            <w:tcW w:w="1305" w:type="dxa"/>
            <w:noWrap/>
            <w:vAlign w:val="bottom"/>
            <w:hideMark/>
          </w:tcPr>
          <w:p w14:paraId="1A6994AF"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0.03 [0.01, 0.10]</w:t>
            </w:r>
          </w:p>
        </w:tc>
        <w:tc>
          <w:tcPr>
            <w:tcW w:w="1305" w:type="dxa"/>
            <w:noWrap/>
            <w:vAlign w:val="bottom"/>
            <w:hideMark/>
          </w:tcPr>
          <w:p w14:paraId="5F79B0AC"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0.01 [0.01, 0.09]</w:t>
            </w:r>
          </w:p>
        </w:tc>
        <w:tc>
          <w:tcPr>
            <w:tcW w:w="1260" w:type="dxa"/>
            <w:noWrap/>
            <w:vAlign w:val="bottom"/>
            <w:hideMark/>
          </w:tcPr>
          <w:p w14:paraId="5A7BB20A"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0.03 [0.01, 0.11]</w:t>
            </w:r>
          </w:p>
        </w:tc>
        <w:tc>
          <w:tcPr>
            <w:tcW w:w="1350" w:type="dxa"/>
            <w:vAlign w:val="bottom"/>
          </w:tcPr>
          <w:p w14:paraId="41651E4A" w14:textId="36C1E0C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0.03 [0.01, 0.06]</w:t>
            </w:r>
          </w:p>
        </w:tc>
        <w:tc>
          <w:tcPr>
            <w:tcW w:w="1305" w:type="dxa"/>
            <w:vAlign w:val="bottom"/>
          </w:tcPr>
          <w:p w14:paraId="5F47E0FC" w14:textId="46D9077D"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0.01 [0.01, 0.04]</w:t>
            </w:r>
          </w:p>
        </w:tc>
        <w:tc>
          <w:tcPr>
            <w:tcW w:w="1305" w:type="dxa"/>
            <w:vAlign w:val="bottom"/>
          </w:tcPr>
          <w:p w14:paraId="502F31A7" w14:textId="0F010E0B"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0.04 [0.01, 0.06]</w:t>
            </w:r>
          </w:p>
        </w:tc>
      </w:tr>
      <w:tr w:rsidR="00AA6E53" w:rsidRPr="00FC1C73" w14:paraId="5449AB9E" w14:textId="77777777" w:rsidTr="003923EA">
        <w:trPr>
          <w:trHeight w:val="300"/>
        </w:trPr>
        <w:tc>
          <w:tcPr>
            <w:tcW w:w="9445" w:type="dxa"/>
            <w:gridSpan w:val="7"/>
            <w:noWrap/>
            <w:vAlign w:val="bottom"/>
          </w:tcPr>
          <w:p w14:paraId="4370AA7F" w14:textId="3C5D7D2D" w:rsidR="00AA6E53" w:rsidRPr="00AA6E53" w:rsidRDefault="00AA6E53" w:rsidP="00F246B1">
            <w:pPr>
              <w:autoSpaceDE/>
              <w:autoSpaceDN/>
              <w:adjustRightInd/>
              <w:rPr>
                <w:rFonts w:ascii="Arial" w:hAnsi="Arial" w:cs="Arial"/>
                <w:b/>
                <w:bCs/>
                <w:color w:val="000000"/>
                <w:sz w:val="18"/>
                <w:szCs w:val="18"/>
              </w:rPr>
            </w:pPr>
            <w:r>
              <w:rPr>
                <w:rFonts w:ascii="Arial" w:hAnsi="Arial" w:cs="Arial"/>
                <w:b/>
                <w:bCs/>
                <w:color w:val="000000"/>
                <w:sz w:val="18"/>
                <w:szCs w:val="18"/>
              </w:rPr>
              <w:t>Ketones</w:t>
            </w:r>
          </w:p>
        </w:tc>
      </w:tr>
      <w:tr w:rsidR="004C0BCF" w:rsidRPr="00FC1C73" w14:paraId="60C055DB" w14:textId="69124C48" w:rsidTr="003923EA">
        <w:trPr>
          <w:trHeight w:val="300"/>
        </w:trPr>
        <w:tc>
          <w:tcPr>
            <w:tcW w:w="1615" w:type="dxa"/>
            <w:noWrap/>
            <w:vAlign w:val="bottom"/>
            <w:hideMark/>
          </w:tcPr>
          <w:p w14:paraId="3F1947D7" w14:textId="7FC52CAC" w:rsidR="004C0BCF" w:rsidRPr="004E1AF8" w:rsidRDefault="004C0BCF" w:rsidP="00F246B1">
            <w:pPr>
              <w:autoSpaceDE/>
              <w:autoSpaceDN/>
              <w:adjustRightInd/>
              <w:rPr>
                <w:rFonts w:ascii="Arial" w:hAnsi="Arial" w:cs="Arial"/>
                <w:color w:val="000000"/>
                <w:kern w:val="0"/>
                <w:sz w:val="18"/>
                <w:szCs w:val="18"/>
                <w:vertAlign w:val="superscript"/>
                <w14:ligatures w14:val="none"/>
              </w:rPr>
            </w:pPr>
            <w:r w:rsidRPr="00FC1C73">
              <w:rPr>
                <w:rFonts w:ascii="Arial" w:hAnsi="Arial" w:cs="Arial"/>
                <w:color w:val="000000"/>
                <w:sz w:val="18"/>
                <w:szCs w:val="18"/>
              </w:rPr>
              <w:t>2-Hexanone</w:t>
            </w:r>
            <w:r w:rsidR="00152819">
              <w:rPr>
                <w:rFonts w:ascii="Arial" w:hAnsi="Arial" w:cs="Arial"/>
                <w:color w:val="000000"/>
                <w:sz w:val="18"/>
                <w:szCs w:val="18"/>
                <w:vertAlign w:val="superscript"/>
              </w:rPr>
              <w:t>a</w:t>
            </w:r>
          </w:p>
        </w:tc>
        <w:tc>
          <w:tcPr>
            <w:tcW w:w="1305" w:type="dxa"/>
            <w:noWrap/>
            <w:vAlign w:val="bottom"/>
            <w:hideMark/>
          </w:tcPr>
          <w:p w14:paraId="47E5E077"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0.01 [0.01, 0.01]</w:t>
            </w:r>
          </w:p>
        </w:tc>
        <w:tc>
          <w:tcPr>
            <w:tcW w:w="1305" w:type="dxa"/>
            <w:noWrap/>
            <w:vAlign w:val="bottom"/>
            <w:hideMark/>
          </w:tcPr>
          <w:p w14:paraId="58E11B82"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0.01 [0.01, 0.01]</w:t>
            </w:r>
          </w:p>
        </w:tc>
        <w:tc>
          <w:tcPr>
            <w:tcW w:w="1260" w:type="dxa"/>
            <w:noWrap/>
            <w:vAlign w:val="bottom"/>
            <w:hideMark/>
          </w:tcPr>
          <w:p w14:paraId="4EE921BE"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0.01 [0.01, 0.01]</w:t>
            </w:r>
          </w:p>
        </w:tc>
        <w:tc>
          <w:tcPr>
            <w:tcW w:w="1350" w:type="dxa"/>
            <w:vAlign w:val="bottom"/>
          </w:tcPr>
          <w:p w14:paraId="7E056874" w14:textId="36848859"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0.01 [0.01, 0.01]</w:t>
            </w:r>
          </w:p>
        </w:tc>
        <w:tc>
          <w:tcPr>
            <w:tcW w:w="1305" w:type="dxa"/>
            <w:vAlign w:val="bottom"/>
          </w:tcPr>
          <w:p w14:paraId="30852579" w14:textId="156F9BB2"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0.01 [0.01, 0.01]</w:t>
            </w:r>
          </w:p>
        </w:tc>
        <w:tc>
          <w:tcPr>
            <w:tcW w:w="1305" w:type="dxa"/>
            <w:vAlign w:val="bottom"/>
          </w:tcPr>
          <w:p w14:paraId="338D3F70" w14:textId="75B4BB93"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0.01 [0.01, 0.01]</w:t>
            </w:r>
          </w:p>
        </w:tc>
      </w:tr>
      <w:tr w:rsidR="004C0BCF" w:rsidRPr="00FC1C73" w14:paraId="2F37191E" w14:textId="5FDCF9B4" w:rsidTr="003923EA">
        <w:trPr>
          <w:trHeight w:val="300"/>
        </w:trPr>
        <w:tc>
          <w:tcPr>
            <w:tcW w:w="1615" w:type="dxa"/>
            <w:noWrap/>
            <w:vAlign w:val="bottom"/>
            <w:hideMark/>
          </w:tcPr>
          <w:p w14:paraId="4DAA989C" w14:textId="4A4FBCB1" w:rsidR="004C0BCF" w:rsidRPr="004E1AF8" w:rsidRDefault="004C0BCF" w:rsidP="00F246B1">
            <w:pPr>
              <w:autoSpaceDE/>
              <w:autoSpaceDN/>
              <w:adjustRightInd/>
              <w:rPr>
                <w:rFonts w:ascii="Arial" w:hAnsi="Arial" w:cs="Arial"/>
                <w:color w:val="000000"/>
                <w:kern w:val="0"/>
                <w:sz w:val="18"/>
                <w:szCs w:val="18"/>
                <w:vertAlign w:val="superscript"/>
                <w14:ligatures w14:val="none"/>
              </w:rPr>
            </w:pPr>
            <w:r w:rsidRPr="00FC1C73">
              <w:rPr>
                <w:rFonts w:ascii="Arial" w:hAnsi="Arial" w:cs="Arial"/>
                <w:color w:val="000000"/>
                <w:sz w:val="18"/>
                <w:szCs w:val="18"/>
              </w:rPr>
              <w:t xml:space="preserve">Methyl isobutyl </w:t>
            </w:r>
            <w:proofErr w:type="spellStart"/>
            <w:r w:rsidRPr="00FC1C73">
              <w:rPr>
                <w:rFonts w:ascii="Arial" w:hAnsi="Arial" w:cs="Arial"/>
                <w:color w:val="000000"/>
                <w:sz w:val="18"/>
                <w:szCs w:val="18"/>
              </w:rPr>
              <w:t>ketone</w:t>
            </w:r>
            <w:r w:rsidR="00152819">
              <w:rPr>
                <w:rFonts w:ascii="Arial" w:hAnsi="Arial" w:cs="Arial"/>
                <w:color w:val="000000"/>
                <w:sz w:val="18"/>
                <w:szCs w:val="18"/>
                <w:vertAlign w:val="superscript"/>
              </w:rPr>
              <w:t>a</w:t>
            </w:r>
            <w:proofErr w:type="spellEnd"/>
          </w:p>
        </w:tc>
        <w:tc>
          <w:tcPr>
            <w:tcW w:w="1305" w:type="dxa"/>
            <w:noWrap/>
            <w:vAlign w:val="bottom"/>
            <w:hideMark/>
          </w:tcPr>
          <w:p w14:paraId="24AD81A6"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0.00 [0.00, 0.04]</w:t>
            </w:r>
          </w:p>
        </w:tc>
        <w:tc>
          <w:tcPr>
            <w:tcW w:w="1305" w:type="dxa"/>
            <w:noWrap/>
            <w:vAlign w:val="bottom"/>
            <w:hideMark/>
          </w:tcPr>
          <w:p w14:paraId="2F538324"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0.00 [0.00, 0.04]</w:t>
            </w:r>
          </w:p>
        </w:tc>
        <w:tc>
          <w:tcPr>
            <w:tcW w:w="1260" w:type="dxa"/>
            <w:noWrap/>
            <w:vAlign w:val="bottom"/>
            <w:hideMark/>
          </w:tcPr>
          <w:p w14:paraId="31DABAA5"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0.00 [0.00, 0.04]</w:t>
            </w:r>
          </w:p>
        </w:tc>
        <w:tc>
          <w:tcPr>
            <w:tcW w:w="1350" w:type="dxa"/>
            <w:vAlign w:val="bottom"/>
          </w:tcPr>
          <w:p w14:paraId="3B644E13" w14:textId="318CF44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0.00 [0.00, 0.04]</w:t>
            </w:r>
          </w:p>
        </w:tc>
        <w:tc>
          <w:tcPr>
            <w:tcW w:w="1305" w:type="dxa"/>
            <w:vAlign w:val="bottom"/>
          </w:tcPr>
          <w:p w14:paraId="12140705" w14:textId="07844DF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0.00 [0.00, 0.01]</w:t>
            </w:r>
          </w:p>
        </w:tc>
        <w:tc>
          <w:tcPr>
            <w:tcW w:w="1305" w:type="dxa"/>
            <w:vAlign w:val="bottom"/>
          </w:tcPr>
          <w:p w14:paraId="1E2CB87E" w14:textId="79B0C8F6"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0.00 [0.00, 0.04]</w:t>
            </w:r>
          </w:p>
        </w:tc>
      </w:tr>
      <w:tr w:rsidR="00AA6E53" w:rsidRPr="00FC1C73" w14:paraId="2E7AE26C" w14:textId="77777777" w:rsidTr="003923EA">
        <w:trPr>
          <w:trHeight w:val="300"/>
        </w:trPr>
        <w:tc>
          <w:tcPr>
            <w:tcW w:w="9445" w:type="dxa"/>
            <w:gridSpan w:val="7"/>
            <w:noWrap/>
            <w:vAlign w:val="bottom"/>
          </w:tcPr>
          <w:p w14:paraId="46CFD714" w14:textId="60526547" w:rsidR="00AA6E53" w:rsidRPr="00AA6E53" w:rsidRDefault="003B1440" w:rsidP="00F246B1">
            <w:pPr>
              <w:autoSpaceDE/>
              <w:autoSpaceDN/>
              <w:adjustRightInd/>
              <w:rPr>
                <w:rFonts w:ascii="Arial" w:hAnsi="Arial" w:cs="Arial"/>
                <w:b/>
                <w:bCs/>
                <w:color w:val="000000"/>
                <w:sz w:val="18"/>
                <w:szCs w:val="18"/>
              </w:rPr>
            </w:pPr>
            <w:r>
              <w:rPr>
                <w:rFonts w:ascii="Arial" w:hAnsi="Arial" w:cs="Arial"/>
                <w:b/>
                <w:bCs/>
                <w:color w:val="000000"/>
                <w:sz w:val="18"/>
                <w:szCs w:val="18"/>
              </w:rPr>
              <w:t>Chlorinated Compounds</w:t>
            </w:r>
          </w:p>
        </w:tc>
      </w:tr>
      <w:tr w:rsidR="004C0BCF" w:rsidRPr="00FC1C73" w14:paraId="3D96A3F9" w14:textId="20808A55" w:rsidTr="003923EA">
        <w:trPr>
          <w:trHeight w:val="300"/>
        </w:trPr>
        <w:tc>
          <w:tcPr>
            <w:tcW w:w="1615" w:type="dxa"/>
            <w:noWrap/>
            <w:vAlign w:val="bottom"/>
            <w:hideMark/>
          </w:tcPr>
          <w:p w14:paraId="6FCB712E" w14:textId="731E2428" w:rsidR="004C0BCF" w:rsidRPr="004E1AF8" w:rsidRDefault="004C0BCF" w:rsidP="00F246B1">
            <w:pPr>
              <w:autoSpaceDE/>
              <w:autoSpaceDN/>
              <w:adjustRightInd/>
              <w:rPr>
                <w:rFonts w:ascii="Arial" w:hAnsi="Arial" w:cs="Arial"/>
                <w:color w:val="000000"/>
                <w:kern w:val="0"/>
                <w:sz w:val="18"/>
                <w:szCs w:val="18"/>
                <w:vertAlign w:val="superscript"/>
                <w14:ligatures w14:val="none"/>
              </w:rPr>
            </w:pPr>
            <w:proofErr w:type="spellStart"/>
            <w:r w:rsidRPr="00FC1C73">
              <w:rPr>
                <w:rFonts w:ascii="Arial" w:hAnsi="Arial" w:cs="Arial"/>
                <w:color w:val="000000"/>
                <w:sz w:val="18"/>
                <w:szCs w:val="18"/>
              </w:rPr>
              <w:t>Chloroform</w:t>
            </w:r>
            <w:r w:rsidR="000D0B9B">
              <w:rPr>
                <w:rFonts w:ascii="Arial" w:hAnsi="Arial" w:cs="Arial"/>
                <w:color w:val="000000"/>
                <w:sz w:val="18"/>
                <w:szCs w:val="18"/>
                <w:vertAlign w:val="superscript"/>
              </w:rPr>
              <w:t>a</w:t>
            </w:r>
            <w:proofErr w:type="spellEnd"/>
          </w:p>
        </w:tc>
        <w:tc>
          <w:tcPr>
            <w:tcW w:w="1305" w:type="dxa"/>
            <w:noWrap/>
            <w:vAlign w:val="bottom"/>
            <w:hideMark/>
          </w:tcPr>
          <w:p w14:paraId="6AC1F76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0.17 [0.14, 0.20]</w:t>
            </w:r>
          </w:p>
        </w:tc>
        <w:tc>
          <w:tcPr>
            <w:tcW w:w="1305" w:type="dxa"/>
            <w:noWrap/>
            <w:vAlign w:val="bottom"/>
            <w:hideMark/>
          </w:tcPr>
          <w:p w14:paraId="2E3C463E"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0.16 [0.13, 0.18]</w:t>
            </w:r>
          </w:p>
        </w:tc>
        <w:tc>
          <w:tcPr>
            <w:tcW w:w="1260" w:type="dxa"/>
            <w:noWrap/>
            <w:vAlign w:val="bottom"/>
            <w:hideMark/>
          </w:tcPr>
          <w:p w14:paraId="595F719E"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0.18 [0.14, 0.22]</w:t>
            </w:r>
          </w:p>
        </w:tc>
        <w:tc>
          <w:tcPr>
            <w:tcW w:w="1350" w:type="dxa"/>
            <w:vAlign w:val="bottom"/>
          </w:tcPr>
          <w:p w14:paraId="7E47920D" w14:textId="0E1A6E58"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0.18 [0.14, 0.21]</w:t>
            </w:r>
          </w:p>
        </w:tc>
        <w:tc>
          <w:tcPr>
            <w:tcW w:w="1305" w:type="dxa"/>
            <w:vAlign w:val="bottom"/>
          </w:tcPr>
          <w:p w14:paraId="1ABAFF40" w14:textId="2707EBE1"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0.19 [0.14, 0.21]</w:t>
            </w:r>
          </w:p>
        </w:tc>
        <w:tc>
          <w:tcPr>
            <w:tcW w:w="1305" w:type="dxa"/>
            <w:vAlign w:val="bottom"/>
          </w:tcPr>
          <w:p w14:paraId="707A693D" w14:textId="75F0DC45"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0.18 [0.16, 0.22]</w:t>
            </w:r>
          </w:p>
        </w:tc>
      </w:tr>
      <w:tr w:rsidR="004C0BCF" w:rsidRPr="00FC1C73" w14:paraId="18F8DFE8" w14:textId="4EF2DC08" w:rsidTr="003923EA">
        <w:trPr>
          <w:trHeight w:val="300"/>
        </w:trPr>
        <w:tc>
          <w:tcPr>
            <w:tcW w:w="1615" w:type="dxa"/>
            <w:noWrap/>
            <w:vAlign w:val="bottom"/>
            <w:hideMark/>
          </w:tcPr>
          <w:p w14:paraId="571D5EAC" w14:textId="381602BA"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Carbon tetrachloride</w:t>
            </w:r>
          </w:p>
        </w:tc>
        <w:tc>
          <w:tcPr>
            <w:tcW w:w="1305" w:type="dxa"/>
            <w:noWrap/>
            <w:vAlign w:val="bottom"/>
            <w:hideMark/>
          </w:tcPr>
          <w:p w14:paraId="1CC5D6CF"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1.74 [1.26, 2.12]</w:t>
            </w:r>
          </w:p>
        </w:tc>
        <w:tc>
          <w:tcPr>
            <w:tcW w:w="1305" w:type="dxa"/>
            <w:noWrap/>
            <w:vAlign w:val="bottom"/>
            <w:hideMark/>
          </w:tcPr>
          <w:p w14:paraId="6CCE935F"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1.75 [1.26, 2.13]</w:t>
            </w:r>
          </w:p>
        </w:tc>
        <w:tc>
          <w:tcPr>
            <w:tcW w:w="1260" w:type="dxa"/>
            <w:noWrap/>
            <w:vAlign w:val="bottom"/>
            <w:hideMark/>
          </w:tcPr>
          <w:p w14:paraId="4BF88AFD"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1.74 [1.26, 2.12]</w:t>
            </w:r>
          </w:p>
        </w:tc>
        <w:tc>
          <w:tcPr>
            <w:tcW w:w="1350" w:type="dxa"/>
            <w:vAlign w:val="bottom"/>
          </w:tcPr>
          <w:p w14:paraId="55EFF140" w14:textId="343F327C"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1.90 [1.38, 2.32]</w:t>
            </w:r>
          </w:p>
        </w:tc>
        <w:tc>
          <w:tcPr>
            <w:tcW w:w="1305" w:type="dxa"/>
            <w:vAlign w:val="bottom"/>
          </w:tcPr>
          <w:p w14:paraId="710715FD" w14:textId="77809CC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2.07 [1.25, 2.37]</w:t>
            </w:r>
          </w:p>
        </w:tc>
        <w:tc>
          <w:tcPr>
            <w:tcW w:w="1305" w:type="dxa"/>
            <w:vAlign w:val="bottom"/>
          </w:tcPr>
          <w:p w14:paraId="13EF7B80" w14:textId="1C0B876A"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1.89 [1.71, 2.28]</w:t>
            </w:r>
          </w:p>
        </w:tc>
      </w:tr>
      <w:tr w:rsidR="004C0BCF" w:rsidRPr="00FC1C73" w14:paraId="1DD9450E" w14:textId="5E57C913" w:rsidTr="003923EA">
        <w:trPr>
          <w:trHeight w:val="300"/>
        </w:trPr>
        <w:tc>
          <w:tcPr>
            <w:tcW w:w="1615" w:type="dxa"/>
            <w:noWrap/>
            <w:vAlign w:val="bottom"/>
            <w:hideMark/>
          </w:tcPr>
          <w:p w14:paraId="1EB29283" w14:textId="4CA92319"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Tetrachloroethylene</w:t>
            </w:r>
          </w:p>
        </w:tc>
        <w:tc>
          <w:tcPr>
            <w:tcW w:w="1305" w:type="dxa"/>
            <w:noWrap/>
            <w:vAlign w:val="bottom"/>
            <w:hideMark/>
          </w:tcPr>
          <w:p w14:paraId="43AB6D27"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0.12 [0.09, 0.16]</w:t>
            </w:r>
          </w:p>
        </w:tc>
        <w:tc>
          <w:tcPr>
            <w:tcW w:w="1305" w:type="dxa"/>
            <w:noWrap/>
            <w:vAlign w:val="bottom"/>
            <w:hideMark/>
          </w:tcPr>
          <w:p w14:paraId="22874889"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0.12 [0.09, 0.18]</w:t>
            </w:r>
          </w:p>
        </w:tc>
        <w:tc>
          <w:tcPr>
            <w:tcW w:w="1260" w:type="dxa"/>
            <w:noWrap/>
            <w:vAlign w:val="bottom"/>
            <w:hideMark/>
          </w:tcPr>
          <w:p w14:paraId="3AF681AB"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0.12 [0.09, 0.15]</w:t>
            </w:r>
          </w:p>
        </w:tc>
        <w:tc>
          <w:tcPr>
            <w:tcW w:w="1350" w:type="dxa"/>
            <w:vAlign w:val="bottom"/>
          </w:tcPr>
          <w:p w14:paraId="68C9C3A7" w14:textId="0156B093"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0.14 [0.09, 0.18]</w:t>
            </w:r>
          </w:p>
        </w:tc>
        <w:tc>
          <w:tcPr>
            <w:tcW w:w="1305" w:type="dxa"/>
            <w:vAlign w:val="bottom"/>
          </w:tcPr>
          <w:p w14:paraId="1F63D123" w14:textId="75C09A51"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0.18 [0.13, 0.20]</w:t>
            </w:r>
          </w:p>
        </w:tc>
        <w:tc>
          <w:tcPr>
            <w:tcW w:w="1305" w:type="dxa"/>
            <w:vAlign w:val="bottom"/>
          </w:tcPr>
          <w:p w14:paraId="50E3F1A5" w14:textId="78ED07FD"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0.12 [0.09, 0.15]</w:t>
            </w:r>
          </w:p>
        </w:tc>
      </w:tr>
      <w:tr w:rsidR="004C0BCF" w:rsidRPr="00FC1C73" w14:paraId="152C87FB" w14:textId="1BB22608" w:rsidTr="003923EA">
        <w:trPr>
          <w:trHeight w:val="300"/>
        </w:trPr>
        <w:tc>
          <w:tcPr>
            <w:tcW w:w="1615" w:type="dxa"/>
            <w:noWrap/>
            <w:vAlign w:val="bottom"/>
            <w:hideMark/>
          </w:tcPr>
          <w:p w14:paraId="333AEBF3" w14:textId="14FA706F" w:rsidR="004C0BCF" w:rsidRPr="004E1AF8"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Trichlorofluoromethane</w:t>
            </w:r>
          </w:p>
        </w:tc>
        <w:tc>
          <w:tcPr>
            <w:tcW w:w="1305" w:type="dxa"/>
            <w:noWrap/>
            <w:vAlign w:val="bottom"/>
            <w:hideMark/>
          </w:tcPr>
          <w:p w14:paraId="767A9627"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0.61 [0.31, 0.94]</w:t>
            </w:r>
          </w:p>
        </w:tc>
        <w:tc>
          <w:tcPr>
            <w:tcW w:w="1305" w:type="dxa"/>
            <w:noWrap/>
            <w:vAlign w:val="bottom"/>
            <w:hideMark/>
          </w:tcPr>
          <w:p w14:paraId="57DF3DF1"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0.61 [0.32, 0.94]</w:t>
            </w:r>
          </w:p>
        </w:tc>
        <w:tc>
          <w:tcPr>
            <w:tcW w:w="1260" w:type="dxa"/>
            <w:noWrap/>
            <w:vAlign w:val="bottom"/>
            <w:hideMark/>
          </w:tcPr>
          <w:p w14:paraId="2A58366C"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0.60 [0.29, 0.93]</w:t>
            </w:r>
          </w:p>
        </w:tc>
        <w:tc>
          <w:tcPr>
            <w:tcW w:w="1350" w:type="dxa"/>
            <w:vAlign w:val="bottom"/>
          </w:tcPr>
          <w:p w14:paraId="1C69B25D" w14:textId="38587650"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0.70 [0.34, 1.25]</w:t>
            </w:r>
          </w:p>
        </w:tc>
        <w:tc>
          <w:tcPr>
            <w:tcW w:w="1305" w:type="dxa"/>
            <w:vAlign w:val="bottom"/>
          </w:tcPr>
          <w:p w14:paraId="1DEC48C5" w14:textId="34BFA937"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0.64 [0.32, 1.19]</w:t>
            </w:r>
          </w:p>
        </w:tc>
        <w:tc>
          <w:tcPr>
            <w:tcW w:w="1305" w:type="dxa"/>
            <w:vAlign w:val="bottom"/>
          </w:tcPr>
          <w:p w14:paraId="523E4744" w14:textId="37CB67C4"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0.70 [0.40, 1.26]</w:t>
            </w:r>
          </w:p>
        </w:tc>
      </w:tr>
      <w:tr w:rsidR="004C0BCF" w:rsidRPr="00FC1C73" w14:paraId="46881F6C" w14:textId="2582DD42" w:rsidTr="003923EA">
        <w:trPr>
          <w:trHeight w:val="300"/>
        </w:trPr>
        <w:tc>
          <w:tcPr>
            <w:tcW w:w="1615" w:type="dxa"/>
            <w:noWrap/>
            <w:vAlign w:val="bottom"/>
            <w:hideMark/>
          </w:tcPr>
          <w:p w14:paraId="68696B3E" w14:textId="665E01CC" w:rsidR="004C0BCF" w:rsidRPr="004E1AF8" w:rsidRDefault="004C0BCF" w:rsidP="00F246B1">
            <w:pPr>
              <w:autoSpaceDE/>
              <w:autoSpaceDN/>
              <w:adjustRightInd/>
              <w:rPr>
                <w:rFonts w:ascii="Arial" w:hAnsi="Arial" w:cs="Arial"/>
                <w:color w:val="000000"/>
                <w:kern w:val="0"/>
                <w:sz w:val="18"/>
                <w:szCs w:val="18"/>
                <w:vertAlign w:val="superscript"/>
                <w14:ligatures w14:val="none"/>
              </w:rPr>
            </w:pPr>
            <w:r w:rsidRPr="00FC1C73">
              <w:rPr>
                <w:rFonts w:ascii="Arial" w:hAnsi="Arial" w:cs="Arial"/>
                <w:color w:val="000000"/>
                <w:sz w:val="18"/>
                <w:szCs w:val="18"/>
              </w:rPr>
              <w:t>1,2-dichlorobenzene</w:t>
            </w:r>
            <w:r w:rsidR="000D0B9B">
              <w:rPr>
                <w:rFonts w:ascii="Arial" w:hAnsi="Arial" w:cs="Arial"/>
                <w:color w:val="000000"/>
                <w:sz w:val="18"/>
                <w:szCs w:val="18"/>
                <w:vertAlign w:val="superscript"/>
              </w:rPr>
              <w:t>a</w:t>
            </w:r>
          </w:p>
        </w:tc>
        <w:tc>
          <w:tcPr>
            <w:tcW w:w="1305" w:type="dxa"/>
            <w:noWrap/>
            <w:vAlign w:val="bottom"/>
            <w:hideMark/>
          </w:tcPr>
          <w:p w14:paraId="2F44192B"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0.11 [0.07, 0.16]</w:t>
            </w:r>
          </w:p>
        </w:tc>
        <w:tc>
          <w:tcPr>
            <w:tcW w:w="1305" w:type="dxa"/>
            <w:noWrap/>
            <w:vAlign w:val="bottom"/>
            <w:hideMark/>
          </w:tcPr>
          <w:p w14:paraId="628652D2"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0.09 [0.05, 0.12]</w:t>
            </w:r>
          </w:p>
        </w:tc>
        <w:tc>
          <w:tcPr>
            <w:tcW w:w="1260" w:type="dxa"/>
            <w:noWrap/>
            <w:vAlign w:val="bottom"/>
            <w:hideMark/>
          </w:tcPr>
          <w:p w14:paraId="56243813" w14:textId="77777777" w:rsidR="004C0BCF" w:rsidRPr="004E1AF8" w:rsidRDefault="004C0BCF" w:rsidP="00F246B1">
            <w:pPr>
              <w:autoSpaceDE/>
              <w:autoSpaceDN/>
              <w:adjustRightInd/>
              <w:rPr>
                <w:rFonts w:ascii="Arial" w:hAnsi="Arial" w:cs="Arial"/>
                <w:color w:val="000000"/>
                <w:kern w:val="0"/>
                <w:sz w:val="18"/>
                <w:szCs w:val="18"/>
                <w14:ligatures w14:val="none"/>
              </w:rPr>
            </w:pPr>
            <w:r w:rsidRPr="004E1AF8">
              <w:rPr>
                <w:rFonts w:ascii="Arial" w:hAnsi="Arial" w:cs="Arial"/>
                <w:color w:val="000000"/>
                <w:kern w:val="0"/>
                <w:sz w:val="18"/>
                <w:szCs w:val="18"/>
                <w14:ligatures w14:val="none"/>
              </w:rPr>
              <w:t>0.15 [0.11, 0.22]</w:t>
            </w:r>
          </w:p>
        </w:tc>
        <w:tc>
          <w:tcPr>
            <w:tcW w:w="1350" w:type="dxa"/>
            <w:vAlign w:val="bottom"/>
          </w:tcPr>
          <w:p w14:paraId="286F01A6" w14:textId="11589A4E"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0.14 [0.09, 0.20]</w:t>
            </w:r>
          </w:p>
        </w:tc>
        <w:tc>
          <w:tcPr>
            <w:tcW w:w="1305" w:type="dxa"/>
            <w:vAlign w:val="bottom"/>
          </w:tcPr>
          <w:p w14:paraId="459EFA85" w14:textId="0F245C7C"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0.09 [0.09, 0.16]</w:t>
            </w:r>
          </w:p>
        </w:tc>
        <w:tc>
          <w:tcPr>
            <w:tcW w:w="1305" w:type="dxa"/>
            <w:vAlign w:val="bottom"/>
          </w:tcPr>
          <w:p w14:paraId="362957AB" w14:textId="00FCB2BA" w:rsidR="004C0BCF" w:rsidRPr="00FC1C73" w:rsidRDefault="004C0BCF" w:rsidP="00F246B1">
            <w:pPr>
              <w:autoSpaceDE/>
              <w:autoSpaceDN/>
              <w:adjustRightInd/>
              <w:rPr>
                <w:rFonts w:ascii="Arial" w:hAnsi="Arial" w:cs="Arial"/>
                <w:color w:val="000000"/>
                <w:kern w:val="0"/>
                <w:sz w:val="18"/>
                <w:szCs w:val="18"/>
                <w14:ligatures w14:val="none"/>
              </w:rPr>
            </w:pPr>
            <w:r w:rsidRPr="00FC1C73">
              <w:rPr>
                <w:rFonts w:ascii="Arial" w:hAnsi="Arial" w:cs="Arial"/>
                <w:color w:val="000000"/>
                <w:sz w:val="18"/>
                <w:szCs w:val="18"/>
              </w:rPr>
              <w:t>0.16 [0.12, 0.20]</w:t>
            </w:r>
          </w:p>
        </w:tc>
      </w:tr>
    </w:tbl>
    <w:p w14:paraId="4156F762" w14:textId="2FC04FE1" w:rsidR="00033432" w:rsidRDefault="00644D6C" w:rsidP="00D25F71">
      <w:pPr>
        <w:jc w:val="both"/>
        <w:rPr>
          <w:rFonts w:ascii="Arial" w:hAnsi="Arial" w:cs="Arial"/>
        </w:rPr>
      </w:pPr>
      <w:proofErr w:type="spellStart"/>
      <w:proofErr w:type="gramStart"/>
      <w:r>
        <w:rPr>
          <w:rFonts w:ascii="Arial" w:hAnsi="Arial" w:cs="Arial"/>
          <w:vertAlign w:val="superscript"/>
        </w:rPr>
        <w:t>a</w:t>
      </w:r>
      <w:proofErr w:type="spellEnd"/>
      <w:proofErr w:type="gramEnd"/>
      <w:r w:rsidR="00181F61">
        <w:rPr>
          <w:rFonts w:ascii="Arial" w:hAnsi="Arial" w:cs="Arial"/>
          <w:vertAlign w:val="superscript"/>
        </w:rPr>
        <w:t xml:space="preserve"> </w:t>
      </w:r>
      <w:r>
        <w:rPr>
          <w:rFonts w:ascii="Arial" w:hAnsi="Arial" w:cs="Arial"/>
        </w:rPr>
        <w:t xml:space="preserve">Excluded from </w:t>
      </w:r>
      <w:r w:rsidR="00A41B1D">
        <w:rPr>
          <w:rFonts w:ascii="Arial" w:hAnsi="Arial" w:cs="Arial"/>
        </w:rPr>
        <w:t>principal component analysis</w:t>
      </w:r>
      <w:r w:rsidR="000968C2">
        <w:rPr>
          <w:rFonts w:ascii="Arial" w:hAnsi="Arial" w:cs="Arial"/>
        </w:rPr>
        <w:t xml:space="preserve"> </w:t>
      </w:r>
      <w:r w:rsidR="00152819">
        <w:rPr>
          <w:rFonts w:ascii="Arial" w:hAnsi="Arial" w:cs="Arial"/>
        </w:rPr>
        <w:t xml:space="preserve">and positive matrix factorization </w:t>
      </w:r>
      <w:r w:rsidR="000968C2">
        <w:rPr>
          <w:rFonts w:ascii="Arial" w:hAnsi="Arial" w:cs="Arial"/>
        </w:rPr>
        <w:t>due to poor reliability or low detection rates (see Table S1)</w:t>
      </w:r>
    </w:p>
    <w:p w14:paraId="13C7FC05" w14:textId="12D77112" w:rsidR="00AE1DAC" w:rsidRDefault="00181F61" w:rsidP="00D25F71">
      <w:pPr>
        <w:jc w:val="both"/>
        <w:rPr>
          <w:rFonts w:ascii="Arial" w:hAnsi="Arial" w:cs="Arial"/>
        </w:rPr>
      </w:pPr>
      <w:r>
        <w:rPr>
          <w:rFonts w:ascii="Arial" w:hAnsi="Arial" w:cs="Arial"/>
          <w:vertAlign w:val="superscript"/>
        </w:rPr>
        <w:t xml:space="preserve">b </w:t>
      </w:r>
      <w:r w:rsidR="000968C2">
        <w:rPr>
          <w:rFonts w:ascii="Arial" w:hAnsi="Arial" w:cs="Arial"/>
        </w:rPr>
        <w:t xml:space="preserve">Down weighted in </w:t>
      </w:r>
      <w:r w:rsidR="00A41B1D">
        <w:rPr>
          <w:rFonts w:ascii="Arial" w:hAnsi="Arial" w:cs="Arial"/>
        </w:rPr>
        <w:t xml:space="preserve">positive matrix factorization analysis due to poor </w:t>
      </w:r>
      <w:proofErr w:type="spellStart"/>
      <w:r w:rsidR="00A41B1D">
        <w:rPr>
          <w:rFonts w:ascii="Arial" w:hAnsi="Arial" w:cs="Arial"/>
        </w:rPr>
        <w:t>signal:noise</w:t>
      </w:r>
      <w:proofErr w:type="spellEnd"/>
      <w:r w:rsidR="00A41B1D">
        <w:rPr>
          <w:rFonts w:ascii="Arial" w:hAnsi="Arial" w:cs="Arial"/>
        </w:rPr>
        <w:t xml:space="preserve"> ratio.</w:t>
      </w:r>
    </w:p>
    <w:p w14:paraId="1EB63693" w14:textId="77777777" w:rsidR="00AE1DAC" w:rsidRDefault="00AE1DAC" w:rsidP="00D25F71">
      <w:pPr>
        <w:jc w:val="both"/>
        <w:rPr>
          <w:rFonts w:ascii="Arial" w:hAnsi="Arial" w:cs="Arial"/>
        </w:rPr>
      </w:pPr>
    </w:p>
    <w:p w14:paraId="736AEBAB" w14:textId="77777777" w:rsidR="008F2F0B" w:rsidRDefault="008F2F0B" w:rsidP="00D25F71">
      <w:pPr>
        <w:jc w:val="both"/>
        <w:rPr>
          <w:rFonts w:ascii="Arial" w:hAnsi="Arial" w:cs="Arial"/>
          <w:b/>
          <w:bCs/>
        </w:rPr>
      </w:pPr>
    </w:p>
    <w:p w14:paraId="4E660A54" w14:textId="77777777" w:rsidR="003923EA" w:rsidRDefault="003923EA">
      <w:pPr>
        <w:autoSpaceDE/>
        <w:autoSpaceDN/>
        <w:adjustRightInd/>
        <w:rPr>
          <w:rFonts w:ascii="Arial" w:hAnsi="Arial" w:cs="Arial"/>
          <w:b/>
          <w:bCs/>
        </w:rPr>
      </w:pPr>
      <w:r>
        <w:rPr>
          <w:rFonts w:ascii="Arial" w:hAnsi="Arial" w:cs="Arial"/>
          <w:b/>
          <w:bCs/>
        </w:rPr>
        <w:br w:type="page"/>
      </w:r>
    </w:p>
    <w:p w14:paraId="4F2BE377" w14:textId="68598C3E" w:rsidR="008756D7" w:rsidRDefault="000E6B7A" w:rsidP="00D25F71">
      <w:pPr>
        <w:jc w:val="both"/>
        <w:rPr>
          <w:rFonts w:ascii="Arial" w:hAnsi="Arial" w:cs="Arial"/>
        </w:rPr>
      </w:pPr>
      <w:r>
        <w:rPr>
          <w:rFonts w:ascii="Arial" w:hAnsi="Arial" w:cs="Arial"/>
          <w:b/>
          <w:bCs/>
        </w:rPr>
        <w:t>Table 2.</w:t>
      </w:r>
      <w:r>
        <w:rPr>
          <w:rFonts w:ascii="Arial" w:hAnsi="Arial" w:cs="Arial"/>
        </w:rPr>
        <w:t xml:space="preserve"> </w:t>
      </w:r>
      <w:r w:rsidR="000968C2">
        <w:rPr>
          <w:rFonts w:ascii="Arial" w:hAnsi="Arial" w:cs="Arial"/>
        </w:rPr>
        <w:t>Mean (SD) of b</w:t>
      </w:r>
      <w:r w:rsidR="00B832F0">
        <w:rPr>
          <w:rFonts w:ascii="Arial" w:hAnsi="Arial" w:cs="Arial"/>
        </w:rPr>
        <w:t>enzene, toluene, ethy</w:t>
      </w:r>
      <w:r w:rsidR="00910F0B">
        <w:rPr>
          <w:rFonts w:ascii="Arial" w:hAnsi="Arial" w:cs="Arial"/>
        </w:rPr>
        <w:t>l</w:t>
      </w:r>
      <w:r w:rsidR="00B832F0">
        <w:rPr>
          <w:rFonts w:ascii="Arial" w:hAnsi="Arial" w:cs="Arial"/>
        </w:rPr>
        <w:t xml:space="preserve">benzene, and xylenes (BTEX) </w:t>
      </w:r>
      <w:r w:rsidR="00AB349E">
        <w:rPr>
          <w:rFonts w:ascii="Arial" w:hAnsi="Arial" w:cs="Arial"/>
        </w:rPr>
        <w:t xml:space="preserve">concentrations in sites in </w:t>
      </w:r>
      <w:r w:rsidR="00AB349E" w:rsidRPr="00B5189B">
        <w:rPr>
          <w:rFonts w:ascii="Arial" w:hAnsi="Arial" w:cs="Arial"/>
        </w:rPr>
        <w:t>µg/m</w:t>
      </w:r>
      <w:r w:rsidR="00AB349E" w:rsidRPr="00B5189B">
        <w:rPr>
          <w:rFonts w:ascii="Arial" w:hAnsi="Arial" w:cs="Arial"/>
          <w:vertAlign w:val="superscript"/>
        </w:rPr>
        <w:t>3</w:t>
      </w:r>
      <w:r w:rsidR="00AB349E">
        <w:rPr>
          <w:rFonts w:ascii="Arial" w:hAnsi="Arial" w:cs="Arial"/>
          <w:vertAlign w:val="superscript"/>
        </w:rPr>
        <w:t xml:space="preserve"> </w:t>
      </w:r>
      <w:r w:rsidR="00AB349E">
        <w:rPr>
          <w:rFonts w:ascii="Arial" w:hAnsi="Arial" w:cs="Arial"/>
        </w:rPr>
        <w:t>and r</w:t>
      </w:r>
      <w:r>
        <w:rPr>
          <w:rFonts w:ascii="Arial" w:hAnsi="Arial" w:cs="Arial"/>
        </w:rPr>
        <w:t xml:space="preserve">atios </w:t>
      </w:r>
      <w:r w:rsidR="00652FC1">
        <w:rPr>
          <w:rFonts w:ascii="Arial" w:hAnsi="Arial" w:cs="Arial"/>
        </w:rPr>
        <w:t>by traffic and industrial site category</w:t>
      </w:r>
      <w:r w:rsidR="001D4CF5">
        <w:rPr>
          <w:rFonts w:ascii="Arial" w:hAnsi="Arial" w:cs="Arial"/>
        </w:rPr>
        <w:t>, including weekly and rotating community 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900"/>
        <w:gridCol w:w="1041"/>
        <w:gridCol w:w="1041"/>
        <w:gridCol w:w="1042"/>
        <w:gridCol w:w="1041"/>
        <w:gridCol w:w="1042"/>
        <w:gridCol w:w="1041"/>
        <w:gridCol w:w="1042"/>
      </w:tblGrid>
      <w:tr w:rsidR="00B832F0" w:rsidRPr="00B832F0" w14:paraId="45ECA685" w14:textId="77777777" w:rsidTr="00B832F0">
        <w:trPr>
          <w:trHeight w:val="300"/>
        </w:trPr>
        <w:tc>
          <w:tcPr>
            <w:tcW w:w="1170" w:type="dxa"/>
            <w:noWrap/>
            <w:vAlign w:val="bottom"/>
            <w:hideMark/>
          </w:tcPr>
          <w:p w14:paraId="71AF4146" w14:textId="7BD10F9B"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Industrial</w:t>
            </w:r>
          </w:p>
        </w:tc>
        <w:tc>
          <w:tcPr>
            <w:tcW w:w="900" w:type="dxa"/>
            <w:noWrap/>
            <w:vAlign w:val="bottom"/>
            <w:hideMark/>
          </w:tcPr>
          <w:p w14:paraId="6B680C78" w14:textId="64CE409D"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Traffic</w:t>
            </w:r>
          </w:p>
        </w:tc>
        <w:tc>
          <w:tcPr>
            <w:tcW w:w="1041" w:type="dxa"/>
            <w:noWrap/>
            <w:vAlign w:val="bottom"/>
            <w:hideMark/>
          </w:tcPr>
          <w:p w14:paraId="11B3431E" w14:textId="7FD3B040"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T/B</w:t>
            </w:r>
          </w:p>
        </w:tc>
        <w:tc>
          <w:tcPr>
            <w:tcW w:w="1041" w:type="dxa"/>
            <w:noWrap/>
            <w:vAlign w:val="bottom"/>
            <w:hideMark/>
          </w:tcPr>
          <w:p w14:paraId="2522A28D" w14:textId="3BF38047"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X/E</w:t>
            </w:r>
          </w:p>
        </w:tc>
        <w:tc>
          <w:tcPr>
            <w:tcW w:w="1042" w:type="dxa"/>
            <w:noWrap/>
            <w:vAlign w:val="bottom"/>
            <w:hideMark/>
          </w:tcPr>
          <w:p w14:paraId="3CC2CE18" w14:textId="43D764F5"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B</w:t>
            </w:r>
          </w:p>
        </w:tc>
        <w:tc>
          <w:tcPr>
            <w:tcW w:w="1041" w:type="dxa"/>
            <w:noWrap/>
            <w:vAlign w:val="bottom"/>
            <w:hideMark/>
          </w:tcPr>
          <w:p w14:paraId="18694484" w14:textId="3EECE835"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T</w:t>
            </w:r>
          </w:p>
        </w:tc>
        <w:tc>
          <w:tcPr>
            <w:tcW w:w="1042" w:type="dxa"/>
            <w:noWrap/>
            <w:vAlign w:val="bottom"/>
            <w:hideMark/>
          </w:tcPr>
          <w:p w14:paraId="19762E9B" w14:textId="6DCE1F9D"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E</w:t>
            </w:r>
          </w:p>
        </w:tc>
        <w:tc>
          <w:tcPr>
            <w:tcW w:w="1041" w:type="dxa"/>
            <w:noWrap/>
            <w:vAlign w:val="bottom"/>
            <w:hideMark/>
          </w:tcPr>
          <w:p w14:paraId="65E6C20E" w14:textId="7A6D3654"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i/>
                <w:iCs/>
                <w:color w:val="000000"/>
                <w:kern w:val="0"/>
                <w:sz w:val="20"/>
                <w:szCs w:val="20"/>
                <w14:ligatures w14:val="none"/>
              </w:rPr>
              <w:t>(</w:t>
            </w:r>
            <w:proofErr w:type="spellStart"/>
            <w:proofErr w:type="gramStart"/>
            <w:r w:rsidRPr="00B832F0">
              <w:rPr>
                <w:rFonts w:ascii="Arial" w:hAnsi="Arial" w:cs="Arial"/>
                <w:b/>
                <w:bCs/>
                <w:i/>
                <w:iCs/>
                <w:color w:val="000000"/>
                <w:kern w:val="0"/>
                <w:sz w:val="20"/>
                <w:szCs w:val="20"/>
                <w14:ligatures w14:val="none"/>
              </w:rPr>
              <w:t>m,p</w:t>
            </w:r>
            <w:proofErr w:type="spellEnd"/>
            <w:proofErr w:type="gramEnd"/>
            <w:r w:rsidRPr="00B832F0">
              <w:rPr>
                <w:rFonts w:ascii="Arial" w:hAnsi="Arial" w:cs="Arial"/>
                <w:b/>
                <w:bCs/>
                <w:color w:val="000000"/>
                <w:kern w:val="0"/>
                <w:sz w:val="20"/>
                <w:szCs w:val="20"/>
                <w14:ligatures w14:val="none"/>
              </w:rPr>
              <w:t>)-X</w:t>
            </w:r>
          </w:p>
        </w:tc>
        <w:tc>
          <w:tcPr>
            <w:tcW w:w="1042" w:type="dxa"/>
            <w:noWrap/>
            <w:vAlign w:val="bottom"/>
            <w:hideMark/>
          </w:tcPr>
          <w:p w14:paraId="60AF7371" w14:textId="2F9B7892" w:rsidR="00B832F0" w:rsidRPr="00B832F0" w:rsidRDefault="00B832F0" w:rsidP="00B832F0">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i/>
                <w:iCs/>
                <w:color w:val="000000"/>
                <w:kern w:val="0"/>
                <w:sz w:val="20"/>
                <w:szCs w:val="20"/>
                <w14:ligatures w14:val="none"/>
              </w:rPr>
              <w:t>o</w:t>
            </w:r>
            <w:r w:rsidRPr="00B832F0">
              <w:rPr>
                <w:rFonts w:ascii="Arial" w:hAnsi="Arial" w:cs="Arial"/>
                <w:b/>
                <w:bCs/>
                <w:color w:val="000000"/>
                <w:kern w:val="0"/>
                <w:sz w:val="20"/>
                <w:szCs w:val="20"/>
                <w14:ligatures w14:val="none"/>
              </w:rPr>
              <w:t>-X</w:t>
            </w:r>
          </w:p>
        </w:tc>
      </w:tr>
      <w:tr w:rsidR="00B832F0" w:rsidRPr="00B832F0" w14:paraId="447F0B69" w14:textId="77777777" w:rsidTr="00B832F0">
        <w:trPr>
          <w:trHeight w:val="300"/>
        </w:trPr>
        <w:tc>
          <w:tcPr>
            <w:tcW w:w="1170" w:type="dxa"/>
            <w:vMerge w:val="restart"/>
            <w:noWrap/>
            <w:vAlign w:val="center"/>
            <w:hideMark/>
          </w:tcPr>
          <w:p w14:paraId="0469C7E6"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Industrial</w:t>
            </w:r>
          </w:p>
          <w:p w14:paraId="22BD0872" w14:textId="7364BD18" w:rsidR="00B832F0" w:rsidRPr="00B832F0" w:rsidRDefault="00B832F0" w:rsidP="00B832F0">
            <w:pPr>
              <w:jc w:val="center"/>
              <w:rPr>
                <w:rFonts w:ascii="Arial" w:hAnsi="Arial" w:cs="Arial"/>
                <w:color w:val="000000"/>
                <w:kern w:val="0"/>
                <w:sz w:val="20"/>
                <w:szCs w:val="20"/>
                <w14:ligatures w14:val="none"/>
              </w:rPr>
            </w:pPr>
          </w:p>
        </w:tc>
        <w:tc>
          <w:tcPr>
            <w:tcW w:w="900" w:type="dxa"/>
            <w:noWrap/>
            <w:vAlign w:val="center"/>
            <w:hideMark/>
          </w:tcPr>
          <w:p w14:paraId="48F9C5DF"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High</w:t>
            </w:r>
          </w:p>
        </w:tc>
        <w:tc>
          <w:tcPr>
            <w:tcW w:w="1041" w:type="dxa"/>
            <w:noWrap/>
            <w:vAlign w:val="center"/>
            <w:hideMark/>
          </w:tcPr>
          <w:p w14:paraId="3128C84A"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1.89 (0.65)</w:t>
            </w:r>
          </w:p>
        </w:tc>
        <w:tc>
          <w:tcPr>
            <w:tcW w:w="1041" w:type="dxa"/>
            <w:noWrap/>
            <w:vAlign w:val="center"/>
            <w:hideMark/>
          </w:tcPr>
          <w:p w14:paraId="04989547"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6.86 (1.06)</w:t>
            </w:r>
          </w:p>
        </w:tc>
        <w:tc>
          <w:tcPr>
            <w:tcW w:w="1042" w:type="dxa"/>
            <w:noWrap/>
            <w:vAlign w:val="center"/>
            <w:hideMark/>
          </w:tcPr>
          <w:p w14:paraId="6CA388D3"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1.56 (1.21)</w:t>
            </w:r>
          </w:p>
        </w:tc>
        <w:tc>
          <w:tcPr>
            <w:tcW w:w="1041" w:type="dxa"/>
            <w:noWrap/>
            <w:vAlign w:val="center"/>
            <w:hideMark/>
          </w:tcPr>
          <w:p w14:paraId="58C50428"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2.75 (2.02)</w:t>
            </w:r>
          </w:p>
        </w:tc>
        <w:tc>
          <w:tcPr>
            <w:tcW w:w="1042" w:type="dxa"/>
            <w:noWrap/>
            <w:vAlign w:val="center"/>
            <w:hideMark/>
          </w:tcPr>
          <w:p w14:paraId="193D55F7"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0.95 (1.22)</w:t>
            </w:r>
          </w:p>
        </w:tc>
        <w:tc>
          <w:tcPr>
            <w:tcW w:w="1041" w:type="dxa"/>
            <w:noWrap/>
            <w:vAlign w:val="center"/>
            <w:hideMark/>
          </w:tcPr>
          <w:p w14:paraId="611799A1"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6.30 (7.31)</w:t>
            </w:r>
          </w:p>
        </w:tc>
        <w:tc>
          <w:tcPr>
            <w:tcW w:w="1042" w:type="dxa"/>
            <w:noWrap/>
            <w:vAlign w:val="center"/>
            <w:hideMark/>
          </w:tcPr>
          <w:p w14:paraId="616D9878"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1.38 (1.71)</w:t>
            </w:r>
          </w:p>
        </w:tc>
      </w:tr>
      <w:tr w:rsidR="00B832F0" w:rsidRPr="00B832F0" w14:paraId="169F5B23" w14:textId="77777777" w:rsidTr="00B832F0">
        <w:trPr>
          <w:trHeight w:val="300"/>
        </w:trPr>
        <w:tc>
          <w:tcPr>
            <w:tcW w:w="1170" w:type="dxa"/>
            <w:vMerge/>
            <w:noWrap/>
            <w:vAlign w:val="center"/>
            <w:hideMark/>
          </w:tcPr>
          <w:p w14:paraId="58E5907D" w14:textId="28AF8DF3" w:rsidR="00B832F0" w:rsidRPr="00B832F0" w:rsidRDefault="00B832F0" w:rsidP="00B832F0">
            <w:pPr>
              <w:autoSpaceDE/>
              <w:autoSpaceDN/>
              <w:adjustRightInd/>
              <w:jc w:val="center"/>
              <w:rPr>
                <w:rFonts w:ascii="Arial" w:hAnsi="Arial" w:cs="Arial"/>
                <w:color w:val="000000"/>
                <w:kern w:val="0"/>
                <w:sz w:val="20"/>
                <w:szCs w:val="20"/>
                <w14:ligatures w14:val="none"/>
              </w:rPr>
            </w:pPr>
          </w:p>
        </w:tc>
        <w:tc>
          <w:tcPr>
            <w:tcW w:w="900" w:type="dxa"/>
            <w:noWrap/>
            <w:vAlign w:val="center"/>
            <w:hideMark/>
          </w:tcPr>
          <w:p w14:paraId="79E4E0FA"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Low</w:t>
            </w:r>
          </w:p>
        </w:tc>
        <w:tc>
          <w:tcPr>
            <w:tcW w:w="1041" w:type="dxa"/>
            <w:noWrap/>
            <w:vAlign w:val="center"/>
            <w:hideMark/>
          </w:tcPr>
          <w:p w14:paraId="5C97C14B"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2.11 (0.60)</w:t>
            </w:r>
          </w:p>
        </w:tc>
        <w:tc>
          <w:tcPr>
            <w:tcW w:w="1041" w:type="dxa"/>
            <w:noWrap/>
            <w:vAlign w:val="center"/>
            <w:hideMark/>
          </w:tcPr>
          <w:p w14:paraId="44DF386E"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6.68 (0.80)</w:t>
            </w:r>
          </w:p>
        </w:tc>
        <w:tc>
          <w:tcPr>
            <w:tcW w:w="1042" w:type="dxa"/>
            <w:noWrap/>
            <w:vAlign w:val="center"/>
            <w:hideMark/>
          </w:tcPr>
          <w:p w14:paraId="4284BA2A"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1.16 (0.51)</w:t>
            </w:r>
          </w:p>
        </w:tc>
        <w:tc>
          <w:tcPr>
            <w:tcW w:w="1041" w:type="dxa"/>
            <w:noWrap/>
            <w:vAlign w:val="center"/>
            <w:hideMark/>
          </w:tcPr>
          <w:p w14:paraId="78E6ADCD"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2.34 (0.99)</w:t>
            </w:r>
          </w:p>
        </w:tc>
        <w:tc>
          <w:tcPr>
            <w:tcW w:w="1042" w:type="dxa"/>
            <w:noWrap/>
            <w:vAlign w:val="center"/>
            <w:hideMark/>
          </w:tcPr>
          <w:p w14:paraId="44A69BCA"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0.58 (0.28)</w:t>
            </w:r>
          </w:p>
        </w:tc>
        <w:tc>
          <w:tcPr>
            <w:tcW w:w="1041" w:type="dxa"/>
            <w:noWrap/>
            <w:vAlign w:val="center"/>
            <w:hideMark/>
          </w:tcPr>
          <w:p w14:paraId="46B37A36"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3.88 (1.93)</w:t>
            </w:r>
          </w:p>
        </w:tc>
        <w:tc>
          <w:tcPr>
            <w:tcW w:w="1042" w:type="dxa"/>
            <w:noWrap/>
            <w:vAlign w:val="center"/>
            <w:hideMark/>
          </w:tcPr>
          <w:p w14:paraId="6E643DAF"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0.84 (0.43)</w:t>
            </w:r>
          </w:p>
        </w:tc>
      </w:tr>
      <w:tr w:rsidR="00B832F0" w:rsidRPr="00B832F0" w14:paraId="61F4E0AD" w14:textId="77777777" w:rsidTr="00B832F0">
        <w:trPr>
          <w:trHeight w:val="300"/>
        </w:trPr>
        <w:tc>
          <w:tcPr>
            <w:tcW w:w="1170" w:type="dxa"/>
            <w:vMerge w:val="restart"/>
            <w:noWrap/>
            <w:vAlign w:val="center"/>
            <w:hideMark/>
          </w:tcPr>
          <w:p w14:paraId="29A9DDC8"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Non-Industrial</w:t>
            </w:r>
          </w:p>
          <w:p w14:paraId="7A780B3A" w14:textId="28BFA800" w:rsidR="00B832F0" w:rsidRPr="00B832F0" w:rsidRDefault="00B832F0" w:rsidP="00B832F0">
            <w:pPr>
              <w:jc w:val="center"/>
              <w:rPr>
                <w:rFonts w:ascii="Arial" w:hAnsi="Arial" w:cs="Arial"/>
                <w:color w:val="000000"/>
                <w:kern w:val="0"/>
                <w:sz w:val="20"/>
                <w:szCs w:val="20"/>
                <w14:ligatures w14:val="none"/>
              </w:rPr>
            </w:pPr>
          </w:p>
        </w:tc>
        <w:tc>
          <w:tcPr>
            <w:tcW w:w="900" w:type="dxa"/>
            <w:noWrap/>
            <w:vAlign w:val="center"/>
            <w:hideMark/>
          </w:tcPr>
          <w:p w14:paraId="6A53B524"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High</w:t>
            </w:r>
          </w:p>
        </w:tc>
        <w:tc>
          <w:tcPr>
            <w:tcW w:w="1041" w:type="dxa"/>
            <w:noWrap/>
            <w:vAlign w:val="center"/>
            <w:hideMark/>
          </w:tcPr>
          <w:p w14:paraId="285916B2"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1.64 (0.42)</w:t>
            </w:r>
          </w:p>
        </w:tc>
        <w:tc>
          <w:tcPr>
            <w:tcW w:w="1041" w:type="dxa"/>
            <w:noWrap/>
            <w:vAlign w:val="center"/>
            <w:hideMark/>
          </w:tcPr>
          <w:p w14:paraId="7CC884B9"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6.53 (0.82)</w:t>
            </w:r>
          </w:p>
        </w:tc>
        <w:tc>
          <w:tcPr>
            <w:tcW w:w="1042" w:type="dxa"/>
            <w:noWrap/>
            <w:vAlign w:val="center"/>
            <w:hideMark/>
          </w:tcPr>
          <w:p w14:paraId="3398BA26"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1.42 (0.63)</w:t>
            </w:r>
          </w:p>
        </w:tc>
        <w:tc>
          <w:tcPr>
            <w:tcW w:w="1041" w:type="dxa"/>
            <w:noWrap/>
            <w:vAlign w:val="center"/>
            <w:hideMark/>
          </w:tcPr>
          <w:p w14:paraId="052A10E9"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2.21 (0.92)</w:t>
            </w:r>
          </w:p>
        </w:tc>
        <w:tc>
          <w:tcPr>
            <w:tcW w:w="1042" w:type="dxa"/>
            <w:noWrap/>
            <w:vAlign w:val="center"/>
            <w:hideMark/>
          </w:tcPr>
          <w:p w14:paraId="39D76A99"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0.61 (0.32)</w:t>
            </w:r>
          </w:p>
        </w:tc>
        <w:tc>
          <w:tcPr>
            <w:tcW w:w="1041" w:type="dxa"/>
            <w:noWrap/>
            <w:vAlign w:val="center"/>
            <w:hideMark/>
          </w:tcPr>
          <w:p w14:paraId="18215304"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4.01 (2.34)</w:t>
            </w:r>
          </w:p>
        </w:tc>
        <w:tc>
          <w:tcPr>
            <w:tcW w:w="1042" w:type="dxa"/>
            <w:noWrap/>
            <w:vAlign w:val="center"/>
            <w:hideMark/>
          </w:tcPr>
          <w:p w14:paraId="517A755A"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0.87 (0.45)</w:t>
            </w:r>
          </w:p>
        </w:tc>
      </w:tr>
      <w:tr w:rsidR="00B832F0" w:rsidRPr="00B832F0" w14:paraId="6606DB6D" w14:textId="77777777" w:rsidTr="00B832F0">
        <w:trPr>
          <w:trHeight w:val="300"/>
        </w:trPr>
        <w:tc>
          <w:tcPr>
            <w:tcW w:w="1170" w:type="dxa"/>
            <w:vMerge/>
            <w:noWrap/>
            <w:vAlign w:val="center"/>
            <w:hideMark/>
          </w:tcPr>
          <w:p w14:paraId="0A5C24AB" w14:textId="4EB03905" w:rsidR="00B832F0" w:rsidRPr="00B832F0" w:rsidRDefault="00B832F0" w:rsidP="00B832F0">
            <w:pPr>
              <w:autoSpaceDE/>
              <w:autoSpaceDN/>
              <w:adjustRightInd/>
              <w:jc w:val="center"/>
              <w:rPr>
                <w:rFonts w:ascii="Arial" w:hAnsi="Arial" w:cs="Arial"/>
                <w:color w:val="000000"/>
                <w:kern w:val="0"/>
                <w:sz w:val="20"/>
                <w:szCs w:val="20"/>
                <w14:ligatures w14:val="none"/>
              </w:rPr>
            </w:pPr>
          </w:p>
        </w:tc>
        <w:tc>
          <w:tcPr>
            <w:tcW w:w="900" w:type="dxa"/>
            <w:noWrap/>
            <w:vAlign w:val="center"/>
            <w:hideMark/>
          </w:tcPr>
          <w:p w14:paraId="0BF7631B"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Low</w:t>
            </w:r>
          </w:p>
        </w:tc>
        <w:tc>
          <w:tcPr>
            <w:tcW w:w="1041" w:type="dxa"/>
            <w:noWrap/>
            <w:vAlign w:val="center"/>
            <w:hideMark/>
          </w:tcPr>
          <w:p w14:paraId="2CA1B204"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1.73 (0.41)</w:t>
            </w:r>
          </w:p>
        </w:tc>
        <w:tc>
          <w:tcPr>
            <w:tcW w:w="1041" w:type="dxa"/>
            <w:noWrap/>
            <w:vAlign w:val="center"/>
            <w:hideMark/>
          </w:tcPr>
          <w:p w14:paraId="52370790"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6.48 (0.79)</w:t>
            </w:r>
          </w:p>
        </w:tc>
        <w:tc>
          <w:tcPr>
            <w:tcW w:w="1042" w:type="dxa"/>
            <w:noWrap/>
            <w:vAlign w:val="center"/>
            <w:hideMark/>
          </w:tcPr>
          <w:p w14:paraId="2429FD6D"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1.20 (0.61)</w:t>
            </w:r>
          </w:p>
        </w:tc>
        <w:tc>
          <w:tcPr>
            <w:tcW w:w="1041" w:type="dxa"/>
            <w:noWrap/>
            <w:vAlign w:val="center"/>
            <w:hideMark/>
          </w:tcPr>
          <w:p w14:paraId="79EBF777"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2.00 (1.02)</w:t>
            </w:r>
          </w:p>
        </w:tc>
        <w:tc>
          <w:tcPr>
            <w:tcW w:w="1042" w:type="dxa"/>
            <w:noWrap/>
            <w:vAlign w:val="center"/>
            <w:hideMark/>
          </w:tcPr>
          <w:p w14:paraId="6C818B43"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0.53 (0.31)</w:t>
            </w:r>
          </w:p>
        </w:tc>
        <w:tc>
          <w:tcPr>
            <w:tcW w:w="1041" w:type="dxa"/>
            <w:noWrap/>
            <w:vAlign w:val="center"/>
            <w:hideMark/>
          </w:tcPr>
          <w:p w14:paraId="40C86D12"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3.48 (2.16)</w:t>
            </w:r>
          </w:p>
        </w:tc>
        <w:tc>
          <w:tcPr>
            <w:tcW w:w="1042" w:type="dxa"/>
            <w:noWrap/>
            <w:vAlign w:val="center"/>
            <w:hideMark/>
          </w:tcPr>
          <w:p w14:paraId="640D1C63" w14:textId="77777777" w:rsidR="00B832F0" w:rsidRPr="00B832F0" w:rsidRDefault="00B832F0" w:rsidP="00B832F0">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0.76 (0.45)</w:t>
            </w:r>
          </w:p>
        </w:tc>
      </w:tr>
    </w:tbl>
    <w:p w14:paraId="5FDC16A2" w14:textId="3546A328" w:rsidR="00B832F0" w:rsidRDefault="00AB349E" w:rsidP="00D25F71">
      <w:pPr>
        <w:jc w:val="both"/>
        <w:rPr>
          <w:rFonts w:ascii="Arial" w:hAnsi="Arial" w:cs="Arial"/>
        </w:rPr>
      </w:pPr>
      <w:r>
        <w:rPr>
          <w:rFonts w:ascii="Arial" w:hAnsi="Arial" w:cs="Arial"/>
        </w:rPr>
        <w:t xml:space="preserve">T/B = </w:t>
      </w:r>
      <w:proofErr w:type="spellStart"/>
      <w:r>
        <w:rPr>
          <w:rFonts w:ascii="Arial" w:hAnsi="Arial" w:cs="Arial"/>
        </w:rPr>
        <w:t>toluene:benzene</w:t>
      </w:r>
      <w:proofErr w:type="spellEnd"/>
      <w:r>
        <w:rPr>
          <w:rFonts w:ascii="Arial" w:hAnsi="Arial" w:cs="Arial"/>
        </w:rPr>
        <w:t xml:space="preserve"> ratio; X/E = (</w:t>
      </w:r>
      <w:proofErr w:type="spellStart"/>
      <w:proofErr w:type="gramStart"/>
      <w:r>
        <w:rPr>
          <w:rFonts w:ascii="Arial" w:hAnsi="Arial" w:cs="Arial"/>
          <w:i/>
          <w:iCs/>
        </w:rPr>
        <w:t>m,</w:t>
      </w:r>
      <w:r w:rsidRPr="00AB349E">
        <w:rPr>
          <w:rFonts w:ascii="Arial" w:hAnsi="Arial" w:cs="Arial"/>
        </w:rPr>
        <w:t>p</w:t>
      </w:r>
      <w:proofErr w:type="spellEnd"/>
      <w:proofErr w:type="gramEnd"/>
      <w:r>
        <w:rPr>
          <w:rFonts w:ascii="Arial" w:hAnsi="Arial" w:cs="Arial"/>
        </w:rPr>
        <w:t>)-</w:t>
      </w:r>
      <w:proofErr w:type="spellStart"/>
      <w:r>
        <w:rPr>
          <w:rFonts w:ascii="Arial" w:hAnsi="Arial" w:cs="Arial"/>
        </w:rPr>
        <w:t>x</w:t>
      </w:r>
      <w:r w:rsidRPr="00AB349E">
        <w:rPr>
          <w:rFonts w:ascii="Arial" w:hAnsi="Arial" w:cs="Arial"/>
        </w:rPr>
        <w:t>ylenes</w:t>
      </w:r>
      <w:r>
        <w:rPr>
          <w:rFonts w:ascii="Arial" w:hAnsi="Arial" w:cs="Arial"/>
        </w:rPr>
        <w:t>:ethylbenzene</w:t>
      </w:r>
      <w:proofErr w:type="spellEnd"/>
      <w:r>
        <w:rPr>
          <w:rFonts w:ascii="Arial" w:hAnsi="Arial" w:cs="Arial"/>
        </w:rPr>
        <w:t xml:space="preserve"> ratio</w:t>
      </w:r>
    </w:p>
    <w:p w14:paraId="0F0FF094" w14:textId="77777777" w:rsidR="001D4CF5" w:rsidRDefault="001D4CF5" w:rsidP="00D25F71">
      <w:pPr>
        <w:jc w:val="both"/>
        <w:rPr>
          <w:rFonts w:ascii="Arial" w:hAnsi="Arial" w:cs="Arial"/>
        </w:rPr>
      </w:pPr>
    </w:p>
    <w:p w14:paraId="6227D5EB" w14:textId="77777777" w:rsidR="008F2F0B" w:rsidRDefault="008F2F0B" w:rsidP="00D25F71">
      <w:pPr>
        <w:jc w:val="both"/>
        <w:rPr>
          <w:rFonts w:ascii="Arial" w:hAnsi="Arial" w:cs="Arial"/>
        </w:rPr>
      </w:pPr>
    </w:p>
    <w:p w14:paraId="3E17DCF6" w14:textId="6B650D1B" w:rsidR="003923EA" w:rsidRDefault="003923EA" w:rsidP="003923EA">
      <w:pPr>
        <w:jc w:val="both"/>
        <w:rPr>
          <w:rFonts w:ascii="Arial" w:hAnsi="Arial" w:cs="Arial"/>
        </w:rPr>
      </w:pPr>
      <w:r>
        <w:rPr>
          <w:rFonts w:ascii="Arial" w:hAnsi="Arial" w:cs="Arial"/>
          <w:b/>
          <w:bCs/>
        </w:rPr>
        <w:t>Table 3.</w:t>
      </w:r>
      <w:r>
        <w:rPr>
          <w:rFonts w:ascii="Arial" w:hAnsi="Arial" w:cs="Arial"/>
        </w:rPr>
        <w:t xml:space="preserve"> Mean (SD)</w:t>
      </w:r>
      <w:r w:rsidR="00752F15">
        <w:rPr>
          <w:rFonts w:ascii="Arial" w:hAnsi="Arial" w:cs="Arial"/>
        </w:rPr>
        <w:t xml:space="preserve"> PCA</w:t>
      </w:r>
      <w:r>
        <w:rPr>
          <w:rFonts w:ascii="Arial" w:hAnsi="Arial" w:cs="Arial"/>
        </w:rPr>
        <w:t xml:space="preserve"> scores for each component by land-use and traffic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900"/>
        <w:gridCol w:w="1846"/>
        <w:gridCol w:w="1846"/>
        <w:gridCol w:w="1846"/>
        <w:gridCol w:w="1847"/>
      </w:tblGrid>
      <w:tr w:rsidR="003923EA" w:rsidRPr="00B832F0" w14:paraId="04E3214A" w14:textId="77777777" w:rsidTr="00FF7D0B">
        <w:trPr>
          <w:trHeight w:val="300"/>
        </w:trPr>
        <w:tc>
          <w:tcPr>
            <w:tcW w:w="1075" w:type="dxa"/>
            <w:noWrap/>
            <w:vAlign w:val="bottom"/>
            <w:hideMark/>
          </w:tcPr>
          <w:p w14:paraId="3484AF32" w14:textId="77777777" w:rsidR="003923EA" w:rsidRPr="00B832F0" w:rsidRDefault="003923EA" w:rsidP="00FF7D0B">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Indust</w:t>
            </w:r>
            <w:r>
              <w:rPr>
                <w:rFonts w:ascii="Arial" w:hAnsi="Arial" w:cs="Arial"/>
                <w:b/>
                <w:bCs/>
                <w:color w:val="000000"/>
                <w:kern w:val="0"/>
                <w:sz w:val="20"/>
                <w:szCs w:val="20"/>
                <w14:ligatures w14:val="none"/>
              </w:rPr>
              <w:t>ry</w:t>
            </w:r>
          </w:p>
        </w:tc>
        <w:tc>
          <w:tcPr>
            <w:tcW w:w="900" w:type="dxa"/>
            <w:noWrap/>
            <w:vAlign w:val="bottom"/>
            <w:hideMark/>
          </w:tcPr>
          <w:p w14:paraId="6141E53B" w14:textId="77777777" w:rsidR="003923EA" w:rsidRPr="00B832F0" w:rsidRDefault="003923EA" w:rsidP="00FF7D0B">
            <w:pPr>
              <w:autoSpaceDE/>
              <w:autoSpaceDN/>
              <w:adjustRightInd/>
              <w:jc w:val="center"/>
              <w:rPr>
                <w:rFonts w:ascii="Arial" w:hAnsi="Arial" w:cs="Arial"/>
                <w:b/>
                <w:bCs/>
                <w:color w:val="000000"/>
                <w:kern w:val="0"/>
                <w:sz w:val="20"/>
                <w:szCs w:val="20"/>
                <w14:ligatures w14:val="none"/>
              </w:rPr>
            </w:pPr>
            <w:r w:rsidRPr="00B832F0">
              <w:rPr>
                <w:rFonts w:ascii="Arial" w:hAnsi="Arial" w:cs="Arial"/>
                <w:b/>
                <w:bCs/>
                <w:color w:val="000000"/>
                <w:kern w:val="0"/>
                <w:sz w:val="20"/>
                <w:szCs w:val="20"/>
                <w14:ligatures w14:val="none"/>
              </w:rPr>
              <w:t>Traffic</w:t>
            </w:r>
          </w:p>
        </w:tc>
        <w:tc>
          <w:tcPr>
            <w:tcW w:w="1846" w:type="dxa"/>
            <w:noWrap/>
            <w:vAlign w:val="bottom"/>
            <w:hideMark/>
          </w:tcPr>
          <w:p w14:paraId="380400FE" w14:textId="77777777" w:rsidR="003923EA" w:rsidRPr="00B832F0" w:rsidRDefault="003923EA" w:rsidP="00FF7D0B">
            <w:pPr>
              <w:autoSpaceDE/>
              <w:autoSpaceDN/>
              <w:adjustRightInd/>
              <w:jc w:val="center"/>
              <w:rPr>
                <w:rFonts w:ascii="Arial" w:hAnsi="Arial" w:cs="Arial"/>
                <w:b/>
                <w:bCs/>
                <w:color w:val="000000"/>
                <w:kern w:val="0"/>
                <w:sz w:val="20"/>
                <w:szCs w:val="20"/>
                <w14:ligatures w14:val="none"/>
              </w:rPr>
            </w:pPr>
            <w:r>
              <w:rPr>
                <w:rFonts w:ascii="Arial" w:hAnsi="Arial" w:cs="Arial"/>
                <w:b/>
                <w:bCs/>
                <w:color w:val="000000"/>
                <w:kern w:val="0"/>
                <w:sz w:val="20"/>
                <w:szCs w:val="20"/>
                <w14:ligatures w14:val="none"/>
              </w:rPr>
              <w:t>Component 1: Urban/industrial combustion</w:t>
            </w:r>
          </w:p>
        </w:tc>
        <w:tc>
          <w:tcPr>
            <w:tcW w:w="1846" w:type="dxa"/>
            <w:noWrap/>
            <w:vAlign w:val="bottom"/>
            <w:hideMark/>
          </w:tcPr>
          <w:p w14:paraId="0CA6F415" w14:textId="77777777" w:rsidR="003923EA" w:rsidRPr="00B832F0" w:rsidRDefault="003923EA" w:rsidP="00FF7D0B">
            <w:pPr>
              <w:autoSpaceDE/>
              <w:autoSpaceDN/>
              <w:adjustRightInd/>
              <w:jc w:val="center"/>
              <w:rPr>
                <w:rFonts w:ascii="Arial" w:hAnsi="Arial" w:cs="Arial"/>
                <w:b/>
                <w:bCs/>
                <w:color w:val="000000"/>
                <w:kern w:val="0"/>
                <w:sz w:val="20"/>
                <w:szCs w:val="20"/>
                <w14:ligatures w14:val="none"/>
              </w:rPr>
            </w:pPr>
            <w:r>
              <w:rPr>
                <w:rFonts w:ascii="Arial" w:hAnsi="Arial" w:cs="Arial"/>
                <w:b/>
                <w:bCs/>
                <w:color w:val="000000"/>
                <w:kern w:val="0"/>
                <w:sz w:val="20"/>
                <w:szCs w:val="20"/>
                <w14:ligatures w14:val="none"/>
              </w:rPr>
              <w:t>Component 2: Diesel / gasoline evaporation</w:t>
            </w:r>
          </w:p>
        </w:tc>
        <w:tc>
          <w:tcPr>
            <w:tcW w:w="1846" w:type="dxa"/>
            <w:noWrap/>
            <w:vAlign w:val="bottom"/>
            <w:hideMark/>
          </w:tcPr>
          <w:p w14:paraId="7BEE7B01" w14:textId="77777777" w:rsidR="003923EA" w:rsidRPr="00B832F0" w:rsidRDefault="003923EA" w:rsidP="00FF7D0B">
            <w:pPr>
              <w:autoSpaceDE/>
              <w:autoSpaceDN/>
              <w:adjustRightInd/>
              <w:jc w:val="center"/>
              <w:rPr>
                <w:rFonts w:ascii="Arial" w:hAnsi="Arial" w:cs="Arial"/>
                <w:b/>
                <w:bCs/>
                <w:color w:val="000000"/>
                <w:kern w:val="0"/>
                <w:sz w:val="20"/>
                <w:szCs w:val="20"/>
                <w14:ligatures w14:val="none"/>
              </w:rPr>
            </w:pPr>
            <w:r>
              <w:rPr>
                <w:rFonts w:ascii="Arial" w:hAnsi="Arial" w:cs="Arial"/>
                <w:b/>
                <w:bCs/>
                <w:color w:val="000000"/>
                <w:kern w:val="0"/>
                <w:sz w:val="20"/>
                <w:szCs w:val="20"/>
                <w14:ligatures w14:val="none"/>
              </w:rPr>
              <w:t>Component 3: Legacy chlorinated</w:t>
            </w:r>
          </w:p>
        </w:tc>
        <w:tc>
          <w:tcPr>
            <w:tcW w:w="1847" w:type="dxa"/>
            <w:noWrap/>
            <w:vAlign w:val="bottom"/>
            <w:hideMark/>
          </w:tcPr>
          <w:p w14:paraId="06F1CA1B" w14:textId="77777777" w:rsidR="003923EA" w:rsidRPr="00B832F0" w:rsidRDefault="003923EA" w:rsidP="00FF7D0B">
            <w:pPr>
              <w:autoSpaceDE/>
              <w:autoSpaceDN/>
              <w:adjustRightInd/>
              <w:jc w:val="center"/>
              <w:rPr>
                <w:rFonts w:ascii="Arial" w:hAnsi="Arial" w:cs="Arial"/>
                <w:b/>
                <w:bCs/>
                <w:color w:val="000000"/>
                <w:kern w:val="0"/>
                <w:sz w:val="20"/>
                <w:szCs w:val="20"/>
                <w14:ligatures w14:val="none"/>
              </w:rPr>
            </w:pPr>
            <w:r>
              <w:rPr>
                <w:rFonts w:ascii="Arial" w:hAnsi="Arial" w:cs="Arial"/>
                <w:b/>
                <w:bCs/>
                <w:color w:val="000000"/>
                <w:kern w:val="0"/>
                <w:sz w:val="20"/>
                <w:szCs w:val="20"/>
                <w14:ligatures w14:val="none"/>
              </w:rPr>
              <w:t>Component 4*: Industrial solvents</w:t>
            </w:r>
          </w:p>
        </w:tc>
      </w:tr>
      <w:tr w:rsidR="003923EA" w:rsidRPr="00B832F0" w14:paraId="0E594B56" w14:textId="77777777" w:rsidTr="00FF7D0B">
        <w:trPr>
          <w:trHeight w:val="300"/>
        </w:trPr>
        <w:tc>
          <w:tcPr>
            <w:tcW w:w="1075" w:type="dxa"/>
            <w:vMerge w:val="restart"/>
            <w:noWrap/>
            <w:vAlign w:val="center"/>
            <w:hideMark/>
          </w:tcPr>
          <w:p w14:paraId="1880BF32"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Industrial</w:t>
            </w:r>
          </w:p>
          <w:p w14:paraId="1E339431" w14:textId="77777777" w:rsidR="003923EA" w:rsidRPr="00B832F0" w:rsidRDefault="003923EA" w:rsidP="00FF7D0B">
            <w:pPr>
              <w:jc w:val="center"/>
              <w:rPr>
                <w:rFonts w:ascii="Arial" w:hAnsi="Arial" w:cs="Arial"/>
                <w:color w:val="000000"/>
                <w:kern w:val="0"/>
                <w:sz w:val="20"/>
                <w:szCs w:val="20"/>
                <w14:ligatures w14:val="none"/>
              </w:rPr>
            </w:pPr>
          </w:p>
        </w:tc>
        <w:tc>
          <w:tcPr>
            <w:tcW w:w="900" w:type="dxa"/>
            <w:noWrap/>
            <w:vAlign w:val="center"/>
            <w:hideMark/>
          </w:tcPr>
          <w:p w14:paraId="3BC8EA07"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High</w:t>
            </w:r>
          </w:p>
        </w:tc>
        <w:tc>
          <w:tcPr>
            <w:tcW w:w="1846" w:type="dxa"/>
            <w:noWrap/>
            <w:vAlign w:val="bottom"/>
            <w:hideMark/>
          </w:tcPr>
          <w:p w14:paraId="25C6DA4C"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1.28 (5.24)</w:t>
            </w:r>
          </w:p>
        </w:tc>
        <w:tc>
          <w:tcPr>
            <w:tcW w:w="1846" w:type="dxa"/>
            <w:noWrap/>
            <w:vAlign w:val="bottom"/>
            <w:hideMark/>
          </w:tcPr>
          <w:p w14:paraId="58B16196"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1.12 (3.76)</w:t>
            </w:r>
          </w:p>
        </w:tc>
        <w:tc>
          <w:tcPr>
            <w:tcW w:w="1846" w:type="dxa"/>
            <w:noWrap/>
            <w:vAlign w:val="bottom"/>
            <w:hideMark/>
          </w:tcPr>
          <w:p w14:paraId="27F99860"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0.27 (1.48)</w:t>
            </w:r>
          </w:p>
        </w:tc>
        <w:tc>
          <w:tcPr>
            <w:tcW w:w="1847" w:type="dxa"/>
            <w:noWrap/>
            <w:vAlign w:val="bottom"/>
            <w:hideMark/>
          </w:tcPr>
          <w:p w14:paraId="2D576F65"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-0.31 (1.97)</w:t>
            </w:r>
          </w:p>
        </w:tc>
      </w:tr>
      <w:tr w:rsidR="003923EA" w:rsidRPr="00B832F0" w14:paraId="3760D7F2" w14:textId="77777777" w:rsidTr="00FF7D0B">
        <w:trPr>
          <w:trHeight w:val="300"/>
        </w:trPr>
        <w:tc>
          <w:tcPr>
            <w:tcW w:w="1075" w:type="dxa"/>
            <w:vMerge/>
            <w:noWrap/>
            <w:vAlign w:val="center"/>
            <w:hideMark/>
          </w:tcPr>
          <w:p w14:paraId="12ABED53"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p>
        </w:tc>
        <w:tc>
          <w:tcPr>
            <w:tcW w:w="900" w:type="dxa"/>
            <w:noWrap/>
            <w:vAlign w:val="center"/>
            <w:hideMark/>
          </w:tcPr>
          <w:p w14:paraId="68BC3CC7"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Low</w:t>
            </w:r>
          </w:p>
        </w:tc>
        <w:tc>
          <w:tcPr>
            <w:tcW w:w="1846" w:type="dxa"/>
            <w:noWrap/>
            <w:vAlign w:val="bottom"/>
            <w:hideMark/>
          </w:tcPr>
          <w:p w14:paraId="18747DE7"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-0.99 (0.98)</w:t>
            </w:r>
          </w:p>
        </w:tc>
        <w:tc>
          <w:tcPr>
            <w:tcW w:w="1846" w:type="dxa"/>
            <w:noWrap/>
            <w:vAlign w:val="bottom"/>
            <w:hideMark/>
          </w:tcPr>
          <w:p w14:paraId="480ED811"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-0.88 (0.57)</w:t>
            </w:r>
          </w:p>
        </w:tc>
        <w:tc>
          <w:tcPr>
            <w:tcW w:w="1846" w:type="dxa"/>
            <w:noWrap/>
            <w:vAlign w:val="bottom"/>
            <w:hideMark/>
          </w:tcPr>
          <w:p w14:paraId="7C83D326"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-0.23 (0.71)</w:t>
            </w:r>
          </w:p>
        </w:tc>
        <w:tc>
          <w:tcPr>
            <w:tcW w:w="1847" w:type="dxa"/>
            <w:noWrap/>
            <w:vAlign w:val="bottom"/>
            <w:hideMark/>
          </w:tcPr>
          <w:p w14:paraId="684843E0"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-0.18 (0.99)</w:t>
            </w:r>
          </w:p>
        </w:tc>
      </w:tr>
      <w:tr w:rsidR="003923EA" w:rsidRPr="00B832F0" w14:paraId="2D1EA263" w14:textId="77777777" w:rsidTr="00FF7D0B">
        <w:trPr>
          <w:trHeight w:val="300"/>
        </w:trPr>
        <w:tc>
          <w:tcPr>
            <w:tcW w:w="1075" w:type="dxa"/>
            <w:vMerge w:val="restart"/>
            <w:noWrap/>
            <w:vAlign w:val="center"/>
            <w:hideMark/>
          </w:tcPr>
          <w:p w14:paraId="19492427"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Non-Industrial</w:t>
            </w:r>
          </w:p>
          <w:p w14:paraId="25FC995A" w14:textId="77777777" w:rsidR="003923EA" w:rsidRPr="00B832F0" w:rsidRDefault="003923EA" w:rsidP="00FF7D0B">
            <w:pPr>
              <w:jc w:val="center"/>
              <w:rPr>
                <w:rFonts w:ascii="Arial" w:hAnsi="Arial" w:cs="Arial"/>
                <w:color w:val="000000"/>
                <w:kern w:val="0"/>
                <w:sz w:val="20"/>
                <w:szCs w:val="20"/>
                <w14:ligatures w14:val="none"/>
              </w:rPr>
            </w:pPr>
          </w:p>
        </w:tc>
        <w:tc>
          <w:tcPr>
            <w:tcW w:w="900" w:type="dxa"/>
            <w:noWrap/>
            <w:vAlign w:val="center"/>
            <w:hideMark/>
          </w:tcPr>
          <w:p w14:paraId="6693D979"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High</w:t>
            </w:r>
          </w:p>
        </w:tc>
        <w:tc>
          <w:tcPr>
            <w:tcW w:w="1846" w:type="dxa"/>
            <w:noWrap/>
            <w:vAlign w:val="bottom"/>
            <w:hideMark/>
          </w:tcPr>
          <w:p w14:paraId="510AF79C"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-0.42 (0.54)</w:t>
            </w:r>
          </w:p>
        </w:tc>
        <w:tc>
          <w:tcPr>
            <w:tcW w:w="1846" w:type="dxa"/>
            <w:noWrap/>
            <w:vAlign w:val="bottom"/>
            <w:hideMark/>
          </w:tcPr>
          <w:p w14:paraId="2CC9F0CB"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-0.41 (0.51)</w:t>
            </w:r>
          </w:p>
        </w:tc>
        <w:tc>
          <w:tcPr>
            <w:tcW w:w="1846" w:type="dxa"/>
            <w:noWrap/>
            <w:vAlign w:val="bottom"/>
            <w:hideMark/>
          </w:tcPr>
          <w:p w14:paraId="5A275C68"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-0.12 (0.83)</w:t>
            </w:r>
          </w:p>
        </w:tc>
        <w:tc>
          <w:tcPr>
            <w:tcW w:w="1847" w:type="dxa"/>
            <w:noWrap/>
            <w:vAlign w:val="bottom"/>
            <w:hideMark/>
          </w:tcPr>
          <w:p w14:paraId="3310F89E"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0.30 (0.45)</w:t>
            </w:r>
          </w:p>
        </w:tc>
      </w:tr>
      <w:tr w:rsidR="003923EA" w:rsidRPr="00B832F0" w14:paraId="3B420F96" w14:textId="77777777" w:rsidTr="00FF7D0B">
        <w:trPr>
          <w:trHeight w:val="300"/>
        </w:trPr>
        <w:tc>
          <w:tcPr>
            <w:tcW w:w="1075" w:type="dxa"/>
            <w:vMerge/>
            <w:noWrap/>
            <w:vAlign w:val="center"/>
            <w:hideMark/>
          </w:tcPr>
          <w:p w14:paraId="0B487367"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p>
        </w:tc>
        <w:tc>
          <w:tcPr>
            <w:tcW w:w="900" w:type="dxa"/>
            <w:noWrap/>
            <w:vAlign w:val="center"/>
            <w:hideMark/>
          </w:tcPr>
          <w:p w14:paraId="757FFC2C"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B832F0">
              <w:rPr>
                <w:rFonts w:ascii="Arial" w:hAnsi="Arial" w:cs="Arial"/>
                <w:color w:val="000000"/>
                <w:kern w:val="0"/>
                <w:sz w:val="20"/>
                <w:szCs w:val="20"/>
                <w14:ligatures w14:val="none"/>
              </w:rPr>
              <w:t>Low</w:t>
            </w:r>
          </w:p>
        </w:tc>
        <w:tc>
          <w:tcPr>
            <w:tcW w:w="1846" w:type="dxa"/>
            <w:noWrap/>
            <w:vAlign w:val="bottom"/>
            <w:hideMark/>
          </w:tcPr>
          <w:p w14:paraId="49FA284F"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-1.02 (0.92)</w:t>
            </w:r>
          </w:p>
        </w:tc>
        <w:tc>
          <w:tcPr>
            <w:tcW w:w="1846" w:type="dxa"/>
            <w:noWrap/>
            <w:vAlign w:val="bottom"/>
            <w:hideMark/>
          </w:tcPr>
          <w:p w14:paraId="1CE93026"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-0.88 (0.64)</w:t>
            </w:r>
          </w:p>
        </w:tc>
        <w:tc>
          <w:tcPr>
            <w:tcW w:w="1846" w:type="dxa"/>
            <w:noWrap/>
            <w:vAlign w:val="bottom"/>
            <w:hideMark/>
          </w:tcPr>
          <w:p w14:paraId="38E8E64A"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-0.20 (0.97)</w:t>
            </w:r>
          </w:p>
        </w:tc>
        <w:tc>
          <w:tcPr>
            <w:tcW w:w="1847" w:type="dxa"/>
            <w:noWrap/>
            <w:vAlign w:val="bottom"/>
            <w:hideMark/>
          </w:tcPr>
          <w:p w14:paraId="59D77F78" w14:textId="77777777" w:rsidR="003923EA" w:rsidRPr="00B832F0" w:rsidRDefault="003923EA" w:rsidP="00FF7D0B">
            <w:pPr>
              <w:autoSpaceDE/>
              <w:autoSpaceDN/>
              <w:adjustRightInd/>
              <w:jc w:val="center"/>
              <w:rPr>
                <w:rFonts w:ascii="Arial" w:hAnsi="Arial" w:cs="Arial"/>
                <w:color w:val="000000"/>
                <w:kern w:val="0"/>
                <w:sz w:val="20"/>
                <w:szCs w:val="20"/>
                <w14:ligatures w14:val="none"/>
              </w:rPr>
            </w:pPr>
            <w:r w:rsidRPr="00964452">
              <w:rPr>
                <w:rFonts w:ascii="Arial" w:hAnsi="Arial" w:cs="Arial"/>
                <w:color w:val="000000"/>
                <w:sz w:val="20"/>
                <w:szCs w:val="20"/>
              </w:rPr>
              <w:t>0.32 (0.70)</w:t>
            </w:r>
          </w:p>
        </w:tc>
      </w:tr>
    </w:tbl>
    <w:p w14:paraId="705CC408" w14:textId="77777777" w:rsidR="003923EA" w:rsidRDefault="003923EA" w:rsidP="003923EA">
      <w:pPr>
        <w:jc w:val="both"/>
        <w:rPr>
          <w:rFonts w:ascii="Arial" w:hAnsi="Arial" w:cs="Arial"/>
        </w:rPr>
      </w:pPr>
      <w:r>
        <w:rPr>
          <w:rFonts w:ascii="Arial" w:hAnsi="Arial" w:cs="Arial"/>
        </w:rPr>
        <w:t>*Component 4 is negatively loaded—lower scores indicate stronger industrial solvent signals.</w:t>
      </w:r>
    </w:p>
    <w:p w14:paraId="45BC9053" w14:textId="77FD7200" w:rsidR="003923EA" w:rsidRDefault="003923EA">
      <w:pPr>
        <w:autoSpaceDE/>
        <w:autoSpaceDN/>
        <w:adjustRightInd/>
        <w:rPr>
          <w:rFonts w:ascii="Arial" w:hAnsi="Arial" w:cs="Arial"/>
          <w:b/>
          <w:bCs/>
        </w:rPr>
      </w:pPr>
      <w:r>
        <w:rPr>
          <w:rFonts w:ascii="Arial" w:hAnsi="Arial" w:cs="Arial"/>
          <w:b/>
          <w:bCs/>
        </w:rPr>
        <w:br w:type="page"/>
      </w:r>
    </w:p>
    <w:p w14:paraId="3A052BF5" w14:textId="77777777" w:rsidR="003923EA" w:rsidRDefault="003923EA" w:rsidP="003923EA">
      <w:pPr>
        <w:autoSpaceDE/>
        <w:autoSpaceDN/>
        <w:adjustRightInd/>
        <w:rPr>
          <w:rFonts w:ascii="Arial" w:hAnsi="Arial" w:cs="Arial"/>
          <w:b/>
          <w:bCs/>
        </w:rPr>
      </w:pPr>
      <w:r>
        <w:rPr>
          <w:rFonts w:ascii="Arial" w:hAnsi="Arial" w:cs="Arial"/>
          <w:b/>
          <w:bCs/>
          <w:noProof/>
        </w:rPr>
        <w:drawing>
          <wp:inline distT="0" distB="0" distL="0" distR="0" wp14:anchorId="4998F772" wp14:editId="66109ADA">
            <wp:extent cx="5943600" cy="5943600"/>
            <wp:effectExtent l="0" t="0" r="0" b="0"/>
            <wp:docPr id="739596495" name="Picture 5"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96495" name="Picture 5" descr="A map of a city&#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10B4FE7" w14:textId="73742414" w:rsidR="00CB0D3E" w:rsidRDefault="003923EA" w:rsidP="003923EA">
      <w:pPr>
        <w:jc w:val="both"/>
        <w:rPr>
          <w:rFonts w:ascii="Arial" w:hAnsi="Arial" w:cs="Arial"/>
          <w:b/>
          <w:bCs/>
        </w:rPr>
      </w:pPr>
      <w:r>
        <w:rPr>
          <w:rFonts w:ascii="Arial" w:hAnsi="Arial" w:cs="Arial"/>
          <w:b/>
          <w:bCs/>
        </w:rPr>
        <w:t>Figure 1.</w:t>
      </w:r>
      <w:r>
        <w:rPr>
          <w:rFonts w:ascii="Arial" w:hAnsi="Arial" w:cs="Arial"/>
        </w:rPr>
        <w:t xml:space="preserve"> Monitoring site locations with local land use information, site traffic classification, site type (weekly vs. rotating), and the area of the former refinery site.</w:t>
      </w:r>
    </w:p>
    <w:p w14:paraId="1ABB00C7" w14:textId="56139DE4" w:rsidR="00CB0D3E" w:rsidRDefault="00CB0D3E" w:rsidP="00D25F71">
      <w:pPr>
        <w:jc w:val="both"/>
        <w:rPr>
          <w:rFonts w:ascii="Arial" w:hAnsi="Arial" w:cs="Arial"/>
          <w:b/>
          <w:bCs/>
        </w:rPr>
      </w:pPr>
      <w:r>
        <w:rPr>
          <w:rFonts w:ascii="Arial" w:hAnsi="Arial" w:cs="Arial"/>
          <w:b/>
          <w:bCs/>
          <w:noProof/>
        </w:rPr>
        <w:drawing>
          <wp:inline distT="0" distB="0" distL="0" distR="0" wp14:anchorId="499D1CCD" wp14:editId="14F9A0F3">
            <wp:extent cx="5943600" cy="5943600"/>
            <wp:effectExtent l="0" t="0" r="0" b="0"/>
            <wp:docPr id="12050708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70862" name="Picture 1"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1B7FD96" w14:textId="05282878" w:rsidR="00A1416E" w:rsidRDefault="00A1416E" w:rsidP="00D25F71">
      <w:pPr>
        <w:jc w:val="both"/>
        <w:rPr>
          <w:rFonts w:ascii="Arial" w:hAnsi="Arial" w:cs="Arial"/>
        </w:rPr>
      </w:pPr>
      <w:r>
        <w:rPr>
          <w:rFonts w:ascii="Arial" w:hAnsi="Arial" w:cs="Arial"/>
          <w:b/>
          <w:bCs/>
        </w:rPr>
        <w:t xml:space="preserve">Figure </w:t>
      </w:r>
      <w:r w:rsidR="003923EA">
        <w:rPr>
          <w:rFonts w:ascii="Arial" w:hAnsi="Arial" w:cs="Arial"/>
          <w:b/>
          <w:bCs/>
        </w:rPr>
        <w:t>2</w:t>
      </w:r>
      <w:r>
        <w:rPr>
          <w:rFonts w:ascii="Arial" w:hAnsi="Arial" w:cs="Arial"/>
        </w:rPr>
        <w:t xml:space="preserve">. Component loadings from principal component analysis. </w:t>
      </w:r>
      <w:r w:rsidR="00D862FB">
        <w:rPr>
          <w:rFonts w:ascii="Arial" w:hAnsi="Arial" w:cs="Arial"/>
        </w:rPr>
        <w:t xml:space="preserve">Component 1 = mixed urban and industrial sources, fossil fuel combustion; component 2 = </w:t>
      </w:r>
      <w:r w:rsidR="00E46DF3">
        <w:rPr>
          <w:rFonts w:ascii="Arial" w:hAnsi="Arial" w:cs="Arial"/>
        </w:rPr>
        <w:t>petroleum</w:t>
      </w:r>
      <w:r w:rsidR="00C31C4A">
        <w:rPr>
          <w:rFonts w:ascii="Arial" w:hAnsi="Arial" w:cs="Arial"/>
        </w:rPr>
        <w:t>-based solvents</w:t>
      </w:r>
      <w:r w:rsidR="00E46DF3">
        <w:rPr>
          <w:rFonts w:ascii="Arial" w:hAnsi="Arial" w:cs="Arial"/>
        </w:rPr>
        <w:t xml:space="preserve">; component 3 = legacy / background pollution; component 4 = </w:t>
      </w:r>
      <w:r w:rsidR="00C31C4A">
        <w:rPr>
          <w:rFonts w:ascii="Arial" w:hAnsi="Arial" w:cs="Arial"/>
        </w:rPr>
        <w:t>chlorinated</w:t>
      </w:r>
      <w:r w:rsidR="00E46DF3">
        <w:rPr>
          <w:rFonts w:ascii="Arial" w:hAnsi="Arial" w:cs="Arial"/>
        </w:rPr>
        <w:t xml:space="preserve"> solvents.</w:t>
      </w:r>
    </w:p>
    <w:p w14:paraId="60D1C1D4" w14:textId="77777777" w:rsidR="008756D7" w:rsidRDefault="008756D7" w:rsidP="00D25F71">
      <w:pPr>
        <w:jc w:val="both"/>
        <w:rPr>
          <w:rFonts w:ascii="Arial" w:hAnsi="Arial" w:cs="Arial"/>
        </w:rPr>
      </w:pPr>
    </w:p>
    <w:p w14:paraId="1F525F12" w14:textId="77777777" w:rsidR="00BD673C" w:rsidRDefault="00BD673C" w:rsidP="00D25F71">
      <w:pPr>
        <w:jc w:val="both"/>
        <w:rPr>
          <w:rFonts w:ascii="Arial" w:hAnsi="Arial" w:cs="Arial"/>
        </w:rPr>
      </w:pPr>
    </w:p>
    <w:p w14:paraId="01655DF5" w14:textId="77777777" w:rsidR="00BD673C" w:rsidRDefault="00BD673C" w:rsidP="00D25F71">
      <w:pPr>
        <w:jc w:val="both"/>
        <w:rPr>
          <w:rFonts w:ascii="Arial" w:hAnsi="Arial" w:cs="Arial"/>
        </w:rPr>
      </w:pPr>
    </w:p>
    <w:p w14:paraId="68E5C4E7" w14:textId="0911D764" w:rsidR="00D862FB" w:rsidRDefault="00D862FB" w:rsidP="00D862FB">
      <w:pPr>
        <w:spacing w:line="360" w:lineRule="auto"/>
        <w:jc w:val="both"/>
        <w:rPr>
          <w:rFonts w:ascii="Arial" w:hAnsi="Arial" w:cs="Arial"/>
          <w:sz w:val="22"/>
          <w:szCs w:val="22"/>
        </w:rPr>
      </w:pPr>
      <w:r>
        <w:rPr>
          <w:rFonts w:ascii="Arial" w:hAnsi="Arial" w:cs="Arial"/>
          <w:sz w:val="22"/>
          <w:szCs w:val="22"/>
        </w:rPr>
        <w:t xml:space="preserve"> </w:t>
      </w:r>
    </w:p>
    <w:p w14:paraId="24CB5350" w14:textId="51BFBC2A" w:rsidR="00BD673C" w:rsidRDefault="00BD673C">
      <w:pPr>
        <w:autoSpaceDE/>
        <w:autoSpaceDN/>
        <w:adjustRightInd/>
        <w:rPr>
          <w:rFonts w:ascii="Arial" w:hAnsi="Arial" w:cs="Arial"/>
          <w:b/>
          <w:bCs/>
        </w:rPr>
      </w:pPr>
    </w:p>
    <w:p w14:paraId="0DCF2095" w14:textId="7A6A44ED" w:rsidR="00BD673C" w:rsidRDefault="00D25F41" w:rsidP="00D25F71">
      <w:pPr>
        <w:jc w:val="both"/>
        <w:rPr>
          <w:rFonts w:ascii="Arial" w:hAnsi="Arial" w:cs="Arial"/>
          <w:b/>
          <w:bCs/>
        </w:rPr>
      </w:pPr>
      <w:r>
        <w:rPr>
          <w:rFonts w:ascii="Arial" w:hAnsi="Arial" w:cs="Arial"/>
          <w:b/>
          <w:bCs/>
          <w:noProof/>
        </w:rPr>
        <w:drawing>
          <wp:inline distT="0" distB="0" distL="0" distR="0" wp14:anchorId="6C3EB443" wp14:editId="68A22BB8">
            <wp:extent cx="5943600" cy="5943600"/>
            <wp:effectExtent l="0" t="0" r="0" b="0"/>
            <wp:docPr id="2101774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74194"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4E8A8B80" w14:textId="77777777" w:rsidR="00BD673C" w:rsidRDefault="00BD673C" w:rsidP="00D25F71">
      <w:pPr>
        <w:jc w:val="both"/>
        <w:rPr>
          <w:rFonts w:ascii="Arial" w:hAnsi="Arial" w:cs="Arial"/>
          <w:b/>
          <w:bCs/>
        </w:rPr>
      </w:pPr>
    </w:p>
    <w:p w14:paraId="64DF10D7" w14:textId="1DE4543D" w:rsidR="00FA034E" w:rsidRDefault="00E55192" w:rsidP="00FA034E">
      <w:pPr>
        <w:jc w:val="both"/>
        <w:rPr>
          <w:rFonts w:ascii="Arial" w:hAnsi="Arial" w:cs="Arial"/>
        </w:rPr>
      </w:pPr>
      <w:r>
        <w:rPr>
          <w:rFonts w:ascii="Arial" w:hAnsi="Arial" w:cs="Arial"/>
          <w:b/>
          <w:bCs/>
        </w:rPr>
        <w:t xml:space="preserve">Figure </w:t>
      </w:r>
      <w:r w:rsidR="003923EA">
        <w:rPr>
          <w:rFonts w:ascii="Arial" w:hAnsi="Arial" w:cs="Arial"/>
          <w:b/>
          <w:bCs/>
        </w:rPr>
        <w:t>3</w:t>
      </w:r>
      <w:r w:rsidR="00576DFA">
        <w:rPr>
          <w:rFonts w:ascii="Arial" w:hAnsi="Arial" w:cs="Arial"/>
          <w:b/>
          <w:bCs/>
        </w:rPr>
        <w:t>.</w:t>
      </w:r>
      <w:r w:rsidR="00576DFA">
        <w:rPr>
          <w:rFonts w:ascii="Arial" w:hAnsi="Arial" w:cs="Arial"/>
        </w:rPr>
        <w:t xml:space="preserve"> </w:t>
      </w:r>
      <w:r w:rsidR="00D25F41">
        <w:rPr>
          <w:rFonts w:ascii="Arial" w:hAnsi="Arial" w:cs="Arial"/>
        </w:rPr>
        <w:t>Concentration contribution (%</w:t>
      </w:r>
      <w:r w:rsidR="008D0BF1">
        <w:rPr>
          <w:rFonts w:ascii="Arial" w:hAnsi="Arial" w:cs="Arial"/>
        </w:rPr>
        <w:t>) of each compound to PMF-derived factors</w:t>
      </w:r>
      <w:r w:rsidR="004A4348">
        <w:rPr>
          <w:rFonts w:ascii="Arial" w:hAnsi="Arial" w:cs="Arial"/>
        </w:rPr>
        <w:t>, normalized to the median of 500 bootstrapped samples</w:t>
      </w:r>
      <w:r w:rsidR="008D0BF1">
        <w:rPr>
          <w:rFonts w:ascii="Arial" w:hAnsi="Arial" w:cs="Arial"/>
        </w:rPr>
        <w:t xml:space="preserve">. </w:t>
      </w:r>
      <w:r w:rsidR="004A4348">
        <w:rPr>
          <w:rFonts w:ascii="Arial" w:hAnsi="Arial" w:cs="Arial"/>
        </w:rPr>
        <w:t>E</w:t>
      </w:r>
      <w:r w:rsidR="004C4193">
        <w:rPr>
          <w:rFonts w:ascii="Arial" w:hAnsi="Arial" w:cs="Arial"/>
        </w:rPr>
        <w:t>rror bars showing the 5</w:t>
      </w:r>
      <w:r w:rsidR="004C4193" w:rsidRPr="004C4193">
        <w:rPr>
          <w:rFonts w:ascii="Arial" w:hAnsi="Arial" w:cs="Arial"/>
          <w:vertAlign w:val="superscript"/>
        </w:rPr>
        <w:t>th</w:t>
      </w:r>
      <w:r w:rsidR="004C4193">
        <w:rPr>
          <w:rFonts w:ascii="Arial" w:hAnsi="Arial" w:cs="Arial"/>
        </w:rPr>
        <w:t xml:space="preserve"> and 95</w:t>
      </w:r>
      <w:r w:rsidR="004C4193" w:rsidRPr="004C4193">
        <w:rPr>
          <w:rFonts w:ascii="Arial" w:hAnsi="Arial" w:cs="Arial"/>
          <w:vertAlign w:val="superscript"/>
        </w:rPr>
        <w:t>th</w:t>
      </w:r>
      <w:r w:rsidR="004C4193">
        <w:rPr>
          <w:rFonts w:ascii="Arial" w:hAnsi="Arial" w:cs="Arial"/>
        </w:rPr>
        <w:t xml:space="preserve"> percentiles of the bootstrapped distribution</w:t>
      </w:r>
      <w:r w:rsidR="00D25F41">
        <w:rPr>
          <w:rFonts w:ascii="Arial" w:hAnsi="Arial" w:cs="Arial"/>
        </w:rPr>
        <w:t xml:space="preserve">. </w:t>
      </w:r>
      <w:r w:rsidR="002333B1">
        <w:rPr>
          <w:rFonts w:ascii="Arial" w:hAnsi="Arial" w:cs="Arial"/>
        </w:rPr>
        <w:t>The proportion of total predicted mass explained by each factor is shown in parentheses.</w:t>
      </w:r>
    </w:p>
    <w:p w14:paraId="3992D5EF" w14:textId="77777777" w:rsidR="007D6E99" w:rsidRDefault="007D6E99" w:rsidP="00FA034E">
      <w:pPr>
        <w:jc w:val="both"/>
        <w:rPr>
          <w:rFonts w:ascii="Arial" w:hAnsi="Arial" w:cs="Arial"/>
        </w:rPr>
      </w:pPr>
    </w:p>
    <w:p w14:paraId="39A06131" w14:textId="77777777" w:rsidR="007D6E99" w:rsidRDefault="007D6E99" w:rsidP="00FA034E">
      <w:pPr>
        <w:jc w:val="both"/>
        <w:rPr>
          <w:rFonts w:ascii="Arial" w:hAnsi="Arial" w:cs="Arial"/>
        </w:rPr>
      </w:pPr>
    </w:p>
    <w:p w14:paraId="75AF223B" w14:textId="77777777" w:rsidR="007D6E99" w:rsidRDefault="007D6E99" w:rsidP="00FA034E">
      <w:pPr>
        <w:jc w:val="both"/>
        <w:rPr>
          <w:rFonts w:ascii="Arial" w:hAnsi="Arial" w:cs="Arial"/>
        </w:rPr>
      </w:pPr>
    </w:p>
    <w:p w14:paraId="3F6399EE" w14:textId="77777777" w:rsidR="007D6E99" w:rsidRDefault="007D6E99" w:rsidP="00FA034E">
      <w:pPr>
        <w:jc w:val="both"/>
        <w:rPr>
          <w:rFonts w:ascii="Arial" w:hAnsi="Arial" w:cs="Arial"/>
        </w:rPr>
      </w:pPr>
    </w:p>
    <w:p w14:paraId="22281FC7" w14:textId="77777777" w:rsidR="007D6E99" w:rsidRDefault="007D6E99" w:rsidP="00FA034E">
      <w:pPr>
        <w:jc w:val="both"/>
        <w:rPr>
          <w:rFonts w:ascii="Arial" w:hAnsi="Arial" w:cs="Arial"/>
        </w:rPr>
      </w:pPr>
    </w:p>
    <w:p w14:paraId="5DF41A40" w14:textId="77777777" w:rsidR="007D6E99" w:rsidRDefault="007D6E99" w:rsidP="00FA034E">
      <w:pPr>
        <w:jc w:val="both"/>
        <w:rPr>
          <w:rFonts w:ascii="Arial" w:hAnsi="Arial" w:cs="Arial"/>
        </w:rPr>
      </w:pPr>
    </w:p>
    <w:p w14:paraId="2A5EA971" w14:textId="77777777" w:rsidR="007D6E99" w:rsidRDefault="007D6E99" w:rsidP="00FA034E">
      <w:pPr>
        <w:jc w:val="both"/>
        <w:rPr>
          <w:rFonts w:ascii="Arial" w:hAnsi="Arial" w:cs="Arial"/>
        </w:rPr>
      </w:pPr>
    </w:p>
    <w:p w14:paraId="1B3BFE5F" w14:textId="77777777" w:rsidR="007D6E99" w:rsidRDefault="007D6E99" w:rsidP="00FA034E">
      <w:pPr>
        <w:jc w:val="both"/>
        <w:rPr>
          <w:rFonts w:ascii="Arial" w:hAnsi="Arial" w:cs="Arial"/>
        </w:rPr>
      </w:pPr>
    </w:p>
    <w:p w14:paraId="41C24AA6" w14:textId="77777777" w:rsidR="007D6E99" w:rsidRDefault="007D6E99" w:rsidP="00FA034E">
      <w:pPr>
        <w:jc w:val="both"/>
        <w:rPr>
          <w:rFonts w:ascii="Arial" w:hAnsi="Arial" w:cs="Arial"/>
        </w:rPr>
      </w:pPr>
    </w:p>
    <w:p w14:paraId="5826D968" w14:textId="59831C25" w:rsidR="007D6E99" w:rsidRDefault="00C305DC" w:rsidP="00FA034E">
      <w:pPr>
        <w:jc w:val="both"/>
        <w:rPr>
          <w:rFonts w:ascii="Arial" w:hAnsi="Arial" w:cs="Arial"/>
        </w:rPr>
      </w:pPr>
      <w:r w:rsidRPr="009921B3">
        <w:rPr>
          <w:rFonts w:ascii="Arial" w:hAnsi="Arial" w:cs="Arial"/>
          <w:b/>
          <w:bCs/>
          <w:noProof/>
        </w:rPr>
        <w:drawing>
          <wp:inline distT="0" distB="0" distL="0" distR="0" wp14:anchorId="15DB9F4B" wp14:editId="7DAA5C8D">
            <wp:extent cx="5943600" cy="5905500"/>
            <wp:effectExtent l="0" t="0" r="0" b="0"/>
            <wp:docPr id="1362276079" name="Picture 2"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76079" name="Picture 2" descr="A graph of a number of bars&#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t="321" b="321"/>
                    <a:stretch>
                      <a:fillRect/>
                    </a:stretch>
                  </pic:blipFill>
                  <pic:spPr bwMode="auto">
                    <a:xfrm>
                      <a:off x="0" y="0"/>
                      <a:ext cx="5943600" cy="5905500"/>
                    </a:xfrm>
                    <a:prstGeom prst="rect">
                      <a:avLst/>
                    </a:prstGeom>
                    <a:noFill/>
                    <a:ln>
                      <a:noFill/>
                    </a:ln>
                    <a:extLst>
                      <a:ext uri="{53640926-AAD7-44D8-BBD7-CCE9431645EC}">
                        <a14:shadowObscured xmlns:a14="http://schemas.microsoft.com/office/drawing/2010/main"/>
                      </a:ext>
                    </a:extLst>
                  </pic:spPr>
                </pic:pic>
              </a:graphicData>
            </a:graphic>
          </wp:inline>
        </w:drawing>
      </w:r>
    </w:p>
    <w:p w14:paraId="6941D1BA" w14:textId="77777777" w:rsidR="00716114" w:rsidRDefault="00716114" w:rsidP="00D25F71">
      <w:pPr>
        <w:jc w:val="both"/>
        <w:rPr>
          <w:rFonts w:ascii="Arial" w:hAnsi="Arial" w:cs="Arial"/>
        </w:rPr>
      </w:pPr>
    </w:p>
    <w:p w14:paraId="15448622" w14:textId="61ABE6D7" w:rsidR="00576DFA" w:rsidRPr="00716114" w:rsidRDefault="007F363E" w:rsidP="00D25F71">
      <w:pPr>
        <w:jc w:val="both"/>
        <w:rPr>
          <w:rFonts w:ascii="Arial" w:hAnsi="Arial" w:cs="Arial"/>
        </w:rPr>
      </w:pPr>
      <w:r>
        <w:rPr>
          <w:rFonts w:ascii="Arial" w:hAnsi="Arial" w:cs="Arial"/>
          <w:b/>
          <w:bCs/>
        </w:rPr>
        <w:t>Figure 4.</w:t>
      </w:r>
      <w:r>
        <w:rPr>
          <w:rFonts w:ascii="Arial" w:hAnsi="Arial" w:cs="Arial"/>
        </w:rPr>
        <w:t xml:space="preserve"> </w:t>
      </w:r>
      <w:r w:rsidR="00E24116" w:rsidRPr="00E24116">
        <w:rPr>
          <w:rFonts w:ascii="Arial" w:hAnsi="Arial" w:cs="Arial"/>
          <w:iCs/>
        </w:rPr>
        <w:t>Percent of each VOC species mass explained by each factor in positive matrix factorization (PMF) analysis.</w:t>
      </w:r>
      <w:r w:rsidR="00E24116" w:rsidRPr="00E24116">
        <w:rPr>
          <w:rFonts w:ascii="Arial" w:hAnsi="Arial" w:cs="Arial"/>
        </w:rPr>
        <w:t xml:space="preserve"> Because the bar height indicates the median value from 500 bootstrapped samples, total percentages may not add up to 100%.</w:t>
      </w:r>
      <w:r w:rsidR="00E24116">
        <w:rPr>
          <w:rFonts w:ascii="Arial" w:hAnsi="Arial" w:cs="Arial"/>
        </w:rPr>
        <w:t xml:space="preserve"> </w:t>
      </w:r>
      <w:r w:rsidR="00716114">
        <w:rPr>
          <w:rFonts w:ascii="Arial" w:hAnsi="Arial" w:cs="Arial"/>
        </w:rPr>
        <w:t xml:space="preserve">Weekly sites are shown in </w:t>
      </w:r>
      <w:r w:rsidR="00716114">
        <w:rPr>
          <w:rFonts w:ascii="Arial" w:hAnsi="Arial" w:cs="Arial"/>
          <w:b/>
          <w:bCs/>
        </w:rPr>
        <w:t>bold</w:t>
      </w:r>
      <w:r w:rsidR="00716114">
        <w:rPr>
          <w:rFonts w:ascii="Arial" w:hAnsi="Arial" w:cs="Arial"/>
        </w:rPr>
        <w:t>.</w:t>
      </w:r>
      <w:r w:rsidR="00516F41">
        <w:rPr>
          <w:rFonts w:ascii="Arial" w:hAnsi="Arial" w:cs="Arial"/>
        </w:rPr>
        <w:t xml:space="preserve"> Factors were interpreted as follows: Factor 1 (blue) </w:t>
      </w:r>
      <w:r w:rsidR="00FF0C0A">
        <w:rPr>
          <w:rFonts w:ascii="Arial" w:hAnsi="Arial" w:cs="Arial"/>
        </w:rPr>
        <w:t>= mixed urban / industrial sources, fossil fuel combustion; factor 2 (yellow) = industrial solvents; factor 3 (</w:t>
      </w:r>
      <w:r w:rsidR="004F6018">
        <w:rPr>
          <w:rFonts w:ascii="Arial" w:hAnsi="Arial" w:cs="Arial"/>
        </w:rPr>
        <w:t>red</w:t>
      </w:r>
      <w:r w:rsidR="00FF0C0A">
        <w:rPr>
          <w:rFonts w:ascii="Arial" w:hAnsi="Arial" w:cs="Arial"/>
        </w:rPr>
        <w:t xml:space="preserve">) = </w:t>
      </w:r>
      <w:r w:rsidR="004F6018">
        <w:rPr>
          <w:rFonts w:ascii="Arial" w:hAnsi="Arial" w:cs="Arial"/>
        </w:rPr>
        <w:t xml:space="preserve">legacy emissions / background air pollution; factor 4 (green) = </w:t>
      </w:r>
      <w:r w:rsidR="00C31C4A">
        <w:rPr>
          <w:rFonts w:ascii="Arial" w:hAnsi="Arial" w:cs="Arial"/>
        </w:rPr>
        <w:t xml:space="preserve">petroleum-based solvents. </w:t>
      </w:r>
      <w:r w:rsidR="004F6018">
        <w:rPr>
          <w:rFonts w:ascii="Arial" w:hAnsi="Arial" w:cs="Arial"/>
        </w:rPr>
        <w:t xml:space="preserve"> </w:t>
      </w:r>
    </w:p>
    <w:sectPr w:rsidR="00576DFA" w:rsidRPr="00716114" w:rsidSect="005C43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Frueh,Lisa" w:date="2025-11-10T13:53:00Z" w:initials="LF">
    <w:p w14:paraId="0502E8DB" w14:textId="77777777" w:rsidR="0033147F" w:rsidRDefault="0033147F" w:rsidP="00831AB5">
      <w:r>
        <w:rPr>
          <w:rStyle w:val="CommentReference"/>
        </w:rPr>
        <w:annotationRef/>
      </w:r>
      <w:r>
        <w:rPr>
          <w:sz w:val="20"/>
          <w:szCs w:val="20"/>
        </w:rPr>
        <w:t>I have formatted this manuscript to meet JESEE’s requirements.</w:t>
      </w:r>
    </w:p>
  </w:comment>
  <w:comment w:id="1" w:author="Frueh,Lisa" w:date="2025-11-14T10:15:00Z" w:initials="LF">
    <w:p w14:paraId="73003184" w14:textId="77777777" w:rsidR="00F64D3B" w:rsidRDefault="00F64D3B" w:rsidP="00660975">
      <w:r>
        <w:rPr>
          <w:rStyle w:val="CommentReference"/>
        </w:rPr>
        <w:annotationRef/>
      </w:r>
      <w:r>
        <w:rPr>
          <w:sz w:val="20"/>
          <w:szCs w:val="20"/>
        </w:rPr>
        <w:t>Note that Drexel has an agreement with Springer Nature that covers APCs for open access in JESEE:</w:t>
      </w:r>
    </w:p>
    <w:p w14:paraId="20D90546" w14:textId="77777777" w:rsidR="00F64D3B" w:rsidRDefault="00F64D3B" w:rsidP="00660975">
      <w:r>
        <w:rPr>
          <w:sz w:val="20"/>
          <w:szCs w:val="20"/>
        </w:rPr>
        <w:t>https://libguides.library.drexel.edu/openaccesspublishing/agreements</w:t>
      </w:r>
    </w:p>
  </w:comment>
  <w:comment w:id="2" w:author="Frueh,Lisa" w:date="2025-11-14T10:15:00Z" w:initials="LF">
    <w:p w14:paraId="50243D0F" w14:textId="77777777" w:rsidR="00F64D3B" w:rsidRDefault="00F64D3B" w:rsidP="001D538C">
      <w:r>
        <w:rPr>
          <w:rStyle w:val="CommentReference"/>
        </w:rPr>
        <w:annotationRef/>
      </w:r>
      <w:r>
        <w:rPr>
          <w:sz w:val="20"/>
          <w:szCs w:val="20"/>
        </w:rPr>
        <w:t>And ISES membership (which I am) reduces page costs from $85 to $50/page</w:t>
      </w:r>
    </w:p>
  </w:comment>
  <w:comment w:id="3" w:author="Frueh,Lisa" w:date="2025-11-10T13:55:00Z" w:initials="LF">
    <w:p w14:paraId="515EA84B" w14:textId="50FEE868" w:rsidR="003367F4" w:rsidRDefault="003367F4" w:rsidP="00C457A1">
      <w:r>
        <w:rPr>
          <w:rStyle w:val="CommentReference"/>
        </w:rPr>
        <w:annotationRef/>
      </w:r>
      <w:r>
        <w:rPr>
          <w:sz w:val="20"/>
          <w:szCs w:val="20"/>
        </w:rPr>
        <w:t>Max 100 words</w:t>
      </w:r>
    </w:p>
  </w:comment>
  <w:comment w:id="4" w:author="Frueh,Lisa" w:date="2026-01-12T14:55:00Z" w:initials="LF">
    <w:p w14:paraId="420EDE93" w14:textId="77777777" w:rsidR="004A3AC0" w:rsidRDefault="004A3AC0" w:rsidP="009A789D">
      <w:r>
        <w:rPr>
          <w:rStyle w:val="CommentReference"/>
        </w:rPr>
        <w:annotationRef/>
      </w:r>
      <w:r>
        <w:rPr>
          <w:sz w:val="20"/>
          <w:szCs w:val="20"/>
        </w:rPr>
        <w:t>Sheila: does this look better / less like the CBPR paper?</w:t>
      </w:r>
    </w:p>
  </w:comment>
  <w:comment w:id="5" w:author="Frueh,Lisa" w:date="2026-01-12T14:58:00Z" w:initials="LF">
    <w:p w14:paraId="7C1E4D70" w14:textId="77777777" w:rsidR="003656A8" w:rsidRDefault="003656A8" w:rsidP="00A96F1E">
      <w:r>
        <w:rPr>
          <w:rStyle w:val="CommentReference"/>
        </w:rPr>
        <w:annotationRef/>
      </w:r>
      <w:r>
        <w:rPr>
          <w:sz w:val="20"/>
          <w:szCs w:val="20"/>
        </w:rPr>
        <w:t>Will cite pre-print if the published DOI isn’t available by the time we submit. Leaving placeholder for now.</w:t>
      </w:r>
    </w:p>
  </w:comment>
  <w:comment w:id="6" w:author="Frueh,Lisa" w:date="2026-01-06T10:37:00Z" w:initials="LF">
    <w:p w14:paraId="589DFE35" w14:textId="6FCCC73F" w:rsidR="009936ED" w:rsidRDefault="009936ED" w:rsidP="009936ED">
      <w:pPr>
        <w:pStyle w:val="CommentText"/>
      </w:pPr>
      <w:r>
        <w:rPr>
          <w:rStyle w:val="CommentReference"/>
        </w:rPr>
        <w:annotationRef/>
      </w:r>
      <w:r>
        <w:t>Nancy will need to review and approve this paragraph</w:t>
      </w:r>
    </w:p>
  </w:comment>
  <w:comment w:id="7" w:author="Frueh,Lisa" w:date="2026-01-06T10:38:00Z" w:initials="LF">
    <w:p w14:paraId="458EC0C7" w14:textId="77777777" w:rsidR="009936ED" w:rsidRDefault="009936ED" w:rsidP="009936ED">
      <w:pPr>
        <w:pStyle w:val="CommentText"/>
      </w:pPr>
      <w:r>
        <w:rPr>
          <w:rStyle w:val="CommentReference"/>
        </w:rPr>
        <w:annotationRef/>
      </w:r>
      <w:r>
        <w:t>Highlighted parts are where I’m particularly unsure</w:t>
      </w:r>
    </w:p>
  </w:comment>
  <w:comment w:id="8" w:author="Frueh,Lisa" w:date="2026-01-11T09:34:00Z" w:initials="LF">
    <w:p w14:paraId="5114BFFF" w14:textId="77777777" w:rsidR="00B80064" w:rsidRDefault="00B80064" w:rsidP="00F2002C">
      <w:r>
        <w:rPr>
          <w:rStyle w:val="CommentReference"/>
        </w:rPr>
        <w:annotationRef/>
      </w:r>
      <w:r>
        <w:rPr>
          <w:sz w:val="20"/>
          <w:szCs w:val="20"/>
        </w:rPr>
        <w:t>This isn’t public yet but will be at time of submission.</w:t>
      </w:r>
    </w:p>
  </w:comment>
  <w:comment w:id="9" w:author="Frueh,Lisa" w:date="2026-01-12T15:07:00Z" w:initials="LF">
    <w:p w14:paraId="069F4DA1" w14:textId="77777777" w:rsidR="005954D2" w:rsidRDefault="005954D2" w:rsidP="00283C90">
      <w:r>
        <w:rPr>
          <w:rStyle w:val="CommentReference"/>
        </w:rPr>
        <w:annotationRef/>
      </w:r>
      <w:r>
        <w:rPr>
          <w:sz w:val="20"/>
          <w:szCs w:val="20"/>
        </w:rPr>
        <w:t>Could this be consistent with decommissioning?</w:t>
      </w:r>
    </w:p>
  </w:comment>
  <w:comment w:id="10" w:author="Frueh,Lisa" w:date="2026-01-06T10:22:00Z" w:initials="LF">
    <w:p w14:paraId="54076CFD" w14:textId="0ED4FAF9" w:rsidR="00A65944" w:rsidRDefault="00A65944" w:rsidP="00A65944">
      <w:pPr>
        <w:pStyle w:val="CommentText"/>
      </w:pPr>
      <w:r>
        <w:rPr>
          <w:rStyle w:val="CommentReference"/>
        </w:rPr>
        <w:annotationRef/>
      </w:r>
      <w:r>
        <w:t>Ultimately the BTEX ratios don’t tell us much. I know a lot of other papers do this but now I’m not sure this is worth the word count and effort. Could maybe just move to supplement or remove? Or do you think it would be helpful to have this in here just to say that it doesn’t tell us much about sources?</w:t>
      </w:r>
    </w:p>
  </w:comment>
  <w:comment w:id="11" w:author="Frueh,Lisa" w:date="2026-01-11T14:35:00Z" w:initials="LF">
    <w:p w14:paraId="5AC88772" w14:textId="77777777" w:rsidR="00C20047" w:rsidRDefault="00C20047" w:rsidP="00B00098">
      <w:r>
        <w:rPr>
          <w:rStyle w:val="CommentReference"/>
        </w:rPr>
        <w:annotationRef/>
      </w:r>
      <w:r>
        <w:rPr>
          <w:sz w:val="20"/>
          <w:szCs w:val="20"/>
        </w:rPr>
        <w:t>I also did this more to just test my intuition but I’m not sure if this is a legit analysis / or if we should include</w:t>
      </w:r>
    </w:p>
  </w:comment>
  <w:comment w:id="12" w:author="Frueh,Lisa" w:date="2026-01-06T10:21:00Z" w:initials="LF">
    <w:p w14:paraId="0A2EF5B5" w14:textId="77777777" w:rsidR="009E17A0" w:rsidRDefault="009E17A0" w:rsidP="009E17A0">
      <w:pPr>
        <w:pStyle w:val="CommentText"/>
      </w:pPr>
      <w:r>
        <w:rPr>
          <w:rStyle w:val="CommentReference"/>
        </w:rPr>
        <w:annotationRef/>
      </w:r>
      <w:r>
        <w:t xml:space="preserve">Is this even helpful to stratify by industrial v. non-industrial and community vs. weekly? The industrial v. non-industrial sis to make this more comparable to other literature in urban areas. </w:t>
      </w:r>
    </w:p>
  </w:comment>
  <w:comment w:id="13" w:author="Frueh,Lisa" w:date="2026-01-06T10:57:00Z" w:initials="LF">
    <w:p w14:paraId="63385579" w14:textId="77777777" w:rsidR="00C93267" w:rsidRDefault="00C93267" w:rsidP="00C93267">
      <w:pPr>
        <w:pStyle w:val="CommentText"/>
      </w:pPr>
      <w:r>
        <w:rPr>
          <w:rStyle w:val="CommentReference"/>
        </w:rPr>
        <w:annotationRef/>
      </w:r>
      <w:r>
        <w:t>I’ll finish formatting this table once we make these decisions – I know it’s hard to read right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02E8DB" w15:done="0"/>
  <w15:commentEx w15:paraId="20D90546" w15:paraIdParent="0502E8DB" w15:done="0"/>
  <w15:commentEx w15:paraId="50243D0F" w15:paraIdParent="0502E8DB" w15:done="0"/>
  <w15:commentEx w15:paraId="515EA84B" w15:done="0"/>
  <w15:commentEx w15:paraId="420EDE93" w15:done="0"/>
  <w15:commentEx w15:paraId="7C1E4D70" w15:done="0"/>
  <w15:commentEx w15:paraId="589DFE35" w15:done="0"/>
  <w15:commentEx w15:paraId="458EC0C7" w15:paraIdParent="589DFE35" w15:done="0"/>
  <w15:commentEx w15:paraId="5114BFFF" w15:done="0"/>
  <w15:commentEx w15:paraId="069F4DA1" w15:done="0"/>
  <w15:commentEx w15:paraId="54076CFD" w15:done="0"/>
  <w15:commentEx w15:paraId="5AC88772" w15:done="0"/>
  <w15:commentEx w15:paraId="0A2EF5B5" w15:done="0"/>
  <w15:commentEx w15:paraId="63385579" w15:paraIdParent="0A2EF5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EDAC2DD" w16cex:dateUtc="2025-11-10T18:53:00Z"/>
  <w16cex:commentExtensible w16cex:durableId="0DF605CE" w16cex:dateUtc="2025-11-14T15:15:00Z"/>
  <w16cex:commentExtensible w16cex:durableId="57C6AF16" w16cex:dateUtc="2025-11-14T15:15:00Z"/>
  <w16cex:commentExtensible w16cex:durableId="51EA8CD8" w16cex:dateUtc="2025-11-10T18:55:00Z"/>
  <w16cex:commentExtensible w16cex:durableId="744E0E07" w16cex:dateUtc="2026-01-12T19:55:00Z"/>
  <w16cex:commentExtensible w16cex:durableId="2CEE7AED" w16cex:dateUtc="2026-01-12T19:58:00Z"/>
  <w16cex:commentExtensible w16cex:durableId="6AC27080" w16cex:dateUtc="2026-01-06T15:37:00Z"/>
  <w16cex:commentExtensible w16cex:durableId="2DF6C533" w16cex:dateUtc="2026-01-06T15:38:00Z"/>
  <w16cex:commentExtensible w16cex:durableId="6629332A" w16cex:dateUtc="2026-01-11T14:34:00Z"/>
  <w16cex:commentExtensible w16cex:durableId="36D03BFE" w16cex:dateUtc="2026-01-12T20:07:00Z"/>
  <w16cex:commentExtensible w16cex:durableId="4AC93DF4" w16cex:dateUtc="2026-01-06T15:22:00Z"/>
  <w16cex:commentExtensible w16cex:durableId="48442648" w16cex:dateUtc="2026-01-11T19:35:00Z"/>
  <w16cex:commentExtensible w16cex:durableId="420F4BBA" w16cex:dateUtc="2026-01-06T15:21:00Z"/>
  <w16cex:commentExtensible w16cex:durableId="278475D3" w16cex:dateUtc="2026-01-06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02E8DB" w16cid:durableId="1EDAC2DD"/>
  <w16cid:commentId w16cid:paraId="20D90546" w16cid:durableId="0DF605CE"/>
  <w16cid:commentId w16cid:paraId="50243D0F" w16cid:durableId="57C6AF16"/>
  <w16cid:commentId w16cid:paraId="515EA84B" w16cid:durableId="51EA8CD8"/>
  <w16cid:commentId w16cid:paraId="420EDE93" w16cid:durableId="744E0E07"/>
  <w16cid:commentId w16cid:paraId="7C1E4D70" w16cid:durableId="2CEE7AED"/>
  <w16cid:commentId w16cid:paraId="589DFE35" w16cid:durableId="6AC27080"/>
  <w16cid:commentId w16cid:paraId="458EC0C7" w16cid:durableId="2DF6C533"/>
  <w16cid:commentId w16cid:paraId="5114BFFF" w16cid:durableId="6629332A"/>
  <w16cid:commentId w16cid:paraId="069F4DA1" w16cid:durableId="36D03BFE"/>
  <w16cid:commentId w16cid:paraId="54076CFD" w16cid:durableId="4AC93DF4"/>
  <w16cid:commentId w16cid:paraId="5AC88772" w16cid:durableId="48442648"/>
  <w16cid:commentId w16cid:paraId="0A2EF5B5" w16cid:durableId="420F4BBA"/>
  <w16cid:commentId w16cid:paraId="63385579" w16cid:durableId="278475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82CE9" w14:textId="77777777" w:rsidR="00EA71A9" w:rsidRDefault="00EA71A9" w:rsidP="001B3E67">
      <w:r>
        <w:separator/>
      </w:r>
    </w:p>
  </w:endnote>
  <w:endnote w:type="continuationSeparator" w:id="0">
    <w:p w14:paraId="729B4D0E" w14:textId="77777777" w:rsidR="00EA71A9" w:rsidRDefault="00EA71A9" w:rsidP="001B3E67">
      <w:r>
        <w:continuationSeparator/>
      </w:r>
    </w:p>
  </w:endnote>
  <w:endnote w:type="continuationNotice" w:id="1">
    <w:p w14:paraId="3FC58416" w14:textId="77777777" w:rsidR="00EA71A9" w:rsidRDefault="00EA71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NFPLJ+TimesNewRoman">
    <w:altName w:val="Times New Roman"/>
    <w:panose1 w:val="020B0604020202020204"/>
    <w:charset w:val="00"/>
    <w:family w:val="roman"/>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3085D" w14:textId="77777777" w:rsidR="00EA71A9" w:rsidRDefault="00EA71A9" w:rsidP="001B3E67">
      <w:r>
        <w:separator/>
      </w:r>
    </w:p>
  </w:footnote>
  <w:footnote w:type="continuationSeparator" w:id="0">
    <w:p w14:paraId="6DA98EF7" w14:textId="77777777" w:rsidR="00EA71A9" w:rsidRDefault="00EA71A9" w:rsidP="001B3E67">
      <w:r>
        <w:continuationSeparator/>
      </w:r>
    </w:p>
  </w:footnote>
  <w:footnote w:type="continuationNotice" w:id="1">
    <w:p w14:paraId="21C18336" w14:textId="77777777" w:rsidR="00EA71A9" w:rsidRDefault="00EA71A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403"/>
    <w:multiLevelType w:val="hybridMultilevel"/>
    <w:tmpl w:val="391C7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6C0673"/>
    <w:multiLevelType w:val="hybridMultilevel"/>
    <w:tmpl w:val="2FD8D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5D7B85"/>
    <w:multiLevelType w:val="hybridMultilevel"/>
    <w:tmpl w:val="BE986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FD1B7B"/>
    <w:multiLevelType w:val="hybridMultilevel"/>
    <w:tmpl w:val="4C02514A"/>
    <w:lvl w:ilvl="0" w:tplc="8F2621C8">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E5743"/>
    <w:multiLevelType w:val="hybridMultilevel"/>
    <w:tmpl w:val="ACA0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B46C2B"/>
    <w:multiLevelType w:val="hybridMultilevel"/>
    <w:tmpl w:val="DAA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4C39CB"/>
    <w:multiLevelType w:val="hybridMultilevel"/>
    <w:tmpl w:val="C45C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081356"/>
    <w:multiLevelType w:val="hybridMultilevel"/>
    <w:tmpl w:val="FB08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157706">
    <w:abstractNumId w:val="3"/>
  </w:num>
  <w:num w:numId="2" w16cid:durableId="1093015021">
    <w:abstractNumId w:val="6"/>
  </w:num>
  <w:num w:numId="3" w16cid:durableId="2049988645">
    <w:abstractNumId w:val="4"/>
  </w:num>
  <w:num w:numId="4" w16cid:durableId="1160661195">
    <w:abstractNumId w:val="7"/>
  </w:num>
  <w:num w:numId="5" w16cid:durableId="1934507543">
    <w:abstractNumId w:val="5"/>
  </w:num>
  <w:num w:numId="6" w16cid:durableId="876702414">
    <w:abstractNumId w:val="1"/>
  </w:num>
  <w:num w:numId="7" w16cid:durableId="1011107114">
    <w:abstractNumId w:val="2"/>
  </w:num>
  <w:num w:numId="8" w16cid:durableId="872339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ueh,Lisa">
    <w15:presenceInfo w15:providerId="AD" w15:userId="S::lf649@drexel.edu::adbd6bd4-c20a-4f0e-a63d-c79f1dd236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CC"/>
    <w:rsid w:val="000001D5"/>
    <w:rsid w:val="0000047F"/>
    <w:rsid w:val="00002BE7"/>
    <w:rsid w:val="0000344A"/>
    <w:rsid w:val="00003B2B"/>
    <w:rsid w:val="00003E47"/>
    <w:rsid w:val="000051C7"/>
    <w:rsid w:val="00006040"/>
    <w:rsid w:val="00010AE9"/>
    <w:rsid w:val="00011407"/>
    <w:rsid w:val="00013052"/>
    <w:rsid w:val="00016513"/>
    <w:rsid w:val="00021950"/>
    <w:rsid w:val="00025B3B"/>
    <w:rsid w:val="00025EF9"/>
    <w:rsid w:val="00026694"/>
    <w:rsid w:val="00027641"/>
    <w:rsid w:val="0003197D"/>
    <w:rsid w:val="000324CA"/>
    <w:rsid w:val="00032817"/>
    <w:rsid w:val="00032E2D"/>
    <w:rsid w:val="00033432"/>
    <w:rsid w:val="000363CC"/>
    <w:rsid w:val="00036464"/>
    <w:rsid w:val="000371C6"/>
    <w:rsid w:val="00040A25"/>
    <w:rsid w:val="00041CAB"/>
    <w:rsid w:val="000477C3"/>
    <w:rsid w:val="00047A07"/>
    <w:rsid w:val="000517B9"/>
    <w:rsid w:val="00062144"/>
    <w:rsid w:val="0006242B"/>
    <w:rsid w:val="00062AC4"/>
    <w:rsid w:val="00063003"/>
    <w:rsid w:val="00063AFE"/>
    <w:rsid w:val="000640C5"/>
    <w:rsid w:val="000643D6"/>
    <w:rsid w:val="00065900"/>
    <w:rsid w:val="00065A66"/>
    <w:rsid w:val="00066250"/>
    <w:rsid w:val="000664AA"/>
    <w:rsid w:val="0006735A"/>
    <w:rsid w:val="00070311"/>
    <w:rsid w:val="00070B11"/>
    <w:rsid w:val="00071C05"/>
    <w:rsid w:val="00072E79"/>
    <w:rsid w:val="00072E8F"/>
    <w:rsid w:val="000759AB"/>
    <w:rsid w:val="00080175"/>
    <w:rsid w:val="00082609"/>
    <w:rsid w:val="000841A7"/>
    <w:rsid w:val="00084D60"/>
    <w:rsid w:val="00085405"/>
    <w:rsid w:val="00090EF7"/>
    <w:rsid w:val="00092EFF"/>
    <w:rsid w:val="00093969"/>
    <w:rsid w:val="0009567A"/>
    <w:rsid w:val="000968C2"/>
    <w:rsid w:val="000968C3"/>
    <w:rsid w:val="000979BC"/>
    <w:rsid w:val="000A161D"/>
    <w:rsid w:val="000A377E"/>
    <w:rsid w:val="000A3FD5"/>
    <w:rsid w:val="000A4D68"/>
    <w:rsid w:val="000A58AA"/>
    <w:rsid w:val="000A5A33"/>
    <w:rsid w:val="000A65F4"/>
    <w:rsid w:val="000B0B48"/>
    <w:rsid w:val="000B5414"/>
    <w:rsid w:val="000B6BCF"/>
    <w:rsid w:val="000B7493"/>
    <w:rsid w:val="000C258A"/>
    <w:rsid w:val="000C46B9"/>
    <w:rsid w:val="000C59C8"/>
    <w:rsid w:val="000C6162"/>
    <w:rsid w:val="000C64EF"/>
    <w:rsid w:val="000C6E98"/>
    <w:rsid w:val="000C6F58"/>
    <w:rsid w:val="000C7351"/>
    <w:rsid w:val="000C798E"/>
    <w:rsid w:val="000D0B9B"/>
    <w:rsid w:val="000D26E6"/>
    <w:rsid w:val="000D39F7"/>
    <w:rsid w:val="000D433C"/>
    <w:rsid w:val="000E1033"/>
    <w:rsid w:val="000E25BA"/>
    <w:rsid w:val="000E4CF5"/>
    <w:rsid w:val="000E60CB"/>
    <w:rsid w:val="000E6A8D"/>
    <w:rsid w:val="000E6B7A"/>
    <w:rsid w:val="000F13E8"/>
    <w:rsid w:val="000F19D5"/>
    <w:rsid w:val="000F2EA4"/>
    <w:rsid w:val="000F2F30"/>
    <w:rsid w:val="000F2FDD"/>
    <w:rsid w:val="000F3604"/>
    <w:rsid w:val="000F4FD5"/>
    <w:rsid w:val="000F5867"/>
    <w:rsid w:val="000F6B2D"/>
    <w:rsid w:val="000F762C"/>
    <w:rsid w:val="001000CC"/>
    <w:rsid w:val="00100C1F"/>
    <w:rsid w:val="00101216"/>
    <w:rsid w:val="00101492"/>
    <w:rsid w:val="0010249E"/>
    <w:rsid w:val="0010528D"/>
    <w:rsid w:val="001066DA"/>
    <w:rsid w:val="001150C8"/>
    <w:rsid w:val="0011536B"/>
    <w:rsid w:val="00116DBC"/>
    <w:rsid w:val="0011758F"/>
    <w:rsid w:val="0012084D"/>
    <w:rsid w:val="00120B33"/>
    <w:rsid w:val="00120C52"/>
    <w:rsid w:val="00121EAD"/>
    <w:rsid w:val="00122C18"/>
    <w:rsid w:val="00122E24"/>
    <w:rsid w:val="0012536A"/>
    <w:rsid w:val="001255BA"/>
    <w:rsid w:val="00125604"/>
    <w:rsid w:val="00127DD4"/>
    <w:rsid w:val="001314E6"/>
    <w:rsid w:val="00135608"/>
    <w:rsid w:val="001356A0"/>
    <w:rsid w:val="00136C4D"/>
    <w:rsid w:val="0014022C"/>
    <w:rsid w:val="0014142F"/>
    <w:rsid w:val="00142CC4"/>
    <w:rsid w:val="00143B9B"/>
    <w:rsid w:val="001451A8"/>
    <w:rsid w:val="001468F0"/>
    <w:rsid w:val="0015022B"/>
    <w:rsid w:val="001527E6"/>
    <w:rsid w:val="00152819"/>
    <w:rsid w:val="00152867"/>
    <w:rsid w:val="001532B2"/>
    <w:rsid w:val="00153549"/>
    <w:rsid w:val="0015373F"/>
    <w:rsid w:val="00154B18"/>
    <w:rsid w:val="00154E15"/>
    <w:rsid w:val="001558DB"/>
    <w:rsid w:val="0016067C"/>
    <w:rsid w:val="001609F3"/>
    <w:rsid w:val="00160DA2"/>
    <w:rsid w:val="00160FA5"/>
    <w:rsid w:val="001611B4"/>
    <w:rsid w:val="00162525"/>
    <w:rsid w:val="00164431"/>
    <w:rsid w:val="00170D4A"/>
    <w:rsid w:val="00171299"/>
    <w:rsid w:val="00174FD7"/>
    <w:rsid w:val="00175A9E"/>
    <w:rsid w:val="00175C79"/>
    <w:rsid w:val="001773AE"/>
    <w:rsid w:val="001802BF"/>
    <w:rsid w:val="00180D70"/>
    <w:rsid w:val="00181EF0"/>
    <w:rsid w:val="00181F61"/>
    <w:rsid w:val="00181FC8"/>
    <w:rsid w:val="00183869"/>
    <w:rsid w:val="00184002"/>
    <w:rsid w:val="00184B2D"/>
    <w:rsid w:val="00185B91"/>
    <w:rsid w:val="00190452"/>
    <w:rsid w:val="001911FB"/>
    <w:rsid w:val="0019303B"/>
    <w:rsid w:val="001932DB"/>
    <w:rsid w:val="00193937"/>
    <w:rsid w:val="0019606B"/>
    <w:rsid w:val="0019712E"/>
    <w:rsid w:val="00197197"/>
    <w:rsid w:val="0019736B"/>
    <w:rsid w:val="001A0521"/>
    <w:rsid w:val="001A0845"/>
    <w:rsid w:val="001A1616"/>
    <w:rsid w:val="001A3DC8"/>
    <w:rsid w:val="001A3F18"/>
    <w:rsid w:val="001A6AE8"/>
    <w:rsid w:val="001B37B5"/>
    <w:rsid w:val="001B3E67"/>
    <w:rsid w:val="001B4220"/>
    <w:rsid w:val="001B4888"/>
    <w:rsid w:val="001B4C60"/>
    <w:rsid w:val="001B66CD"/>
    <w:rsid w:val="001C12BA"/>
    <w:rsid w:val="001C1318"/>
    <w:rsid w:val="001C16AF"/>
    <w:rsid w:val="001C1998"/>
    <w:rsid w:val="001C27D6"/>
    <w:rsid w:val="001C3FDA"/>
    <w:rsid w:val="001C4564"/>
    <w:rsid w:val="001C677B"/>
    <w:rsid w:val="001C6A1D"/>
    <w:rsid w:val="001C72D6"/>
    <w:rsid w:val="001C770A"/>
    <w:rsid w:val="001D1849"/>
    <w:rsid w:val="001D211B"/>
    <w:rsid w:val="001D2683"/>
    <w:rsid w:val="001D2EAE"/>
    <w:rsid w:val="001D3030"/>
    <w:rsid w:val="001D3D00"/>
    <w:rsid w:val="001D4CF5"/>
    <w:rsid w:val="001D5092"/>
    <w:rsid w:val="001D6714"/>
    <w:rsid w:val="001D7132"/>
    <w:rsid w:val="001D733A"/>
    <w:rsid w:val="001E0586"/>
    <w:rsid w:val="001E3611"/>
    <w:rsid w:val="001E492E"/>
    <w:rsid w:val="001E5594"/>
    <w:rsid w:val="001E599C"/>
    <w:rsid w:val="001F0F98"/>
    <w:rsid w:val="001F35B8"/>
    <w:rsid w:val="001F4159"/>
    <w:rsid w:val="001F4FBC"/>
    <w:rsid w:val="001F7350"/>
    <w:rsid w:val="00202279"/>
    <w:rsid w:val="002024EB"/>
    <w:rsid w:val="00202DC0"/>
    <w:rsid w:val="0020438F"/>
    <w:rsid w:val="00204AB6"/>
    <w:rsid w:val="0020503B"/>
    <w:rsid w:val="002060C6"/>
    <w:rsid w:val="002068E6"/>
    <w:rsid w:val="00207B6E"/>
    <w:rsid w:val="00211103"/>
    <w:rsid w:val="002117C7"/>
    <w:rsid w:val="00211E30"/>
    <w:rsid w:val="00213E5D"/>
    <w:rsid w:val="00214153"/>
    <w:rsid w:val="00214B22"/>
    <w:rsid w:val="00215771"/>
    <w:rsid w:val="002160B6"/>
    <w:rsid w:val="00216DE2"/>
    <w:rsid w:val="002223EF"/>
    <w:rsid w:val="00223572"/>
    <w:rsid w:val="00224E44"/>
    <w:rsid w:val="00226A42"/>
    <w:rsid w:val="0023286B"/>
    <w:rsid w:val="002333B1"/>
    <w:rsid w:val="00233A5C"/>
    <w:rsid w:val="00233CC2"/>
    <w:rsid w:val="00235AEF"/>
    <w:rsid w:val="00236FB6"/>
    <w:rsid w:val="00240355"/>
    <w:rsid w:val="00243EC4"/>
    <w:rsid w:val="00245C21"/>
    <w:rsid w:val="00246467"/>
    <w:rsid w:val="0024706C"/>
    <w:rsid w:val="00247625"/>
    <w:rsid w:val="00250583"/>
    <w:rsid w:val="0025110C"/>
    <w:rsid w:val="00252859"/>
    <w:rsid w:val="00252B9D"/>
    <w:rsid w:val="002540CD"/>
    <w:rsid w:val="00254BC9"/>
    <w:rsid w:val="002572BF"/>
    <w:rsid w:val="002578AA"/>
    <w:rsid w:val="002579A6"/>
    <w:rsid w:val="00257F4F"/>
    <w:rsid w:val="002600C2"/>
    <w:rsid w:val="00262FA3"/>
    <w:rsid w:val="0026303F"/>
    <w:rsid w:val="00264CDD"/>
    <w:rsid w:val="002650A6"/>
    <w:rsid w:val="0026567B"/>
    <w:rsid w:val="0026708D"/>
    <w:rsid w:val="00267B8C"/>
    <w:rsid w:val="00271DDF"/>
    <w:rsid w:val="0027298F"/>
    <w:rsid w:val="00274382"/>
    <w:rsid w:val="00275322"/>
    <w:rsid w:val="00275FEA"/>
    <w:rsid w:val="00276569"/>
    <w:rsid w:val="00277676"/>
    <w:rsid w:val="00277DDB"/>
    <w:rsid w:val="00280823"/>
    <w:rsid w:val="0028530F"/>
    <w:rsid w:val="00285EAD"/>
    <w:rsid w:val="00286825"/>
    <w:rsid w:val="002868AC"/>
    <w:rsid w:val="002875F6"/>
    <w:rsid w:val="00291DE6"/>
    <w:rsid w:val="00292181"/>
    <w:rsid w:val="00292303"/>
    <w:rsid w:val="002924A3"/>
    <w:rsid w:val="002927FE"/>
    <w:rsid w:val="00294967"/>
    <w:rsid w:val="002959DF"/>
    <w:rsid w:val="00296CF0"/>
    <w:rsid w:val="002A00F0"/>
    <w:rsid w:val="002A1CCF"/>
    <w:rsid w:val="002A1F3F"/>
    <w:rsid w:val="002A3577"/>
    <w:rsid w:val="002A4A41"/>
    <w:rsid w:val="002A796E"/>
    <w:rsid w:val="002B4D28"/>
    <w:rsid w:val="002B4F36"/>
    <w:rsid w:val="002B6252"/>
    <w:rsid w:val="002B6DEE"/>
    <w:rsid w:val="002C0187"/>
    <w:rsid w:val="002C1821"/>
    <w:rsid w:val="002C1C99"/>
    <w:rsid w:val="002C45ED"/>
    <w:rsid w:val="002C6D83"/>
    <w:rsid w:val="002D0EB4"/>
    <w:rsid w:val="002D2117"/>
    <w:rsid w:val="002D3B21"/>
    <w:rsid w:val="002D4B38"/>
    <w:rsid w:val="002D623E"/>
    <w:rsid w:val="002E19F6"/>
    <w:rsid w:val="002E1D75"/>
    <w:rsid w:val="002E714F"/>
    <w:rsid w:val="002F01D9"/>
    <w:rsid w:val="002F2A22"/>
    <w:rsid w:val="002F2E79"/>
    <w:rsid w:val="002F3DB0"/>
    <w:rsid w:val="002F791F"/>
    <w:rsid w:val="003006AE"/>
    <w:rsid w:val="00301536"/>
    <w:rsid w:val="00302946"/>
    <w:rsid w:val="00302D33"/>
    <w:rsid w:val="003037D0"/>
    <w:rsid w:val="00305975"/>
    <w:rsid w:val="00310EE0"/>
    <w:rsid w:val="0031108C"/>
    <w:rsid w:val="00312651"/>
    <w:rsid w:val="003126AA"/>
    <w:rsid w:val="0031324A"/>
    <w:rsid w:val="00314529"/>
    <w:rsid w:val="00315BAF"/>
    <w:rsid w:val="00316FB3"/>
    <w:rsid w:val="003174C8"/>
    <w:rsid w:val="00320C57"/>
    <w:rsid w:val="00321119"/>
    <w:rsid w:val="00321B0B"/>
    <w:rsid w:val="00322CEA"/>
    <w:rsid w:val="00324E05"/>
    <w:rsid w:val="00325E25"/>
    <w:rsid w:val="00330DB3"/>
    <w:rsid w:val="00330F4A"/>
    <w:rsid w:val="003312E2"/>
    <w:rsid w:val="0033147F"/>
    <w:rsid w:val="0033528A"/>
    <w:rsid w:val="00336293"/>
    <w:rsid w:val="003367F4"/>
    <w:rsid w:val="003370E8"/>
    <w:rsid w:val="003403BF"/>
    <w:rsid w:val="003407F3"/>
    <w:rsid w:val="0034441A"/>
    <w:rsid w:val="00344996"/>
    <w:rsid w:val="003500C0"/>
    <w:rsid w:val="00350EED"/>
    <w:rsid w:val="00353DBC"/>
    <w:rsid w:val="003542DA"/>
    <w:rsid w:val="0035530E"/>
    <w:rsid w:val="00357185"/>
    <w:rsid w:val="003611FE"/>
    <w:rsid w:val="0036193D"/>
    <w:rsid w:val="00362B5D"/>
    <w:rsid w:val="0036365A"/>
    <w:rsid w:val="00363E57"/>
    <w:rsid w:val="003656A8"/>
    <w:rsid w:val="00366709"/>
    <w:rsid w:val="00366B51"/>
    <w:rsid w:val="00367E9B"/>
    <w:rsid w:val="00370815"/>
    <w:rsid w:val="00371573"/>
    <w:rsid w:val="00373417"/>
    <w:rsid w:val="003752C1"/>
    <w:rsid w:val="0037595F"/>
    <w:rsid w:val="00375C3E"/>
    <w:rsid w:val="00377535"/>
    <w:rsid w:val="0038100B"/>
    <w:rsid w:val="00381CE3"/>
    <w:rsid w:val="00381DB6"/>
    <w:rsid w:val="0038226F"/>
    <w:rsid w:val="00383734"/>
    <w:rsid w:val="003847D0"/>
    <w:rsid w:val="003858A1"/>
    <w:rsid w:val="00387652"/>
    <w:rsid w:val="0039087C"/>
    <w:rsid w:val="003909B9"/>
    <w:rsid w:val="003923EA"/>
    <w:rsid w:val="00393991"/>
    <w:rsid w:val="003942FB"/>
    <w:rsid w:val="00396E82"/>
    <w:rsid w:val="003976F8"/>
    <w:rsid w:val="003A058A"/>
    <w:rsid w:val="003A1770"/>
    <w:rsid w:val="003A2D81"/>
    <w:rsid w:val="003A4D35"/>
    <w:rsid w:val="003A5635"/>
    <w:rsid w:val="003A5682"/>
    <w:rsid w:val="003A6FCB"/>
    <w:rsid w:val="003A7F91"/>
    <w:rsid w:val="003B1294"/>
    <w:rsid w:val="003B1440"/>
    <w:rsid w:val="003B1A53"/>
    <w:rsid w:val="003B307C"/>
    <w:rsid w:val="003B504A"/>
    <w:rsid w:val="003B62FB"/>
    <w:rsid w:val="003C3874"/>
    <w:rsid w:val="003C4451"/>
    <w:rsid w:val="003D0067"/>
    <w:rsid w:val="003D08BB"/>
    <w:rsid w:val="003D129C"/>
    <w:rsid w:val="003D48DC"/>
    <w:rsid w:val="003D6A7C"/>
    <w:rsid w:val="003D7D04"/>
    <w:rsid w:val="003E1D16"/>
    <w:rsid w:val="003E4671"/>
    <w:rsid w:val="003E4FE1"/>
    <w:rsid w:val="003E573F"/>
    <w:rsid w:val="003F010F"/>
    <w:rsid w:val="003F069A"/>
    <w:rsid w:val="003F0951"/>
    <w:rsid w:val="003F10AE"/>
    <w:rsid w:val="003F18F4"/>
    <w:rsid w:val="003F2872"/>
    <w:rsid w:val="003F2909"/>
    <w:rsid w:val="003F50D8"/>
    <w:rsid w:val="003F518C"/>
    <w:rsid w:val="003F5542"/>
    <w:rsid w:val="003F7FDD"/>
    <w:rsid w:val="0040011E"/>
    <w:rsid w:val="004008DF"/>
    <w:rsid w:val="0040328B"/>
    <w:rsid w:val="0040396C"/>
    <w:rsid w:val="004040E1"/>
    <w:rsid w:val="00404B4C"/>
    <w:rsid w:val="0040578C"/>
    <w:rsid w:val="00405E47"/>
    <w:rsid w:val="00406099"/>
    <w:rsid w:val="00407845"/>
    <w:rsid w:val="00410478"/>
    <w:rsid w:val="004120D8"/>
    <w:rsid w:val="00412300"/>
    <w:rsid w:val="00414E7D"/>
    <w:rsid w:val="0041565D"/>
    <w:rsid w:val="00416394"/>
    <w:rsid w:val="00420AB1"/>
    <w:rsid w:val="00422908"/>
    <w:rsid w:val="00422B05"/>
    <w:rsid w:val="004309A2"/>
    <w:rsid w:val="00431190"/>
    <w:rsid w:val="004329E0"/>
    <w:rsid w:val="00432ECF"/>
    <w:rsid w:val="004335CF"/>
    <w:rsid w:val="004338C6"/>
    <w:rsid w:val="00434C1B"/>
    <w:rsid w:val="00436044"/>
    <w:rsid w:val="004363AF"/>
    <w:rsid w:val="00437526"/>
    <w:rsid w:val="00437778"/>
    <w:rsid w:val="004415F7"/>
    <w:rsid w:val="004422C5"/>
    <w:rsid w:val="00442446"/>
    <w:rsid w:val="0044318A"/>
    <w:rsid w:val="00447165"/>
    <w:rsid w:val="004501C6"/>
    <w:rsid w:val="00451239"/>
    <w:rsid w:val="00451456"/>
    <w:rsid w:val="00451C93"/>
    <w:rsid w:val="004520C8"/>
    <w:rsid w:val="00452EBD"/>
    <w:rsid w:val="004557FF"/>
    <w:rsid w:val="0045643C"/>
    <w:rsid w:val="0045767C"/>
    <w:rsid w:val="004605C1"/>
    <w:rsid w:val="00464DA6"/>
    <w:rsid w:val="00465D87"/>
    <w:rsid w:val="0046638D"/>
    <w:rsid w:val="00466C33"/>
    <w:rsid w:val="00466CDC"/>
    <w:rsid w:val="00471C23"/>
    <w:rsid w:val="004728A6"/>
    <w:rsid w:val="00472DC1"/>
    <w:rsid w:val="00473CD0"/>
    <w:rsid w:val="00475AD0"/>
    <w:rsid w:val="0047635F"/>
    <w:rsid w:val="00476364"/>
    <w:rsid w:val="00476787"/>
    <w:rsid w:val="004773BB"/>
    <w:rsid w:val="00477B94"/>
    <w:rsid w:val="00480444"/>
    <w:rsid w:val="00480448"/>
    <w:rsid w:val="00481E9E"/>
    <w:rsid w:val="00484317"/>
    <w:rsid w:val="0048442E"/>
    <w:rsid w:val="00486997"/>
    <w:rsid w:val="00490452"/>
    <w:rsid w:val="00492DBB"/>
    <w:rsid w:val="00492F75"/>
    <w:rsid w:val="00497897"/>
    <w:rsid w:val="00497A7F"/>
    <w:rsid w:val="004A1591"/>
    <w:rsid w:val="004A198F"/>
    <w:rsid w:val="004A2D80"/>
    <w:rsid w:val="004A302F"/>
    <w:rsid w:val="004A3AC0"/>
    <w:rsid w:val="004A3AE0"/>
    <w:rsid w:val="004A4348"/>
    <w:rsid w:val="004A6C93"/>
    <w:rsid w:val="004A7D0D"/>
    <w:rsid w:val="004B0CCD"/>
    <w:rsid w:val="004B499D"/>
    <w:rsid w:val="004B60F1"/>
    <w:rsid w:val="004C0A27"/>
    <w:rsid w:val="004C0BCF"/>
    <w:rsid w:val="004C33FC"/>
    <w:rsid w:val="004C3704"/>
    <w:rsid w:val="004C3764"/>
    <w:rsid w:val="004C3A4D"/>
    <w:rsid w:val="004C4193"/>
    <w:rsid w:val="004C537F"/>
    <w:rsid w:val="004C601C"/>
    <w:rsid w:val="004D0AAC"/>
    <w:rsid w:val="004D1470"/>
    <w:rsid w:val="004D2092"/>
    <w:rsid w:val="004D3824"/>
    <w:rsid w:val="004D45FE"/>
    <w:rsid w:val="004D68B2"/>
    <w:rsid w:val="004D6A88"/>
    <w:rsid w:val="004E1AF8"/>
    <w:rsid w:val="004E39EC"/>
    <w:rsid w:val="004E4A6F"/>
    <w:rsid w:val="004E66BA"/>
    <w:rsid w:val="004E6C23"/>
    <w:rsid w:val="004F346B"/>
    <w:rsid w:val="004F5AA2"/>
    <w:rsid w:val="004F6018"/>
    <w:rsid w:val="004F6184"/>
    <w:rsid w:val="004F6631"/>
    <w:rsid w:val="004F6F3E"/>
    <w:rsid w:val="004F7645"/>
    <w:rsid w:val="005000C4"/>
    <w:rsid w:val="0050455A"/>
    <w:rsid w:val="0050495D"/>
    <w:rsid w:val="005055DD"/>
    <w:rsid w:val="00505B9D"/>
    <w:rsid w:val="00506DD7"/>
    <w:rsid w:val="00510700"/>
    <w:rsid w:val="00510A39"/>
    <w:rsid w:val="00511A35"/>
    <w:rsid w:val="0051436E"/>
    <w:rsid w:val="00514833"/>
    <w:rsid w:val="00516D59"/>
    <w:rsid w:val="00516F41"/>
    <w:rsid w:val="00520091"/>
    <w:rsid w:val="005221EB"/>
    <w:rsid w:val="005225A7"/>
    <w:rsid w:val="00527252"/>
    <w:rsid w:val="00535716"/>
    <w:rsid w:val="00535F8A"/>
    <w:rsid w:val="0054056F"/>
    <w:rsid w:val="00541239"/>
    <w:rsid w:val="00541AD9"/>
    <w:rsid w:val="00543ACC"/>
    <w:rsid w:val="005448B7"/>
    <w:rsid w:val="00546148"/>
    <w:rsid w:val="005504E7"/>
    <w:rsid w:val="0055167D"/>
    <w:rsid w:val="00554084"/>
    <w:rsid w:val="005548DC"/>
    <w:rsid w:val="00555557"/>
    <w:rsid w:val="00557AEC"/>
    <w:rsid w:val="005600A6"/>
    <w:rsid w:val="00560CB3"/>
    <w:rsid w:val="005614E2"/>
    <w:rsid w:val="00561C37"/>
    <w:rsid w:val="00563DE8"/>
    <w:rsid w:val="00570A52"/>
    <w:rsid w:val="00571BD7"/>
    <w:rsid w:val="00572C7F"/>
    <w:rsid w:val="00572E82"/>
    <w:rsid w:val="005731A9"/>
    <w:rsid w:val="0057330F"/>
    <w:rsid w:val="00573650"/>
    <w:rsid w:val="00574372"/>
    <w:rsid w:val="00574B46"/>
    <w:rsid w:val="00576DFA"/>
    <w:rsid w:val="005803BE"/>
    <w:rsid w:val="00581A00"/>
    <w:rsid w:val="00581E85"/>
    <w:rsid w:val="00586726"/>
    <w:rsid w:val="005869B0"/>
    <w:rsid w:val="005906AB"/>
    <w:rsid w:val="0059343D"/>
    <w:rsid w:val="005948C5"/>
    <w:rsid w:val="00594901"/>
    <w:rsid w:val="005954D2"/>
    <w:rsid w:val="00595925"/>
    <w:rsid w:val="005959A4"/>
    <w:rsid w:val="00595BDD"/>
    <w:rsid w:val="005964A1"/>
    <w:rsid w:val="00597808"/>
    <w:rsid w:val="005A07BF"/>
    <w:rsid w:val="005A0895"/>
    <w:rsid w:val="005A164B"/>
    <w:rsid w:val="005A30CE"/>
    <w:rsid w:val="005A3747"/>
    <w:rsid w:val="005A432A"/>
    <w:rsid w:val="005A50CC"/>
    <w:rsid w:val="005A5778"/>
    <w:rsid w:val="005A597B"/>
    <w:rsid w:val="005A5EF3"/>
    <w:rsid w:val="005A670F"/>
    <w:rsid w:val="005A6B6A"/>
    <w:rsid w:val="005A6D2E"/>
    <w:rsid w:val="005B0597"/>
    <w:rsid w:val="005B0DBE"/>
    <w:rsid w:val="005B15B8"/>
    <w:rsid w:val="005B2F5E"/>
    <w:rsid w:val="005B5DF0"/>
    <w:rsid w:val="005C0FFC"/>
    <w:rsid w:val="005C3F13"/>
    <w:rsid w:val="005C4333"/>
    <w:rsid w:val="005C493E"/>
    <w:rsid w:val="005C5063"/>
    <w:rsid w:val="005C63DF"/>
    <w:rsid w:val="005C69CF"/>
    <w:rsid w:val="005C78B1"/>
    <w:rsid w:val="005D1FAA"/>
    <w:rsid w:val="005D2A47"/>
    <w:rsid w:val="005D2D4D"/>
    <w:rsid w:val="005D4C0D"/>
    <w:rsid w:val="005D52E3"/>
    <w:rsid w:val="005D7A66"/>
    <w:rsid w:val="005E1948"/>
    <w:rsid w:val="005E244E"/>
    <w:rsid w:val="005E3FFB"/>
    <w:rsid w:val="005E571C"/>
    <w:rsid w:val="005E692D"/>
    <w:rsid w:val="005E6D76"/>
    <w:rsid w:val="005F03AA"/>
    <w:rsid w:val="005F0B84"/>
    <w:rsid w:val="005F1229"/>
    <w:rsid w:val="005F13D4"/>
    <w:rsid w:val="005F276D"/>
    <w:rsid w:val="005F5D13"/>
    <w:rsid w:val="006006F4"/>
    <w:rsid w:val="00603567"/>
    <w:rsid w:val="00604B12"/>
    <w:rsid w:val="006056A3"/>
    <w:rsid w:val="00607C46"/>
    <w:rsid w:val="006117B1"/>
    <w:rsid w:val="0061192F"/>
    <w:rsid w:val="00611F67"/>
    <w:rsid w:val="0061249E"/>
    <w:rsid w:val="00612AD6"/>
    <w:rsid w:val="00612F72"/>
    <w:rsid w:val="00613AD1"/>
    <w:rsid w:val="00613F7E"/>
    <w:rsid w:val="006140F7"/>
    <w:rsid w:val="00615183"/>
    <w:rsid w:val="00615282"/>
    <w:rsid w:val="00617FB7"/>
    <w:rsid w:val="00622D07"/>
    <w:rsid w:val="006258E6"/>
    <w:rsid w:val="00631ED1"/>
    <w:rsid w:val="00634251"/>
    <w:rsid w:val="0063433D"/>
    <w:rsid w:val="00635DD9"/>
    <w:rsid w:val="0064157A"/>
    <w:rsid w:val="006438D6"/>
    <w:rsid w:val="00644027"/>
    <w:rsid w:val="00644D6C"/>
    <w:rsid w:val="00645079"/>
    <w:rsid w:val="006454F4"/>
    <w:rsid w:val="00645F80"/>
    <w:rsid w:val="00646570"/>
    <w:rsid w:val="006503BC"/>
    <w:rsid w:val="00650C7F"/>
    <w:rsid w:val="00650FF9"/>
    <w:rsid w:val="006524FC"/>
    <w:rsid w:val="00652FC1"/>
    <w:rsid w:val="00653AF1"/>
    <w:rsid w:val="00654E06"/>
    <w:rsid w:val="006574DC"/>
    <w:rsid w:val="00666F51"/>
    <w:rsid w:val="0067046C"/>
    <w:rsid w:val="00673475"/>
    <w:rsid w:val="00673DD8"/>
    <w:rsid w:val="00674116"/>
    <w:rsid w:val="006757FE"/>
    <w:rsid w:val="006775C6"/>
    <w:rsid w:val="006803C3"/>
    <w:rsid w:val="006804A1"/>
    <w:rsid w:val="006827E2"/>
    <w:rsid w:val="00682FBC"/>
    <w:rsid w:val="0068461F"/>
    <w:rsid w:val="006849C1"/>
    <w:rsid w:val="00687204"/>
    <w:rsid w:val="0068755F"/>
    <w:rsid w:val="0069005D"/>
    <w:rsid w:val="006910E0"/>
    <w:rsid w:val="00691EDC"/>
    <w:rsid w:val="00692953"/>
    <w:rsid w:val="00693DDE"/>
    <w:rsid w:val="00694EBB"/>
    <w:rsid w:val="0069515A"/>
    <w:rsid w:val="00696BDE"/>
    <w:rsid w:val="006A1F7A"/>
    <w:rsid w:val="006A4415"/>
    <w:rsid w:val="006A4649"/>
    <w:rsid w:val="006A5A23"/>
    <w:rsid w:val="006A5A39"/>
    <w:rsid w:val="006A5E26"/>
    <w:rsid w:val="006A6023"/>
    <w:rsid w:val="006A6FBF"/>
    <w:rsid w:val="006B366F"/>
    <w:rsid w:val="006B381B"/>
    <w:rsid w:val="006B3C85"/>
    <w:rsid w:val="006B45B3"/>
    <w:rsid w:val="006B7026"/>
    <w:rsid w:val="006B709E"/>
    <w:rsid w:val="006B78C6"/>
    <w:rsid w:val="006B79BC"/>
    <w:rsid w:val="006C0C43"/>
    <w:rsid w:val="006C573B"/>
    <w:rsid w:val="006D0F0A"/>
    <w:rsid w:val="006D2EF0"/>
    <w:rsid w:val="006D354E"/>
    <w:rsid w:val="006D455B"/>
    <w:rsid w:val="006D783C"/>
    <w:rsid w:val="006D7EE0"/>
    <w:rsid w:val="006E2693"/>
    <w:rsid w:val="006E6170"/>
    <w:rsid w:val="006F1C6D"/>
    <w:rsid w:val="006F2B9F"/>
    <w:rsid w:val="006F2F9E"/>
    <w:rsid w:val="006F30D9"/>
    <w:rsid w:val="006F4E5B"/>
    <w:rsid w:val="006F5D0D"/>
    <w:rsid w:val="006F7296"/>
    <w:rsid w:val="00700439"/>
    <w:rsid w:val="007007CB"/>
    <w:rsid w:val="0070095B"/>
    <w:rsid w:val="00700CAC"/>
    <w:rsid w:val="00701073"/>
    <w:rsid w:val="00701F34"/>
    <w:rsid w:val="007026A0"/>
    <w:rsid w:val="00703D98"/>
    <w:rsid w:val="007045C5"/>
    <w:rsid w:val="0070622B"/>
    <w:rsid w:val="00711C53"/>
    <w:rsid w:val="007138E8"/>
    <w:rsid w:val="00714296"/>
    <w:rsid w:val="007144B7"/>
    <w:rsid w:val="00714E2E"/>
    <w:rsid w:val="0071501E"/>
    <w:rsid w:val="00716114"/>
    <w:rsid w:val="00721ABC"/>
    <w:rsid w:val="00722092"/>
    <w:rsid w:val="0072457A"/>
    <w:rsid w:val="00724DD6"/>
    <w:rsid w:val="0072500E"/>
    <w:rsid w:val="00726AC6"/>
    <w:rsid w:val="0073060C"/>
    <w:rsid w:val="00734D5D"/>
    <w:rsid w:val="00737FCA"/>
    <w:rsid w:val="00741217"/>
    <w:rsid w:val="00741855"/>
    <w:rsid w:val="00742CD6"/>
    <w:rsid w:val="00743526"/>
    <w:rsid w:val="00743F50"/>
    <w:rsid w:val="00745887"/>
    <w:rsid w:val="00746F3D"/>
    <w:rsid w:val="00750741"/>
    <w:rsid w:val="00751B55"/>
    <w:rsid w:val="00752ABD"/>
    <w:rsid w:val="00752F15"/>
    <w:rsid w:val="0075567A"/>
    <w:rsid w:val="00756BF1"/>
    <w:rsid w:val="007609FB"/>
    <w:rsid w:val="00760ADF"/>
    <w:rsid w:val="00761693"/>
    <w:rsid w:val="00761ED3"/>
    <w:rsid w:val="00763DCE"/>
    <w:rsid w:val="00764585"/>
    <w:rsid w:val="00764635"/>
    <w:rsid w:val="00765358"/>
    <w:rsid w:val="00767415"/>
    <w:rsid w:val="0077076D"/>
    <w:rsid w:val="00771E2E"/>
    <w:rsid w:val="007728E4"/>
    <w:rsid w:val="00772AE9"/>
    <w:rsid w:val="00773D1F"/>
    <w:rsid w:val="007747B2"/>
    <w:rsid w:val="00774F20"/>
    <w:rsid w:val="00776A5F"/>
    <w:rsid w:val="00777BFD"/>
    <w:rsid w:val="00780249"/>
    <w:rsid w:val="007804E8"/>
    <w:rsid w:val="00782C2C"/>
    <w:rsid w:val="00783ADE"/>
    <w:rsid w:val="00783D28"/>
    <w:rsid w:val="00783F73"/>
    <w:rsid w:val="00785A20"/>
    <w:rsid w:val="007862D4"/>
    <w:rsid w:val="007873D8"/>
    <w:rsid w:val="00787AB2"/>
    <w:rsid w:val="0079083D"/>
    <w:rsid w:val="007925B5"/>
    <w:rsid w:val="007927AA"/>
    <w:rsid w:val="00793AB6"/>
    <w:rsid w:val="0079456E"/>
    <w:rsid w:val="00794719"/>
    <w:rsid w:val="00796B1B"/>
    <w:rsid w:val="007A3678"/>
    <w:rsid w:val="007A724C"/>
    <w:rsid w:val="007A7727"/>
    <w:rsid w:val="007B2276"/>
    <w:rsid w:val="007B2C25"/>
    <w:rsid w:val="007B351B"/>
    <w:rsid w:val="007B497A"/>
    <w:rsid w:val="007B4BE9"/>
    <w:rsid w:val="007C4069"/>
    <w:rsid w:val="007C6592"/>
    <w:rsid w:val="007C6836"/>
    <w:rsid w:val="007D09EB"/>
    <w:rsid w:val="007D2873"/>
    <w:rsid w:val="007D29E1"/>
    <w:rsid w:val="007D5AD2"/>
    <w:rsid w:val="007D65D8"/>
    <w:rsid w:val="007D6B0D"/>
    <w:rsid w:val="007D6E99"/>
    <w:rsid w:val="007E0272"/>
    <w:rsid w:val="007E0DD6"/>
    <w:rsid w:val="007E28C8"/>
    <w:rsid w:val="007E6460"/>
    <w:rsid w:val="007E6F80"/>
    <w:rsid w:val="007E7149"/>
    <w:rsid w:val="007F1635"/>
    <w:rsid w:val="007F18C3"/>
    <w:rsid w:val="007F220B"/>
    <w:rsid w:val="007F25C9"/>
    <w:rsid w:val="007F28E4"/>
    <w:rsid w:val="007F363E"/>
    <w:rsid w:val="007F4164"/>
    <w:rsid w:val="007F6601"/>
    <w:rsid w:val="007F7B55"/>
    <w:rsid w:val="00800042"/>
    <w:rsid w:val="00800EB3"/>
    <w:rsid w:val="0080195D"/>
    <w:rsid w:val="0080572F"/>
    <w:rsid w:val="00805C1F"/>
    <w:rsid w:val="008076E0"/>
    <w:rsid w:val="008077AF"/>
    <w:rsid w:val="008109D9"/>
    <w:rsid w:val="0081109D"/>
    <w:rsid w:val="00811E2D"/>
    <w:rsid w:val="00813E4A"/>
    <w:rsid w:val="00814340"/>
    <w:rsid w:val="0081450C"/>
    <w:rsid w:val="0081573E"/>
    <w:rsid w:val="00816387"/>
    <w:rsid w:val="00816891"/>
    <w:rsid w:val="00816E58"/>
    <w:rsid w:val="00817627"/>
    <w:rsid w:val="008233D5"/>
    <w:rsid w:val="00824679"/>
    <w:rsid w:val="0082529A"/>
    <w:rsid w:val="00825CA3"/>
    <w:rsid w:val="00826408"/>
    <w:rsid w:val="008264C0"/>
    <w:rsid w:val="00826B5E"/>
    <w:rsid w:val="008277EF"/>
    <w:rsid w:val="00830213"/>
    <w:rsid w:val="0083129A"/>
    <w:rsid w:val="00831A6E"/>
    <w:rsid w:val="00832A33"/>
    <w:rsid w:val="00834941"/>
    <w:rsid w:val="0083571E"/>
    <w:rsid w:val="0083575E"/>
    <w:rsid w:val="00835E97"/>
    <w:rsid w:val="008366F8"/>
    <w:rsid w:val="008423ED"/>
    <w:rsid w:val="0084554F"/>
    <w:rsid w:val="00845CDD"/>
    <w:rsid w:val="00845FD3"/>
    <w:rsid w:val="00846BFF"/>
    <w:rsid w:val="00847722"/>
    <w:rsid w:val="008519D8"/>
    <w:rsid w:val="008519FB"/>
    <w:rsid w:val="00852192"/>
    <w:rsid w:val="00853AD7"/>
    <w:rsid w:val="00855814"/>
    <w:rsid w:val="00857005"/>
    <w:rsid w:val="00860235"/>
    <w:rsid w:val="008608E4"/>
    <w:rsid w:val="00863363"/>
    <w:rsid w:val="008729A4"/>
    <w:rsid w:val="008737FC"/>
    <w:rsid w:val="008739B4"/>
    <w:rsid w:val="0087408D"/>
    <w:rsid w:val="008756D7"/>
    <w:rsid w:val="00875A61"/>
    <w:rsid w:val="00876138"/>
    <w:rsid w:val="0088181A"/>
    <w:rsid w:val="00882468"/>
    <w:rsid w:val="00882659"/>
    <w:rsid w:val="008844B9"/>
    <w:rsid w:val="008857EA"/>
    <w:rsid w:val="00886605"/>
    <w:rsid w:val="00890E3E"/>
    <w:rsid w:val="008964EC"/>
    <w:rsid w:val="0089790D"/>
    <w:rsid w:val="008A1E68"/>
    <w:rsid w:val="008A2E57"/>
    <w:rsid w:val="008A4D2B"/>
    <w:rsid w:val="008A7361"/>
    <w:rsid w:val="008B101A"/>
    <w:rsid w:val="008B1C20"/>
    <w:rsid w:val="008B25E2"/>
    <w:rsid w:val="008C017A"/>
    <w:rsid w:val="008C0EDE"/>
    <w:rsid w:val="008C2475"/>
    <w:rsid w:val="008C2599"/>
    <w:rsid w:val="008C5238"/>
    <w:rsid w:val="008C5966"/>
    <w:rsid w:val="008D0BF1"/>
    <w:rsid w:val="008D3AB3"/>
    <w:rsid w:val="008D4753"/>
    <w:rsid w:val="008D6DB0"/>
    <w:rsid w:val="008D78F4"/>
    <w:rsid w:val="008E1238"/>
    <w:rsid w:val="008E13B5"/>
    <w:rsid w:val="008E2D51"/>
    <w:rsid w:val="008E32A7"/>
    <w:rsid w:val="008E3646"/>
    <w:rsid w:val="008E5D09"/>
    <w:rsid w:val="008F07F6"/>
    <w:rsid w:val="008F09C6"/>
    <w:rsid w:val="008F2229"/>
    <w:rsid w:val="008F2F0B"/>
    <w:rsid w:val="008F387B"/>
    <w:rsid w:val="008F39EA"/>
    <w:rsid w:val="008F4499"/>
    <w:rsid w:val="008F514C"/>
    <w:rsid w:val="008F5FA5"/>
    <w:rsid w:val="008F7687"/>
    <w:rsid w:val="00901288"/>
    <w:rsid w:val="00901C2E"/>
    <w:rsid w:val="00907276"/>
    <w:rsid w:val="009100C3"/>
    <w:rsid w:val="00910F0B"/>
    <w:rsid w:val="00911787"/>
    <w:rsid w:val="00914963"/>
    <w:rsid w:val="00916738"/>
    <w:rsid w:val="00916BB2"/>
    <w:rsid w:val="00916EB9"/>
    <w:rsid w:val="0091707A"/>
    <w:rsid w:val="00917277"/>
    <w:rsid w:val="00917A9C"/>
    <w:rsid w:val="009235DA"/>
    <w:rsid w:val="00924246"/>
    <w:rsid w:val="00925F3E"/>
    <w:rsid w:val="00926D30"/>
    <w:rsid w:val="00927E83"/>
    <w:rsid w:val="00932B4C"/>
    <w:rsid w:val="00932FD0"/>
    <w:rsid w:val="00933F9C"/>
    <w:rsid w:val="00935339"/>
    <w:rsid w:val="009354F1"/>
    <w:rsid w:val="00936D9E"/>
    <w:rsid w:val="00936DE9"/>
    <w:rsid w:val="00941D72"/>
    <w:rsid w:val="00943D90"/>
    <w:rsid w:val="00944A25"/>
    <w:rsid w:val="00944B3C"/>
    <w:rsid w:val="00946A91"/>
    <w:rsid w:val="009509B4"/>
    <w:rsid w:val="00950E5C"/>
    <w:rsid w:val="00952221"/>
    <w:rsid w:val="00952EDA"/>
    <w:rsid w:val="00953AC3"/>
    <w:rsid w:val="00955874"/>
    <w:rsid w:val="00955DF5"/>
    <w:rsid w:val="0096091C"/>
    <w:rsid w:val="00961352"/>
    <w:rsid w:val="009622B2"/>
    <w:rsid w:val="00962B45"/>
    <w:rsid w:val="00964452"/>
    <w:rsid w:val="009706A9"/>
    <w:rsid w:val="0097106B"/>
    <w:rsid w:val="0097114E"/>
    <w:rsid w:val="00973130"/>
    <w:rsid w:val="009736F0"/>
    <w:rsid w:val="00974425"/>
    <w:rsid w:val="00974E8D"/>
    <w:rsid w:val="0097618C"/>
    <w:rsid w:val="009777DE"/>
    <w:rsid w:val="009779C5"/>
    <w:rsid w:val="00981875"/>
    <w:rsid w:val="00982CCF"/>
    <w:rsid w:val="009850D8"/>
    <w:rsid w:val="009906D4"/>
    <w:rsid w:val="009917C1"/>
    <w:rsid w:val="00992EA9"/>
    <w:rsid w:val="009936ED"/>
    <w:rsid w:val="00994220"/>
    <w:rsid w:val="00996C7A"/>
    <w:rsid w:val="0099706B"/>
    <w:rsid w:val="009A2510"/>
    <w:rsid w:val="009A3D13"/>
    <w:rsid w:val="009A4CB4"/>
    <w:rsid w:val="009A4CD1"/>
    <w:rsid w:val="009B05A7"/>
    <w:rsid w:val="009B1478"/>
    <w:rsid w:val="009B3964"/>
    <w:rsid w:val="009B3B86"/>
    <w:rsid w:val="009B6633"/>
    <w:rsid w:val="009C0082"/>
    <w:rsid w:val="009C25C3"/>
    <w:rsid w:val="009C25E2"/>
    <w:rsid w:val="009C7582"/>
    <w:rsid w:val="009D10AB"/>
    <w:rsid w:val="009D1A8D"/>
    <w:rsid w:val="009D2E98"/>
    <w:rsid w:val="009D3CB4"/>
    <w:rsid w:val="009D3DF3"/>
    <w:rsid w:val="009D4776"/>
    <w:rsid w:val="009D5269"/>
    <w:rsid w:val="009D53F8"/>
    <w:rsid w:val="009D586E"/>
    <w:rsid w:val="009D6CDF"/>
    <w:rsid w:val="009E0129"/>
    <w:rsid w:val="009E09C7"/>
    <w:rsid w:val="009E17A0"/>
    <w:rsid w:val="009E22BF"/>
    <w:rsid w:val="009E2CEA"/>
    <w:rsid w:val="009E3C47"/>
    <w:rsid w:val="009E7280"/>
    <w:rsid w:val="009E79B9"/>
    <w:rsid w:val="009F119C"/>
    <w:rsid w:val="009F380F"/>
    <w:rsid w:val="009F617E"/>
    <w:rsid w:val="009F622B"/>
    <w:rsid w:val="009F7AAA"/>
    <w:rsid w:val="00A00805"/>
    <w:rsid w:val="00A01BA6"/>
    <w:rsid w:val="00A03DCD"/>
    <w:rsid w:val="00A04273"/>
    <w:rsid w:val="00A058AC"/>
    <w:rsid w:val="00A1142D"/>
    <w:rsid w:val="00A11469"/>
    <w:rsid w:val="00A11E78"/>
    <w:rsid w:val="00A11F45"/>
    <w:rsid w:val="00A12625"/>
    <w:rsid w:val="00A1416E"/>
    <w:rsid w:val="00A142A5"/>
    <w:rsid w:val="00A14E38"/>
    <w:rsid w:val="00A1633A"/>
    <w:rsid w:val="00A2247F"/>
    <w:rsid w:val="00A226BF"/>
    <w:rsid w:val="00A23936"/>
    <w:rsid w:val="00A25565"/>
    <w:rsid w:val="00A25B29"/>
    <w:rsid w:val="00A27AF0"/>
    <w:rsid w:val="00A318E9"/>
    <w:rsid w:val="00A351EF"/>
    <w:rsid w:val="00A35986"/>
    <w:rsid w:val="00A35EA5"/>
    <w:rsid w:val="00A4071A"/>
    <w:rsid w:val="00A40BFC"/>
    <w:rsid w:val="00A41B1D"/>
    <w:rsid w:val="00A4306D"/>
    <w:rsid w:val="00A44CA7"/>
    <w:rsid w:val="00A44E7E"/>
    <w:rsid w:val="00A45239"/>
    <w:rsid w:val="00A47367"/>
    <w:rsid w:val="00A50714"/>
    <w:rsid w:val="00A5297A"/>
    <w:rsid w:val="00A54A19"/>
    <w:rsid w:val="00A60A64"/>
    <w:rsid w:val="00A65016"/>
    <w:rsid w:val="00A65944"/>
    <w:rsid w:val="00A671C2"/>
    <w:rsid w:val="00A7008C"/>
    <w:rsid w:val="00A7162B"/>
    <w:rsid w:val="00A75E28"/>
    <w:rsid w:val="00A77339"/>
    <w:rsid w:val="00A77FED"/>
    <w:rsid w:val="00A80B50"/>
    <w:rsid w:val="00A8107F"/>
    <w:rsid w:val="00A849F4"/>
    <w:rsid w:val="00A84E2B"/>
    <w:rsid w:val="00A917B8"/>
    <w:rsid w:val="00A924C7"/>
    <w:rsid w:val="00A969AC"/>
    <w:rsid w:val="00A97632"/>
    <w:rsid w:val="00AA0748"/>
    <w:rsid w:val="00AA1111"/>
    <w:rsid w:val="00AA367E"/>
    <w:rsid w:val="00AA4F00"/>
    <w:rsid w:val="00AA5132"/>
    <w:rsid w:val="00AA6E53"/>
    <w:rsid w:val="00AA7473"/>
    <w:rsid w:val="00AB1758"/>
    <w:rsid w:val="00AB1D97"/>
    <w:rsid w:val="00AB2A10"/>
    <w:rsid w:val="00AB349E"/>
    <w:rsid w:val="00AB518E"/>
    <w:rsid w:val="00AB6058"/>
    <w:rsid w:val="00AB6250"/>
    <w:rsid w:val="00AB6969"/>
    <w:rsid w:val="00AB6C67"/>
    <w:rsid w:val="00AB6CD5"/>
    <w:rsid w:val="00AB6F17"/>
    <w:rsid w:val="00AC4FC5"/>
    <w:rsid w:val="00AD06A1"/>
    <w:rsid w:val="00AD2280"/>
    <w:rsid w:val="00AD2EE2"/>
    <w:rsid w:val="00AD632B"/>
    <w:rsid w:val="00AD7943"/>
    <w:rsid w:val="00AD79DA"/>
    <w:rsid w:val="00AE1DAC"/>
    <w:rsid w:val="00AE1F14"/>
    <w:rsid w:val="00AE2A84"/>
    <w:rsid w:val="00AE2B52"/>
    <w:rsid w:val="00AE2FED"/>
    <w:rsid w:val="00AE3001"/>
    <w:rsid w:val="00AE3CC9"/>
    <w:rsid w:val="00AE5132"/>
    <w:rsid w:val="00AE6A0F"/>
    <w:rsid w:val="00AE78E0"/>
    <w:rsid w:val="00AF0A71"/>
    <w:rsid w:val="00AF0E0A"/>
    <w:rsid w:val="00AF1E2A"/>
    <w:rsid w:val="00AF2DAE"/>
    <w:rsid w:val="00AF3C67"/>
    <w:rsid w:val="00AF579D"/>
    <w:rsid w:val="00B00441"/>
    <w:rsid w:val="00B022FF"/>
    <w:rsid w:val="00B0266C"/>
    <w:rsid w:val="00B02DC0"/>
    <w:rsid w:val="00B05865"/>
    <w:rsid w:val="00B068AC"/>
    <w:rsid w:val="00B06B7E"/>
    <w:rsid w:val="00B078EA"/>
    <w:rsid w:val="00B102B8"/>
    <w:rsid w:val="00B14240"/>
    <w:rsid w:val="00B14CE3"/>
    <w:rsid w:val="00B150EC"/>
    <w:rsid w:val="00B16EFB"/>
    <w:rsid w:val="00B220B4"/>
    <w:rsid w:val="00B222C8"/>
    <w:rsid w:val="00B226DC"/>
    <w:rsid w:val="00B22E9B"/>
    <w:rsid w:val="00B232AC"/>
    <w:rsid w:val="00B24079"/>
    <w:rsid w:val="00B24634"/>
    <w:rsid w:val="00B25A42"/>
    <w:rsid w:val="00B25FC3"/>
    <w:rsid w:val="00B27582"/>
    <w:rsid w:val="00B27E0F"/>
    <w:rsid w:val="00B30299"/>
    <w:rsid w:val="00B3206E"/>
    <w:rsid w:val="00B36421"/>
    <w:rsid w:val="00B377CB"/>
    <w:rsid w:val="00B37F61"/>
    <w:rsid w:val="00B40632"/>
    <w:rsid w:val="00B4486A"/>
    <w:rsid w:val="00B465BA"/>
    <w:rsid w:val="00B46A91"/>
    <w:rsid w:val="00B46AB6"/>
    <w:rsid w:val="00B47C29"/>
    <w:rsid w:val="00B5260D"/>
    <w:rsid w:val="00B53E25"/>
    <w:rsid w:val="00B548C3"/>
    <w:rsid w:val="00B55185"/>
    <w:rsid w:val="00B56385"/>
    <w:rsid w:val="00B60888"/>
    <w:rsid w:val="00B66C37"/>
    <w:rsid w:val="00B6796A"/>
    <w:rsid w:val="00B7089D"/>
    <w:rsid w:val="00B71236"/>
    <w:rsid w:val="00B7145D"/>
    <w:rsid w:val="00B716D8"/>
    <w:rsid w:val="00B718D4"/>
    <w:rsid w:val="00B7197E"/>
    <w:rsid w:val="00B722FA"/>
    <w:rsid w:val="00B74632"/>
    <w:rsid w:val="00B75AFB"/>
    <w:rsid w:val="00B76F5B"/>
    <w:rsid w:val="00B77942"/>
    <w:rsid w:val="00B80064"/>
    <w:rsid w:val="00B80FF8"/>
    <w:rsid w:val="00B81434"/>
    <w:rsid w:val="00B832F0"/>
    <w:rsid w:val="00B83654"/>
    <w:rsid w:val="00B84F42"/>
    <w:rsid w:val="00B878B7"/>
    <w:rsid w:val="00B87E5C"/>
    <w:rsid w:val="00B9026D"/>
    <w:rsid w:val="00B90485"/>
    <w:rsid w:val="00B9124B"/>
    <w:rsid w:val="00B91FEB"/>
    <w:rsid w:val="00B95540"/>
    <w:rsid w:val="00BA3E1D"/>
    <w:rsid w:val="00BA4D5C"/>
    <w:rsid w:val="00BA4ED9"/>
    <w:rsid w:val="00BA5BA5"/>
    <w:rsid w:val="00BA5F1A"/>
    <w:rsid w:val="00BA6BE0"/>
    <w:rsid w:val="00BA6F48"/>
    <w:rsid w:val="00BB0812"/>
    <w:rsid w:val="00BB0E80"/>
    <w:rsid w:val="00BB16A0"/>
    <w:rsid w:val="00BB1FE1"/>
    <w:rsid w:val="00BB230E"/>
    <w:rsid w:val="00BB2D5C"/>
    <w:rsid w:val="00BB3325"/>
    <w:rsid w:val="00BB36DB"/>
    <w:rsid w:val="00BB39BA"/>
    <w:rsid w:val="00BB3D0D"/>
    <w:rsid w:val="00BB3E16"/>
    <w:rsid w:val="00BB443A"/>
    <w:rsid w:val="00BB471D"/>
    <w:rsid w:val="00BB5E3D"/>
    <w:rsid w:val="00BB6295"/>
    <w:rsid w:val="00BB707C"/>
    <w:rsid w:val="00BB7D4E"/>
    <w:rsid w:val="00BC18DF"/>
    <w:rsid w:val="00BC2ED3"/>
    <w:rsid w:val="00BC3D02"/>
    <w:rsid w:val="00BC4928"/>
    <w:rsid w:val="00BC673D"/>
    <w:rsid w:val="00BC7011"/>
    <w:rsid w:val="00BD0033"/>
    <w:rsid w:val="00BD42F6"/>
    <w:rsid w:val="00BD4C0F"/>
    <w:rsid w:val="00BD5BDF"/>
    <w:rsid w:val="00BD673C"/>
    <w:rsid w:val="00BD6CB5"/>
    <w:rsid w:val="00BD6F15"/>
    <w:rsid w:val="00BE12EE"/>
    <w:rsid w:val="00BE5FE6"/>
    <w:rsid w:val="00BE61BB"/>
    <w:rsid w:val="00BE716D"/>
    <w:rsid w:val="00BF2D2F"/>
    <w:rsid w:val="00BF2D99"/>
    <w:rsid w:val="00BF462C"/>
    <w:rsid w:val="00BF553C"/>
    <w:rsid w:val="00BF64B4"/>
    <w:rsid w:val="00C00AED"/>
    <w:rsid w:val="00C01833"/>
    <w:rsid w:val="00C03403"/>
    <w:rsid w:val="00C048F9"/>
    <w:rsid w:val="00C04FDC"/>
    <w:rsid w:val="00C05FE1"/>
    <w:rsid w:val="00C068DF"/>
    <w:rsid w:val="00C07D39"/>
    <w:rsid w:val="00C10675"/>
    <w:rsid w:val="00C10E6C"/>
    <w:rsid w:val="00C12CAB"/>
    <w:rsid w:val="00C12E1B"/>
    <w:rsid w:val="00C1420C"/>
    <w:rsid w:val="00C15BD0"/>
    <w:rsid w:val="00C177F5"/>
    <w:rsid w:val="00C20047"/>
    <w:rsid w:val="00C2122E"/>
    <w:rsid w:val="00C21FF2"/>
    <w:rsid w:val="00C2544E"/>
    <w:rsid w:val="00C25690"/>
    <w:rsid w:val="00C267C5"/>
    <w:rsid w:val="00C26B78"/>
    <w:rsid w:val="00C26BA9"/>
    <w:rsid w:val="00C26EDA"/>
    <w:rsid w:val="00C30075"/>
    <w:rsid w:val="00C305DC"/>
    <w:rsid w:val="00C31032"/>
    <w:rsid w:val="00C31C4A"/>
    <w:rsid w:val="00C3303F"/>
    <w:rsid w:val="00C33BDB"/>
    <w:rsid w:val="00C3613F"/>
    <w:rsid w:val="00C37777"/>
    <w:rsid w:val="00C37F9D"/>
    <w:rsid w:val="00C41813"/>
    <w:rsid w:val="00C43C7A"/>
    <w:rsid w:val="00C45C29"/>
    <w:rsid w:val="00C46ADA"/>
    <w:rsid w:val="00C477C1"/>
    <w:rsid w:val="00C47E28"/>
    <w:rsid w:val="00C47F3B"/>
    <w:rsid w:val="00C500EF"/>
    <w:rsid w:val="00C523F3"/>
    <w:rsid w:val="00C52E39"/>
    <w:rsid w:val="00C53083"/>
    <w:rsid w:val="00C53AD6"/>
    <w:rsid w:val="00C57DD6"/>
    <w:rsid w:val="00C61EDE"/>
    <w:rsid w:val="00C65BBC"/>
    <w:rsid w:val="00C65D9A"/>
    <w:rsid w:val="00C67540"/>
    <w:rsid w:val="00C715C7"/>
    <w:rsid w:val="00C74C63"/>
    <w:rsid w:val="00C760B7"/>
    <w:rsid w:val="00C7630C"/>
    <w:rsid w:val="00C8561E"/>
    <w:rsid w:val="00C85E4E"/>
    <w:rsid w:val="00C877B2"/>
    <w:rsid w:val="00C87BE3"/>
    <w:rsid w:val="00C92134"/>
    <w:rsid w:val="00C92596"/>
    <w:rsid w:val="00C93267"/>
    <w:rsid w:val="00C97C1D"/>
    <w:rsid w:val="00CA1040"/>
    <w:rsid w:val="00CA24FB"/>
    <w:rsid w:val="00CA2637"/>
    <w:rsid w:val="00CA3F5B"/>
    <w:rsid w:val="00CA66F4"/>
    <w:rsid w:val="00CA69E6"/>
    <w:rsid w:val="00CA6DA7"/>
    <w:rsid w:val="00CB0D3E"/>
    <w:rsid w:val="00CB1090"/>
    <w:rsid w:val="00CB2346"/>
    <w:rsid w:val="00CB32A7"/>
    <w:rsid w:val="00CB7257"/>
    <w:rsid w:val="00CC083B"/>
    <w:rsid w:val="00CC2804"/>
    <w:rsid w:val="00CC2942"/>
    <w:rsid w:val="00CC2A9C"/>
    <w:rsid w:val="00CC381F"/>
    <w:rsid w:val="00CC48DD"/>
    <w:rsid w:val="00CC4FCE"/>
    <w:rsid w:val="00CC5887"/>
    <w:rsid w:val="00CC5C82"/>
    <w:rsid w:val="00CC6D70"/>
    <w:rsid w:val="00CC7167"/>
    <w:rsid w:val="00CD1704"/>
    <w:rsid w:val="00CD2ACA"/>
    <w:rsid w:val="00CD2BAE"/>
    <w:rsid w:val="00CD31F5"/>
    <w:rsid w:val="00CD3431"/>
    <w:rsid w:val="00CD4903"/>
    <w:rsid w:val="00CD5EDF"/>
    <w:rsid w:val="00CD601F"/>
    <w:rsid w:val="00CD6338"/>
    <w:rsid w:val="00CD7D1E"/>
    <w:rsid w:val="00CE16D2"/>
    <w:rsid w:val="00CE20FB"/>
    <w:rsid w:val="00CE3501"/>
    <w:rsid w:val="00CE3F3B"/>
    <w:rsid w:val="00CE4400"/>
    <w:rsid w:val="00CE4BB6"/>
    <w:rsid w:val="00CE5098"/>
    <w:rsid w:val="00CE724D"/>
    <w:rsid w:val="00CF1981"/>
    <w:rsid w:val="00CF1CAE"/>
    <w:rsid w:val="00CF4339"/>
    <w:rsid w:val="00CF517F"/>
    <w:rsid w:val="00CF53F1"/>
    <w:rsid w:val="00CF54EF"/>
    <w:rsid w:val="00CF557E"/>
    <w:rsid w:val="00CF6023"/>
    <w:rsid w:val="00D02423"/>
    <w:rsid w:val="00D04185"/>
    <w:rsid w:val="00D05EE5"/>
    <w:rsid w:val="00D06FC2"/>
    <w:rsid w:val="00D1049A"/>
    <w:rsid w:val="00D108BA"/>
    <w:rsid w:val="00D12B7B"/>
    <w:rsid w:val="00D12E98"/>
    <w:rsid w:val="00D14355"/>
    <w:rsid w:val="00D1594D"/>
    <w:rsid w:val="00D16683"/>
    <w:rsid w:val="00D16D2B"/>
    <w:rsid w:val="00D16DDC"/>
    <w:rsid w:val="00D16ED4"/>
    <w:rsid w:val="00D1726A"/>
    <w:rsid w:val="00D2050F"/>
    <w:rsid w:val="00D20EE0"/>
    <w:rsid w:val="00D2175B"/>
    <w:rsid w:val="00D22549"/>
    <w:rsid w:val="00D22A19"/>
    <w:rsid w:val="00D23CCE"/>
    <w:rsid w:val="00D250DE"/>
    <w:rsid w:val="00D25CB9"/>
    <w:rsid w:val="00D25F41"/>
    <w:rsid w:val="00D25F71"/>
    <w:rsid w:val="00D30E13"/>
    <w:rsid w:val="00D3142C"/>
    <w:rsid w:val="00D354A3"/>
    <w:rsid w:val="00D35B23"/>
    <w:rsid w:val="00D36491"/>
    <w:rsid w:val="00D4062A"/>
    <w:rsid w:val="00D40BBA"/>
    <w:rsid w:val="00D41F26"/>
    <w:rsid w:val="00D425AE"/>
    <w:rsid w:val="00D43456"/>
    <w:rsid w:val="00D44089"/>
    <w:rsid w:val="00D472DD"/>
    <w:rsid w:val="00D50141"/>
    <w:rsid w:val="00D501C5"/>
    <w:rsid w:val="00D508DB"/>
    <w:rsid w:val="00D518A1"/>
    <w:rsid w:val="00D530BA"/>
    <w:rsid w:val="00D61619"/>
    <w:rsid w:val="00D61D74"/>
    <w:rsid w:val="00D636D4"/>
    <w:rsid w:val="00D64F9E"/>
    <w:rsid w:val="00D651D9"/>
    <w:rsid w:val="00D66234"/>
    <w:rsid w:val="00D66283"/>
    <w:rsid w:val="00D67A54"/>
    <w:rsid w:val="00D70BF6"/>
    <w:rsid w:val="00D7117E"/>
    <w:rsid w:val="00D72706"/>
    <w:rsid w:val="00D72BBA"/>
    <w:rsid w:val="00D72D49"/>
    <w:rsid w:val="00D73DA9"/>
    <w:rsid w:val="00D741DB"/>
    <w:rsid w:val="00D74CBE"/>
    <w:rsid w:val="00D75700"/>
    <w:rsid w:val="00D7711B"/>
    <w:rsid w:val="00D85082"/>
    <w:rsid w:val="00D85090"/>
    <w:rsid w:val="00D85921"/>
    <w:rsid w:val="00D862FB"/>
    <w:rsid w:val="00D902FD"/>
    <w:rsid w:val="00D914C0"/>
    <w:rsid w:val="00D91AB6"/>
    <w:rsid w:val="00D92F8F"/>
    <w:rsid w:val="00D94726"/>
    <w:rsid w:val="00D94786"/>
    <w:rsid w:val="00D94D68"/>
    <w:rsid w:val="00D97995"/>
    <w:rsid w:val="00DA10FA"/>
    <w:rsid w:val="00DA1140"/>
    <w:rsid w:val="00DA7321"/>
    <w:rsid w:val="00DB000C"/>
    <w:rsid w:val="00DB298A"/>
    <w:rsid w:val="00DB2B96"/>
    <w:rsid w:val="00DB4552"/>
    <w:rsid w:val="00DB5A79"/>
    <w:rsid w:val="00DB6A62"/>
    <w:rsid w:val="00DC3EA6"/>
    <w:rsid w:val="00DC6B5D"/>
    <w:rsid w:val="00DC7264"/>
    <w:rsid w:val="00DC7503"/>
    <w:rsid w:val="00DC7D04"/>
    <w:rsid w:val="00DD0C00"/>
    <w:rsid w:val="00DD4E7C"/>
    <w:rsid w:val="00DD50CA"/>
    <w:rsid w:val="00DD5DB1"/>
    <w:rsid w:val="00DD635F"/>
    <w:rsid w:val="00DD6BA7"/>
    <w:rsid w:val="00DE024E"/>
    <w:rsid w:val="00DE04C7"/>
    <w:rsid w:val="00DE2C80"/>
    <w:rsid w:val="00DE3FB0"/>
    <w:rsid w:val="00DE4490"/>
    <w:rsid w:val="00DE71FF"/>
    <w:rsid w:val="00DF1750"/>
    <w:rsid w:val="00DF296A"/>
    <w:rsid w:val="00DF2B16"/>
    <w:rsid w:val="00DF307C"/>
    <w:rsid w:val="00DF3519"/>
    <w:rsid w:val="00DF3BAB"/>
    <w:rsid w:val="00DF4AE2"/>
    <w:rsid w:val="00DF4B23"/>
    <w:rsid w:val="00E0235D"/>
    <w:rsid w:val="00E0255F"/>
    <w:rsid w:val="00E041CA"/>
    <w:rsid w:val="00E04478"/>
    <w:rsid w:val="00E04BF6"/>
    <w:rsid w:val="00E05914"/>
    <w:rsid w:val="00E05D8D"/>
    <w:rsid w:val="00E12CCF"/>
    <w:rsid w:val="00E145D5"/>
    <w:rsid w:val="00E17357"/>
    <w:rsid w:val="00E1787A"/>
    <w:rsid w:val="00E20693"/>
    <w:rsid w:val="00E20A77"/>
    <w:rsid w:val="00E21360"/>
    <w:rsid w:val="00E21D52"/>
    <w:rsid w:val="00E22863"/>
    <w:rsid w:val="00E24116"/>
    <w:rsid w:val="00E25091"/>
    <w:rsid w:val="00E254A6"/>
    <w:rsid w:val="00E26B40"/>
    <w:rsid w:val="00E270F4"/>
    <w:rsid w:val="00E30BD3"/>
    <w:rsid w:val="00E30DB3"/>
    <w:rsid w:val="00E33320"/>
    <w:rsid w:val="00E34627"/>
    <w:rsid w:val="00E3487E"/>
    <w:rsid w:val="00E3502A"/>
    <w:rsid w:val="00E350D9"/>
    <w:rsid w:val="00E441AF"/>
    <w:rsid w:val="00E46DF3"/>
    <w:rsid w:val="00E51265"/>
    <w:rsid w:val="00E51E45"/>
    <w:rsid w:val="00E523F2"/>
    <w:rsid w:val="00E52D56"/>
    <w:rsid w:val="00E545E2"/>
    <w:rsid w:val="00E54CAD"/>
    <w:rsid w:val="00E54D62"/>
    <w:rsid w:val="00E54EFD"/>
    <w:rsid w:val="00E55192"/>
    <w:rsid w:val="00E60C3D"/>
    <w:rsid w:val="00E614CD"/>
    <w:rsid w:val="00E615B3"/>
    <w:rsid w:val="00E615D9"/>
    <w:rsid w:val="00E642BB"/>
    <w:rsid w:val="00E703E8"/>
    <w:rsid w:val="00E705B1"/>
    <w:rsid w:val="00E7219E"/>
    <w:rsid w:val="00E76109"/>
    <w:rsid w:val="00E76246"/>
    <w:rsid w:val="00E76588"/>
    <w:rsid w:val="00E76D21"/>
    <w:rsid w:val="00E80290"/>
    <w:rsid w:val="00E846D0"/>
    <w:rsid w:val="00E847AF"/>
    <w:rsid w:val="00E84840"/>
    <w:rsid w:val="00E85E6B"/>
    <w:rsid w:val="00E8622F"/>
    <w:rsid w:val="00E86286"/>
    <w:rsid w:val="00E862B0"/>
    <w:rsid w:val="00E86BE3"/>
    <w:rsid w:val="00E87A2F"/>
    <w:rsid w:val="00E87EEC"/>
    <w:rsid w:val="00E91B10"/>
    <w:rsid w:val="00E91B39"/>
    <w:rsid w:val="00E920F5"/>
    <w:rsid w:val="00E928E2"/>
    <w:rsid w:val="00E94209"/>
    <w:rsid w:val="00E95853"/>
    <w:rsid w:val="00E95857"/>
    <w:rsid w:val="00EA22A8"/>
    <w:rsid w:val="00EA51BE"/>
    <w:rsid w:val="00EA6AC7"/>
    <w:rsid w:val="00EA71A9"/>
    <w:rsid w:val="00EA7C93"/>
    <w:rsid w:val="00EA7FE8"/>
    <w:rsid w:val="00EB15FE"/>
    <w:rsid w:val="00EB32DD"/>
    <w:rsid w:val="00EB4CB9"/>
    <w:rsid w:val="00EB55C1"/>
    <w:rsid w:val="00EB5812"/>
    <w:rsid w:val="00EB6541"/>
    <w:rsid w:val="00EC432D"/>
    <w:rsid w:val="00EC609D"/>
    <w:rsid w:val="00EC70A3"/>
    <w:rsid w:val="00EC742E"/>
    <w:rsid w:val="00ED04F7"/>
    <w:rsid w:val="00ED0CCF"/>
    <w:rsid w:val="00ED64C9"/>
    <w:rsid w:val="00ED7590"/>
    <w:rsid w:val="00ED796D"/>
    <w:rsid w:val="00EE105B"/>
    <w:rsid w:val="00EE2FE6"/>
    <w:rsid w:val="00EE464D"/>
    <w:rsid w:val="00EE4BCE"/>
    <w:rsid w:val="00EE72C5"/>
    <w:rsid w:val="00EE7CA8"/>
    <w:rsid w:val="00EF102C"/>
    <w:rsid w:val="00EF114D"/>
    <w:rsid w:val="00EF213D"/>
    <w:rsid w:val="00EF46E7"/>
    <w:rsid w:val="00EF5A27"/>
    <w:rsid w:val="00EF5DC2"/>
    <w:rsid w:val="00EF6735"/>
    <w:rsid w:val="00EF6AD9"/>
    <w:rsid w:val="00F01E2B"/>
    <w:rsid w:val="00F03835"/>
    <w:rsid w:val="00F04963"/>
    <w:rsid w:val="00F04A6B"/>
    <w:rsid w:val="00F04BDB"/>
    <w:rsid w:val="00F056F1"/>
    <w:rsid w:val="00F07BC1"/>
    <w:rsid w:val="00F12032"/>
    <w:rsid w:val="00F12FCC"/>
    <w:rsid w:val="00F12FF1"/>
    <w:rsid w:val="00F14913"/>
    <w:rsid w:val="00F1504B"/>
    <w:rsid w:val="00F1752E"/>
    <w:rsid w:val="00F17C23"/>
    <w:rsid w:val="00F17EA0"/>
    <w:rsid w:val="00F218DD"/>
    <w:rsid w:val="00F24351"/>
    <w:rsid w:val="00F246B1"/>
    <w:rsid w:val="00F248A3"/>
    <w:rsid w:val="00F24F98"/>
    <w:rsid w:val="00F25475"/>
    <w:rsid w:val="00F25515"/>
    <w:rsid w:val="00F2628B"/>
    <w:rsid w:val="00F273F2"/>
    <w:rsid w:val="00F27714"/>
    <w:rsid w:val="00F27DF1"/>
    <w:rsid w:val="00F30E27"/>
    <w:rsid w:val="00F31BE5"/>
    <w:rsid w:val="00F324D3"/>
    <w:rsid w:val="00F32689"/>
    <w:rsid w:val="00F3348B"/>
    <w:rsid w:val="00F36EEE"/>
    <w:rsid w:val="00F4281C"/>
    <w:rsid w:val="00F43999"/>
    <w:rsid w:val="00F43A91"/>
    <w:rsid w:val="00F44837"/>
    <w:rsid w:val="00F4558B"/>
    <w:rsid w:val="00F50AAF"/>
    <w:rsid w:val="00F50DE9"/>
    <w:rsid w:val="00F5149D"/>
    <w:rsid w:val="00F53261"/>
    <w:rsid w:val="00F54586"/>
    <w:rsid w:val="00F560E2"/>
    <w:rsid w:val="00F5664E"/>
    <w:rsid w:val="00F5669B"/>
    <w:rsid w:val="00F56ED7"/>
    <w:rsid w:val="00F6079F"/>
    <w:rsid w:val="00F64D3B"/>
    <w:rsid w:val="00F66F36"/>
    <w:rsid w:val="00F700E3"/>
    <w:rsid w:val="00F707D6"/>
    <w:rsid w:val="00F70CB1"/>
    <w:rsid w:val="00F717F2"/>
    <w:rsid w:val="00F718EE"/>
    <w:rsid w:val="00F7283E"/>
    <w:rsid w:val="00F72A37"/>
    <w:rsid w:val="00F72FC8"/>
    <w:rsid w:val="00F74182"/>
    <w:rsid w:val="00F76259"/>
    <w:rsid w:val="00F76468"/>
    <w:rsid w:val="00F76972"/>
    <w:rsid w:val="00F827C4"/>
    <w:rsid w:val="00F84BD6"/>
    <w:rsid w:val="00F8510C"/>
    <w:rsid w:val="00F859B9"/>
    <w:rsid w:val="00F86CBA"/>
    <w:rsid w:val="00F87860"/>
    <w:rsid w:val="00F913B6"/>
    <w:rsid w:val="00F93407"/>
    <w:rsid w:val="00F93C90"/>
    <w:rsid w:val="00F94396"/>
    <w:rsid w:val="00F954AC"/>
    <w:rsid w:val="00F95BC9"/>
    <w:rsid w:val="00FA034E"/>
    <w:rsid w:val="00FA0473"/>
    <w:rsid w:val="00FA65A8"/>
    <w:rsid w:val="00FA6777"/>
    <w:rsid w:val="00FA735E"/>
    <w:rsid w:val="00FB3FB4"/>
    <w:rsid w:val="00FB4B54"/>
    <w:rsid w:val="00FB7431"/>
    <w:rsid w:val="00FB7982"/>
    <w:rsid w:val="00FC1C73"/>
    <w:rsid w:val="00FC2B67"/>
    <w:rsid w:val="00FC5C62"/>
    <w:rsid w:val="00FD1DC8"/>
    <w:rsid w:val="00FD1F00"/>
    <w:rsid w:val="00FD4463"/>
    <w:rsid w:val="00FD51C9"/>
    <w:rsid w:val="00FE1CE9"/>
    <w:rsid w:val="00FE1DF9"/>
    <w:rsid w:val="00FE2759"/>
    <w:rsid w:val="00FE39E9"/>
    <w:rsid w:val="00FE4B01"/>
    <w:rsid w:val="00FE5790"/>
    <w:rsid w:val="00FE67EF"/>
    <w:rsid w:val="00FE687E"/>
    <w:rsid w:val="00FF08E3"/>
    <w:rsid w:val="00FF0C0A"/>
    <w:rsid w:val="00FF1B1D"/>
    <w:rsid w:val="00FF3928"/>
    <w:rsid w:val="00FF6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D82C1"/>
  <w15:chartTrackingRefBased/>
  <w15:docId w15:val="{6FB04112-D9D2-1A44-B28B-DE2EBFFFC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NR 12 point single"/>
    <w:qFormat/>
    <w:rsid w:val="00314529"/>
    <w:pPr>
      <w:autoSpaceDE w:val="0"/>
      <w:autoSpaceDN w:val="0"/>
      <w:adjustRightInd w:val="0"/>
    </w:pPr>
    <w:rPr>
      <w:rFonts w:ascii="NNFPLJ+TimesNewRoman" w:hAnsi="NNFPLJ+TimesNewRoman"/>
      <w:sz w:val="24"/>
      <w:szCs w:val="24"/>
    </w:rPr>
  </w:style>
  <w:style w:type="paragraph" w:styleId="Heading1">
    <w:name w:val="heading 1"/>
    <w:basedOn w:val="Normal"/>
    <w:next w:val="Normal"/>
    <w:link w:val="Heading1Char"/>
    <w:qFormat/>
    <w:rsid w:val="00275322"/>
    <w:pPr>
      <w:keepNext/>
      <w:spacing w:before="240" w:after="60"/>
      <w:outlineLvl w:val="0"/>
    </w:pPr>
    <w:rPr>
      <w:rFonts w:ascii="Cambria" w:eastAsia="MS Gothic" w:hAnsi="Cambria"/>
      <w:b/>
      <w:bCs/>
      <w:kern w:val="32"/>
      <w:sz w:val="32"/>
      <w:szCs w:val="32"/>
    </w:rPr>
  </w:style>
  <w:style w:type="paragraph" w:styleId="Heading2">
    <w:name w:val="heading 2"/>
    <w:basedOn w:val="Normal"/>
    <w:next w:val="Normal"/>
    <w:link w:val="Heading2Char"/>
    <w:semiHidden/>
    <w:unhideWhenUsed/>
    <w:qFormat/>
    <w:rsid w:val="000363C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275322"/>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0363CC"/>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semiHidden/>
    <w:unhideWhenUsed/>
    <w:qFormat/>
    <w:rsid w:val="000363CC"/>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semiHidden/>
    <w:unhideWhenUsed/>
    <w:qFormat/>
    <w:rsid w:val="000363C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0363C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0363C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0363C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75322"/>
    <w:rPr>
      <w:rFonts w:ascii="Cambria" w:eastAsia="MS Gothic" w:hAnsi="Cambria"/>
      <w:b/>
      <w:bCs/>
      <w:kern w:val="32"/>
      <w:sz w:val="32"/>
      <w:szCs w:val="32"/>
    </w:rPr>
  </w:style>
  <w:style w:type="character" w:customStyle="1" w:styleId="Heading3Char">
    <w:name w:val="Heading 3 Char"/>
    <w:basedOn w:val="DefaultParagraphFont"/>
    <w:link w:val="Heading3"/>
    <w:rsid w:val="00275322"/>
    <w:rPr>
      <w:rFonts w:ascii="Arial" w:hAnsi="Arial" w:cs="Arial"/>
      <w:b/>
      <w:bCs/>
      <w:sz w:val="26"/>
      <w:szCs w:val="26"/>
    </w:rPr>
  </w:style>
  <w:style w:type="paragraph" w:styleId="ListParagraph">
    <w:name w:val="List Paragraph"/>
    <w:basedOn w:val="Normal"/>
    <w:uiPriority w:val="34"/>
    <w:qFormat/>
    <w:rsid w:val="00275322"/>
    <w:pPr>
      <w:ind w:left="720"/>
      <w:contextualSpacing/>
    </w:pPr>
  </w:style>
  <w:style w:type="character" w:customStyle="1" w:styleId="Heading2Char">
    <w:name w:val="Heading 2 Char"/>
    <w:basedOn w:val="DefaultParagraphFont"/>
    <w:link w:val="Heading2"/>
    <w:semiHidden/>
    <w:rsid w:val="000363CC"/>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semiHidden/>
    <w:rsid w:val="000363CC"/>
    <w:rPr>
      <w:rFonts w:asciiTheme="minorHAnsi" w:eastAsiaTheme="majorEastAsia" w:hAnsiTheme="minorHAnsi" w:cstheme="majorBidi"/>
      <w:i/>
      <w:iCs/>
      <w:color w:val="365F91" w:themeColor="accent1" w:themeShade="BF"/>
      <w:sz w:val="24"/>
      <w:szCs w:val="24"/>
    </w:rPr>
  </w:style>
  <w:style w:type="character" w:customStyle="1" w:styleId="Heading5Char">
    <w:name w:val="Heading 5 Char"/>
    <w:basedOn w:val="DefaultParagraphFont"/>
    <w:link w:val="Heading5"/>
    <w:semiHidden/>
    <w:rsid w:val="000363CC"/>
    <w:rPr>
      <w:rFonts w:asciiTheme="minorHAnsi" w:eastAsiaTheme="majorEastAsia" w:hAnsiTheme="minorHAnsi" w:cstheme="majorBidi"/>
      <w:color w:val="365F91" w:themeColor="accent1" w:themeShade="BF"/>
      <w:sz w:val="24"/>
      <w:szCs w:val="24"/>
    </w:rPr>
  </w:style>
  <w:style w:type="character" w:customStyle="1" w:styleId="Heading6Char">
    <w:name w:val="Heading 6 Char"/>
    <w:basedOn w:val="DefaultParagraphFont"/>
    <w:link w:val="Heading6"/>
    <w:semiHidden/>
    <w:rsid w:val="000363CC"/>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semiHidden/>
    <w:rsid w:val="000363CC"/>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semiHidden/>
    <w:rsid w:val="000363CC"/>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semiHidden/>
    <w:rsid w:val="000363CC"/>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qFormat/>
    <w:rsid w:val="000363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36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0363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0363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63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63CC"/>
    <w:rPr>
      <w:rFonts w:ascii="NNFPLJ+TimesNewRoman" w:hAnsi="NNFPLJ+TimesNewRoman"/>
      <w:i/>
      <w:iCs/>
      <w:color w:val="404040" w:themeColor="text1" w:themeTint="BF"/>
      <w:sz w:val="24"/>
      <w:szCs w:val="24"/>
    </w:rPr>
  </w:style>
  <w:style w:type="character" w:styleId="IntenseEmphasis">
    <w:name w:val="Intense Emphasis"/>
    <w:basedOn w:val="DefaultParagraphFont"/>
    <w:uiPriority w:val="21"/>
    <w:qFormat/>
    <w:rsid w:val="000363CC"/>
    <w:rPr>
      <w:i/>
      <w:iCs/>
      <w:color w:val="365F91" w:themeColor="accent1" w:themeShade="BF"/>
    </w:rPr>
  </w:style>
  <w:style w:type="paragraph" w:styleId="IntenseQuote">
    <w:name w:val="Intense Quote"/>
    <w:basedOn w:val="Normal"/>
    <w:next w:val="Normal"/>
    <w:link w:val="IntenseQuoteChar"/>
    <w:uiPriority w:val="30"/>
    <w:qFormat/>
    <w:rsid w:val="000363C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63CC"/>
    <w:rPr>
      <w:rFonts w:ascii="NNFPLJ+TimesNewRoman" w:hAnsi="NNFPLJ+TimesNewRoman"/>
      <w:i/>
      <w:iCs/>
      <w:color w:val="365F91" w:themeColor="accent1" w:themeShade="BF"/>
      <w:sz w:val="24"/>
      <w:szCs w:val="24"/>
    </w:rPr>
  </w:style>
  <w:style w:type="character" w:styleId="IntenseReference">
    <w:name w:val="Intense Reference"/>
    <w:basedOn w:val="DefaultParagraphFont"/>
    <w:uiPriority w:val="32"/>
    <w:qFormat/>
    <w:rsid w:val="000363CC"/>
    <w:rPr>
      <w:b/>
      <w:bCs/>
      <w:smallCaps/>
      <w:color w:val="365F91" w:themeColor="accent1" w:themeShade="BF"/>
      <w:spacing w:val="5"/>
    </w:rPr>
  </w:style>
  <w:style w:type="paragraph" w:styleId="FootnoteText">
    <w:name w:val="footnote text"/>
    <w:basedOn w:val="Normal"/>
    <w:link w:val="FootnoteTextChar"/>
    <w:uiPriority w:val="99"/>
    <w:semiHidden/>
    <w:unhideWhenUsed/>
    <w:rsid w:val="001B3E67"/>
    <w:pPr>
      <w:autoSpaceDE/>
      <w:autoSpaceDN/>
      <w:adjustRightInd/>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1B3E67"/>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1B3E67"/>
    <w:rPr>
      <w:vertAlign w:val="superscript"/>
    </w:rPr>
  </w:style>
  <w:style w:type="character" w:styleId="CommentReference">
    <w:name w:val="annotation reference"/>
    <w:basedOn w:val="DefaultParagraphFont"/>
    <w:uiPriority w:val="99"/>
    <w:semiHidden/>
    <w:unhideWhenUsed/>
    <w:rsid w:val="001B3E67"/>
    <w:rPr>
      <w:sz w:val="16"/>
      <w:szCs w:val="16"/>
    </w:rPr>
  </w:style>
  <w:style w:type="paragraph" w:styleId="CommentText">
    <w:name w:val="annotation text"/>
    <w:basedOn w:val="Normal"/>
    <w:link w:val="CommentTextChar"/>
    <w:uiPriority w:val="99"/>
    <w:unhideWhenUsed/>
    <w:rsid w:val="001B3E67"/>
    <w:rPr>
      <w:sz w:val="20"/>
      <w:szCs w:val="20"/>
    </w:rPr>
  </w:style>
  <w:style w:type="character" w:customStyle="1" w:styleId="CommentTextChar">
    <w:name w:val="Comment Text Char"/>
    <w:basedOn w:val="DefaultParagraphFont"/>
    <w:link w:val="CommentText"/>
    <w:uiPriority w:val="99"/>
    <w:rsid w:val="001B3E67"/>
    <w:rPr>
      <w:rFonts w:ascii="NNFPLJ+TimesNewRoman" w:hAnsi="NNFPLJ+TimesNewRoman"/>
    </w:rPr>
  </w:style>
  <w:style w:type="paragraph" w:styleId="CommentSubject">
    <w:name w:val="annotation subject"/>
    <w:basedOn w:val="CommentText"/>
    <w:next w:val="CommentText"/>
    <w:link w:val="CommentSubjectChar"/>
    <w:uiPriority w:val="99"/>
    <w:semiHidden/>
    <w:unhideWhenUsed/>
    <w:rsid w:val="001B3E67"/>
    <w:rPr>
      <w:b/>
      <w:bCs/>
    </w:rPr>
  </w:style>
  <w:style w:type="character" w:customStyle="1" w:styleId="CommentSubjectChar">
    <w:name w:val="Comment Subject Char"/>
    <w:basedOn w:val="CommentTextChar"/>
    <w:link w:val="CommentSubject"/>
    <w:uiPriority w:val="99"/>
    <w:semiHidden/>
    <w:rsid w:val="001B3E67"/>
    <w:rPr>
      <w:rFonts w:ascii="NNFPLJ+TimesNewRoman" w:hAnsi="NNFPLJ+TimesNewRoman"/>
      <w:b/>
      <w:bCs/>
    </w:rPr>
  </w:style>
  <w:style w:type="table" w:styleId="TableGrid">
    <w:name w:val="Table Grid"/>
    <w:basedOn w:val="TableNormal"/>
    <w:uiPriority w:val="39"/>
    <w:rsid w:val="0061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2927FE"/>
    <w:pPr>
      <w:tabs>
        <w:tab w:val="center" w:pos="4680"/>
        <w:tab w:val="right" w:pos="9360"/>
      </w:tabs>
    </w:pPr>
  </w:style>
  <w:style w:type="character" w:customStyle="1" w:styleId="HeaderChar">
    <w:name w:val="Header Char"/>
    <w:basedOn w:val="DefaultParagraphFont"/>
    <w:link w:val="Header"/>
    <w:uiPriority w:val="99"/>
    <w:semiHidden/>
    <w:rsid w:val="002927FE"/>
    <w:rPr>
      <w:rFonts w:ascii="NNFPLJ+TimesNewRoman" w:hAnsi="NNFPLJ+TimesNewRoman"/>
      <w:sz w:val="24"/>
      <w:szCs w:val="24"/>
    </w:rPr>
  </w:style>
  <w:style w:type="paragraph" w:styleId="Footer">
    <w:name w:val="footer"/>
    <w:basedOn w:val="Normal"/>
    <w:link w:val="FooterChar"/>
    <w:uiPriority w:val="99"/>
    <w:semiHidden/>
    <w:unhideWhenUsed/>
    <w:rsid w:val="002927FE"/>
    <w:pPr>
      <w:tabs>
        <w:tab w:val="center" w:pos="4680"/>
        <w:tab w:val="right" w:pos="9360"/>
      </w:tabs>
    </w:pPr>
  </w:style>
  <w:style w:type="character" w:customStyle="1" w:styleId="FooterChar">
    <w:name w:val="Footer Char"/>
    <w:basedOn w:val="DefaultParagraphFont"/>
    <w:link w:val="Footer"/>
    <w:uiPriority w:val="99"/>
    <w:semiHidden/>
    <w:rsid w:val="002927FE"/>
    <w:rPr>
      <w:rFonts w:ascii="NNFPLJ+TimesNewRoman" w:hAnsi="NNFPLJ+TimesNewRoman"/>
      <w:sz w:val="24"/>
      <w:szCs w:val="24"/>
    </w:rPr>
  </w:style>
  <w:style w:type="paragraph" w:styleId="Bibliography">
    <w:name w:val="Bibliography"/>
    <w:basedOn w:val="Normal"/>
    <w:next w:val="Normal"/>
    <w:uiPriority w:val="37"/>
    <w:unhideWhenUsed/>
    <w:rsid w:val="001D2683"/>
    <w:pPr>
      <w:tabs>
        <w:tab w:val="left" w:pos="380"/>
      </w:tabs>
      <w:spacing w:after="240"/>
      <w:ind w:left="384" w:hanging="384"/>
    </w:pPr>
  </w:style>
  <w:style w:type="character" w:styleId="Hyperlink">
    <w:name w:val="Hyperlink"/>
    <w:basedOn w:val="DefaultParagraphFont"/>
    <w:uiPriority w:val="99"/>
    <w:unhideWhenUsed/>
    <w:rsid w:val="00422B05"/>
    <w:rPr>
      <w:color w:val="0000FF" w:themeColor="hyperlink"/>
      <w:u w:val="single"/>
    </w:rPr>
  </w:style>
  <w:style w:type="paragraph" w:styleId="NoSpacing">
    <w:name w:val="No Spacing"/>
    <w:link w:val="NoSpacingChar"/>
    <w:uiPriority w:val="1"/>
    <w:qFormat/>
    <w:rsid w:val="00422B05"/>
    <w:rPr>
      <w:rFonts w:asciiTheme="minorHAnsi" w:eastAsiaTheme="minorHAnsi" w:hAnsiTheme="minorHAnsi" w:cstheme="minorBidi"/>
      <w:kern w:val="0"/>
      <w:sz w:val="22"/>
      <w:szCs w:val="22"/>
      <w14:ligatures w14:val="none"/>
    </w:rPr>
  </w:style>
  <w:style w:type="character" w:customStyle="1" w:styleId="NoSpacingChar">
    <w:name w:val="No Spacing Char"/>
    <w:basedOn w:val="DefaultParagraphFont"/>
    <w:link w:val="NoSpacing"/>
    <w:uiPriority w:val="1"/>
    <w:rsid w:val="00422B05"/>
    <w:rPr>
      <w:rFonts w:asciiTheme="minorHAnsi" w:eastAsiaTheme="minorHAnsi" w:hAnsiTheme="minorHAnsi" w:cstheme="minorBidi"/>
      <w:kern w:val="0"/>
      <w:sz w:val="22"/>
      <w:szCs w:val="22"/>
      <w14:ligatures w14:val="none"/>
    </w:rPr>
  </w:style>
  <w:style w:type="character" w:styleId="UnresolvedMention">
    <w:name w:val="Unresolved Mention"/>
    <w:basedOn w:val="DefaultParagraphFont"/>
    <w:uiPriority w:val="99"/>
    <w:semiHidden/>
    <w:unhideWhenUsed/>
    <w:rsid w:val="00422B05"/>
    <w:rPr>
      <w:color w:val="605E5C"/>
      <w:shd w:val="clear" w:color="auto" w:fill="E1DFDD"/>
    </w:rPr>
  </w:style>
  <w:style w:type="character" w:styleId="Emphasis">
    <w:name w:val="Emphasis"/>
    <w:basedOn w:val="DefaultParagraphFont"/>
    <w:uiPriority w:val="20"/>
    <w:qFormat/>
    <w:rsid w:val="00BD4C0F"/>
    <w:rPr>
      <w:i/>
      <w:iCs/>
    </w:rPr>
  </w:style>
  <w:style w:type="character" w:styleId="PlaceholderText">
    <w:name w:val="Placeholder Text"/>
    <w:basedOn w:val="DefaultParagraphFont"/>
    <w:uiPriority w:val="99"/>
    <w:semiHidden/>
    <w:rsid w:val="002808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20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9A9CC-BCAC-7441-8ABB-2CE092DD6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31194</Words>
  <Characters>177809</Characters>
  <Application>Microsoft Office Word</Application>
  <DocSecurity>0</DocSecurity>
  <Lines>1481</Lines>
  <Paragraphs>417</Paragraphs>
  <ScaleCrop>false</ScaleCrop>
  <Company/>
  <LinksUpToDate>false</LinksUpToDate>
  <CharactersWithSpaces>208586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frueh.lisa@gmail.com</dc:creator>
  <cp:keywords/>
  <dc:description/>
  <cp:lastModifiedBy>frueh.lisa@gmail.com</cp:lastModifiedBy>
  <cp:revision>2</cp:revision>
  <dcterms:created xsi:type="dcterms:W3CDTF">2026-01-13T03:11:00Z</dcterms:created>
  <dcterms:modified xsi:type="dcterms:W3CDTF">2026-01-13T03:11:00Z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id="a2BiQ29Y"/&gt;&lt;style id="http://www.zotero.org/styles/journal-of-exposure-science-and-environmental-epidemiology" hasBibliography="1" bibliographyStyleHasBeenSet="1"/&gt;&lt;prefs&gt;&lt;pref name="fieldType" v</vt:lpwstr>
  </property>
  <property fmtid="{D5CDD505-2E9C-101B-9397-08002B2CF9AE}" pid="3" name="ZOTERO_PREF_2">
    <vt:lpwstr>alue="Field"/&gt;&lt;/prefs&gt;&lt;/data&gt;</vt:lpwstr>
  </property>
</Properties>
</file>