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77d905dfb2fa67c420de2f4643a7dc0ce0b0aa"/>
    <w:p>
      <w:pPr>
        <w:pStyle w:val="Heading1"/>
      </w:pPr>
      <w:r>
        <w:t xml:space="preserve">Master Prompt: Documentación Técnica y Arquitectura de</w:t>
      </w:r>
      <w:r>
        <w:t xml:space="preserve"> </w:t>
      </w:r>
      <w:r>
        <w:t xml:space="preserve">“</w:t>
      </w:r>
      <w:r>
        <w:t xml:space="preserve">La Fructosa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Instrucciones para la IA (Claude / GPT-4 / Cursor):</w:t>
      </w:r>
      <w:r>
        <w:t xml:space="preserve"> </w:t>
      </w:r>
      <w:r>
        <w:t xml:space="preserve">Utiliza este documento como la especificación técnica completa y la fuente de verdad (Single Source of Truth) del proyecto</w:t>
      </w:r>
      <w:r>
        <w:t xml:space="preserve"> </w:t>
      </w:r>
      <w:r>
        <w:rPr>
          <w:bCs/>
          <w:b/>
        </w:rPr>
        <w:t xml:space="preserve">La Fructosa</w:t>
      </w:r>
      <w:r>
        <w:t xml:space="preserve">. Este documento define la arquitectura de software, el modelo de datos, la seguridad Row Level Security (RLS), la lógica de conversión multimoneda y la especificación del frontend de la Progressive Web App (PWA).</w:t>
      </w:r>
    </w:p>
    <w:p>
      <w:r>
        <w:pict>
          <v:rect style="width:0;height:1.5pt" o:hralign="center" o:hrstd="t" o:hr="t"/>
        </w:pict>
      </w:r>
    </w:p>
    <w:bookmarkStart w:id="20" w:name="resumen-ejecutivo-del-proyecto"/>
    <w:p>
      <w:pPr>
        <w:pStyle w:val="Heading2"/>
      </w:pPr>
      <w:r>
        <w:t xml:space="preserve">1. Resumen Ejecutivo del Proyecto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Nombre de la PWA:</w:t>
      </w:r>
      <w:r>
        <w:t xml:space="preserve"> </w:t>
      </w:r>
      <w:r>
        <w:t xml:space="preserve">La Fructosa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Gestión financiera privada, segura, multitenant y multimoneda para uso familiar en distintas regiones (Venezuela, España, EE. UU.).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de Producción:</w:t>
      </w:r>
      <w:r>
        <w:t xml:space="preserve"> </w:t>
      </w:r>
      <w:r>
        <w:rPr>
          <w:rStyle w:val="VerbatimChar"/>
        </w:rPr>
        <w:t xml:space="preserve">https://lfzv98.github.io/la-fructosa/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Infraestructura Frontend:</w:t>
      </w:r>
      <w:r>
        <w:t xml:space="preserve"> </w:t>
      </w:r>
      <w:r>
        <w:t xml:space="preserve">PWA ligera (HTML5, Tailwind CSS / Custom CSS, Vanilla JS) alojada en GitHub Pages.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Infraestructura Backend:</w:t>
      </w:r>
      <w:r>
        <w:t xml:space="preserve"> </w:t>
      </w:r>
      <w:r>
        <w:t xml:space="preserve">Supabase (PostgreSQL, GoTrue Auth, Row Level Security).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Estética Visual:</w:t>
      </w:r>
      <w:r>
        <w:t xml:space="preserve"> </w:t>
      </w:r>
      <w:r>
        <w:t xml:space="preserve">Paleta de colores pastel (Azul Pastel</w:t>
      </w:r>
      <w:r>
        <w:t xml:space="preserve"> </w:t>
      </w:r>
      <w:r>
        <w:rPr>
          <w:rStyle w:val="VerbatimChar"/>
        </w:rPr>
        <w:t xml:space="preserve">#A0C4FF</w:t>
      </w:r>
      <w:r>
        <w:t xml:space="preserve">, Amarillo Pastel</w:t>
      </w:r>
      <w:r>
        <w:t xml:space="preserve"> </w:t>
      </w:r>
      <w:r>
        <w:rPr>
          <w:rStyle w:val="VerbatimChar"/>
        </w:rPr>
        <w:t xml:space="preserve">#FDFFB6</w:t>
      </w:r>
      <w:r>
        <w:t xml:space="preserve">, Salmón Pastel</w:t>
      </w:r>
      <w:r>
        <w:t xml:space="preserve"> </w:t>
      </w:r>
      <w:r>
        <w:rPr>
          <w:rStyle w:val="VerbatimChar"/>
        </w:rPr>
        <w:t xml:space="preserve">#FFADAD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2" w:name="X3c1a8dc89d529290ff63b189d049a06fcdd041d"/>
    <w:p>
      <w:pPr>
        <w:pStyle w:val="Heading2"/>
      </w:pPr>
      <w:r>
        <w:t xml:space="preserve">2. Arquitectura de Seguridad (Row Level Security - RLS)</w:t>
      </w:r>
    </w:p>
    <w:p>
      <w:pPr>
        <w:pStyle w:val="FirstParagraph"/>
      </w:pPr>
      <w:r>
        <w:t xml:space="preserve">El principio fundamental del backend es el</w:t>
      </w:r>
      <w:r>
        <w:t xml:space="preserve"> </w:t>
      </w:r>
      <w:r>
        <w:rPr>
          <w:bCs/>
          <w:b/>
        </w:rPr>
        <w:t xml:space="preserve">aislamiento absoluto de datos por usuario</w:t>
      </w:r>
      <w:r>
        <w:t xml:space="preserve">. Ningún usuario puede consultar, modificar o eliminar registros pertenecientes a otro usuario.</w:t>
      </w:r>
    </w:p>
    <w:bookmarkStart w:id="21" w:name="principios-rls-aplicados"/>
    <w:p>
      <w:pPr>
        <w:pStyle w:val="Heading3"/>
      </w:pPr>
      <w:r>
        <w:t xml:space="preserve">Principios RLS Aplicados: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Autenticación:</w:t>
      </w:r>
      <w:r>
        <w:t xml:space="preserve"> </w:t>
      </w:r>
      <w:r>
        <w:t xml:space="preserve">Gestionada mediante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de Supabase. Cada usuario posee un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único asignado por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Políticas SQL:</w:t>
      </w:r>
      <w:r>
        <w:t xml:space="preserve"> </w:t>
      </w:r>
      <w:r>
        <w:t xml:space="preserve">Todas las tablas de datos (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recurring_expenses</w:t>
      </w:r>
      <w:r>
        <w:t xml:space="preserve">) obligan la regla: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POLICY: </m:t>
          </m:r>
          <m:r>
            <m:rPr>
              <m:nor/>
              <m:sty m:val="p"/>
            </m:rPr>
            <m:t>auth.uid()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user_id</m:t>
          </m:r>
        </m:oMath>
      </m:oMathPara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Privacidad Admin vs. User:</w:t>
      </w:r>
      <w:r>
        <w:t xml:space="preserve"> </w:t>
      </w:r>
      <w:r>
        <w:t xml:space="preserve">El cliente web solo consulta Supabase utilizando la</w:t>
      </w:r>
      <w:r>
        <w:t xml:space="preserve"> </w:t>
      </w:r>
      <w:r>
        <w:rPr>
          <w:rStyle w:val="VerbatimChar"/>
        </w:rPr>
        <w:t xml:space="preserve">anon_key</w:t>
      </w:r>
      <w:r>
        <w:t xml:space="preserve"> </w:t>
      </w:r>
      <w:r>
        <w:t xml:space="preserve">pública, asegurando que las políticas RLS se ejecuten a nivel de motor PostgreSQL antes de entregar cualquier respuesta HTTP.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bb572c9e8d37a442e93ab7bf7082718475f5501"/>
    <w:p>
      <w:pPr>
        <w:pStyle w:val="Heading2"/>
      </w:pPr>
      <w:r>
        <w:t xml:space="preserve">3. Modelo de Datos Relacional (PostgreSQL / Supabase)</w:t>
      </w:r>
    </w:p>
    <w:bookmarkStart w:id="23" w:name="Xc0b3223ab2f806e91035535e4823548f53a7ebf"/>
    <w:p>
      <w:pPr>
        <w:pStyle w:val="Heading3"/>
      </w:pPr>
      <w:r>
        <w:t xml:space="preserve">Script SQL Completo de Inicialización (</w:t>
      </w:r>
      <w:r>
        <w:rPr>
          <w:rStyle w:val="VerbatimChar"/>
        </w:rPr>
        <w:t xml:space="preserve">schema.sql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-- 1. TABLA DE PERFILES DE USUARIO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TEXT,</w:t>
      </w:r>
      <w:r>
        <w:br/>
      </w:r>
      <w:r>
        <w:rPr>
          <w:rStyle w:val="NormalTok"/>
        </w:rPr>
        <w:t xml:space="preserve">    base_currency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(base_currency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region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(region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view own profile"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update own profile"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insert own profile"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TABLA DE CUENTAS / BILLETERAS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.accounts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Zelle, Efectivo, Pago Móvil, Wire, USDT, etc.</w:t>
      </w:r>
      <w:r>
        <w:br/>
      </w:r>
      <w:r>
        <w:rPr>
          <w:rStyle w:val="NormalTok"/>
        </w:rPr>
        <w:t xml:space="preserve">    currency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'USDT'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initial_balance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'#A0C4FF'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.accounts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manage own accounts"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.accounts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-- 3. TABLA DE TRANSACCIONES / MOVIMIENTOS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destination_account_id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Para transferencias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'USDT'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exchange_rate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transaction_date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.transactions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manage own transactions"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.transactions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-- 4. TABLA DE PRESUPUESTOS MENSUALES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.budgets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monthly_limit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.budgets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manage own budgets"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.budgets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-- 5. TABLA DE GASTOS RECURRENTES / SUSCRIPCIONES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.recurring_expenses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'USDT'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(due_day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.recurring_expenses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manage own recurring expenses"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.recurring_expenses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afad4f0dccdfac9b9dd72231c7fd22de5de32a9"/>
    <w:p>
      <w:pPr>
        <w:pStyle w:val="Heading2"/>
      </w:pPr>
      <w:r>
        <w:t xml:space="preserve">4. Adaptación Regional y Sincronización Financiera</w:t>
      </w:r>
    </w:p>
    <w:bookmarkStart w:id="25" w:name="permutaciones-por-región-de-usuario"/>
    <w:p>
      <w:pPr>
        <w:pStyle w:val="Heading3"/>
      </w:pPr>
      <w:r>
        <w:t xml:space="preserve">Permutaciones por Región de Usuario: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Región 🇪🇸 España (</w:t>
      </w:r>
      <w:r>
        <w:rPr>
          <w:rStyle w:val="VerbatimChar"/>
          <w:bCs/>
          <w:b/>
        </w:rPr>
        <w:t xml:space="preserve">ES</w:t>
      </w:r>
      <w:r>
        <w:rPr>
          <w:bCs/>
          <w:b/>
        </w:rPr>
        <w:t xml:space="preserve">):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Moneda Base:</w:t>
      </w:r>
      <w:r>
        <w:t xml:space="preserve"> </w:t>
      </w:r>
      <w:r>
        <w:t xml:space="preserve">EUR (€).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Comportamiento Visual:</w:t>
      </w:r>
      <w:r>
        <w:t xml:space="preserve"> </w:t>
      </w:r>
      <w:r>
        <w:t xml:space="preserve">Oculta indicadores de brecha cambiaria y tasas BCV/USDT.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Tipos de Cuentas:</w:t>
      </w:r>
      <w:r>
        <w:t xml:space="preserve"> </w:t>
      </w:r>
      <w:r>
        <w:t xml:space="preserve">Banco Español, Efectivo EUR, Bizum, Tarjetas.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Región 🇺🇸 Estados Unidos (</w:t>
      </w:r>
      <w:r>
        <w:rPr>
          <w:rStyle w:val="VerbatimChar"/>
          <w:bCs/>
          <w:b/>
        </w:rPr>
        <w:t xml:space="preserve">US</w:t>
      </w:r>
      <w:r>
        <w:rPr>
          <w:bCs/>
          <w:b/>
        </w:rPr>
        <w:t xml:space="preserve">):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Moneda Base:</w:t>
      </w:r>
      <w:r>
        <w:t xml:space="preserve"> </w:t>
      </w:r>
      <w:r>
        <w:t xml:space="preserve">USD ($).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Comportamiento Visual:</w:t>
      </w:r>
      <w:r>
        <w:t xml:space="preserve"> </w:t>
      </w:r>
      <w:r>
        <w:t xml:space="preserve">Enfocado exclusivamente en Dólares. Oculta indicadores de tasas paralelas.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Tipos de Cuentas:</w:t>
      </w:r>
      <w:r>
        <w:t xml:space="preserve"> </w:t>
      </w:r>
      <w:r>
        <w:t xml:space="preserve">Bank of America, Zelle, Wire Transfer, Cash, Credit Card.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Región 🇻🇪 Venezuela (</w:t>
      </w:r>
      <w:r>
        <w:rPr>
          <w:rStyle w:val="VerbatimChar"/>
          <w:bCs/>
          <w:b/>
        </w:rPr>
        <w:t xml:space="preserve">VE</w:t>
      </w:r>
      <w:r>
        <w:rPr>
          <w:bCs/>
          <w:b/>
        </w:rPr>
        <w:t xml:space="preserve">):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Moneda Base:</w:t>
      </w:r>
      <w:r>
        <w:t xml:space="preserve"> </w:t>
      </w:r>
      <w:r>
        <w:t xml:space="preserve">Multimoneda (VES / USD / USDT / EUR).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Comportamiento Visual:</w:t>
      </w:r>
      <w:r>
        <w:t xml:space="preserve"> </w:t>
      </w:r>
      <w:r>
        <w:t xml:space="preserve">Despliega barra superior con indicadores en tiempo real: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Tasa BCV Oficial:</w:t>
      </w:r>
      <w:r>
        <w:t xml:space="preserve"> </w:t>
      </w:r>
      <w:r>
        <w:t xml:space="preserve">Obtenida vía API pública (</w:t>
      </w:r>
      <w:r>
        <w:rPr>
          <w:rStyle w:val="VerbatimChar"/>
        </w:rPr>
        <w:t xml:space="preserve">pydolarve</w:t>
      </w:r>
      <w:r>
        <w:t xml:space="preserve">).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Tasa Euro BCV:</w:t>
      </w:r>
      <w:r>
        <w:t xml:space="preserve"> </w:t>
      </w:r>
      <w:r>
        <w:t xml:space="preserve">Tasa oficial en EUR.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Tasa USDT / Binance P2P:</w:t>
      </w:r>
      <w:r>
        <w:t xml:space="preserve"> </w:t>
      </w:r>
      <w:r>
        <w:t xml:space="preserve">Tasa paralela/mercado digital.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Consolidación:</w:t>
      </w:r>
      <w:r>
        <w:t xml:space="preserve"> </w:t>
      </w:r>
      <w:r>
        <w:t xml:space="preserve">Convierte automáticamente los saldos de Pago Móvil y cuentas en VES a USD o moneda base elegida.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structura-de-archivos-del-frontend"/>
    <w:p>
      <w:pPr>
        <w:pStyle w:val="Heading2"/>
      </w:pPr>
      <w:r>
        <w:t xml:space="preserve">5. Estructura de Archivos del Frontend</w:t>
      </w:r>
    </w:p>
    <w:p>
      <w:pPr>
        <w:pStyle w:val="SourceCode"/>
      </w:pPr>
      <w:r>
        <w:rPr>
          <w:rStyle w:val="VerbatimChar"/>
        </w:rPr>
        <w:t xml:space="preserve">la-fructosa/</w:t>
      </w:r>
      <w:r>
        <w:br/>
      </w:r>
      <w:r>
        <w:rPr>
          <w:rStyle w:val="VerbatimChar"/>
        </w:rPr>
        <w:t xml:space="preserve">├── index.html                  # Contenedor PWA, maquetación HTML5 y layouts modales</w:t>
      </w:r>
      <w:r>
        <w:br/>
      </w:r>
      <w:r>
        <w:rPr>
          <w:rStyle w:val="VerbatimChar"/>
        </w:rPr>
        <w:t xml:space="preserve">├── manifest.webmanifest        # Configuración de instalación PWA</w:t>
      </w:r>
      <w:r>
        <w:br/>
      </w:r>
      <w:r>
        <w:rPr>
          <w:rStyle w:val="VerbatimChar"/>
        </w:rPr>
        <w:t xml:space="preserve">├── favicon.png                 # Ícono web con fondo pastel</w:t>
      </w:r>
      <w:r>
        <w:br/>
      </w:r>
      <w:r>
        <w:rPr>
          <w:rStyle w:val="VerbatimChar"/>
        </w:rPr>
        <w:t xml:space="preserve">├── sw.js                       # Service Worker para almacenamiento en caché local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styles.css              # Variables CSS con paleta pastel, componentes y utilidades</w:t>
      </w:r>
      <w:r>
        <w:br/>
      </w:r>
      <w:r>
        <w:rPr>
          <w:rStyle w:val="VerbatimChar"/>
        </w:rPr>
        <w:t xml:space="preserve">└── js/</w:t>
      </w:r>
      <w:r>
        <w:br/>
      </w:r>
      <w:r>
        <w:rPr>
          <w:rStyle w:val="VerbatimChar"/>
        </w:rPr>
        <w:t xml:space="preserve">    ├── config.js               # Parámetros de inicialización de Supabase</w:t>
      </w:r>
      <w:r>
        <w:br/>
      </w:r>
      <w:r>
        <w:rPr>
          <w:rStyle w:val="VerbatimChar"/>
        </w:rPr>
        <w:t xml:space="preserve">    ├── supabase.js             # Métodos Wrapper para Supabase Client JS (CRUD &amp; Auth)</w:t>
      </w:r>
      <w:r>
        <w:br/>
      </w:r>
      <w:r>
        <w:rPr>
          <w:rStyle w:val="VerbatimChar"/>
        </w:rPr>
        <w:t xml:space="preserve">    ├── money.js                # Motor de conversión, cálculo de balances y Fetch de APIs de tasas</w:t>
      </w:r>
      <w:r>
        <w:br/>
      </w:r>
      <w:r>
        <w:rPr>
          <w:rStyle w:val="VerbatimChar"/>
        </w:rPr>
        <w:t xml:space="preserve">    ├── api.js                  # Manejo de peticiones de tasas (BCV, Euro, USDT)</w:t>
      </w:r>
      <w:r>
        <w:br/>
      </w:r>
      <w:r>
        <w:rPr>
          <w:rStyle w:val="VerbatimChar"/>
        </w:rPr>
        <w:t xml:space="preserve">    ├── export.js               # Generador de reportes CSV / Excel</w:t>
      </w:r>
      <w:r>
        <w:br/>
      </w:r>
      <w:r>
        <w:rPr>
          <w:rStyle w:val="VerbatimChar"/>
        </w:rPr>
        <w:t xml:space="preserve">    └── app.js                  # Lógica de navegación SPA, eventos DOM y renderizado</w:t>
      </w:r>
    </w:p>
    <w:p>
      <w:r>
        <w:pict>
          <v:rect style="width:0;height:1.5pt" o:hralign="center" o:hrstd="t" o:hr="t"/>
        </w:pict>
      </w:r>
    </w:p>
    <w:bookmarkEnd w:id="27"/>
    <w:bookmarkStart w:id="28" w:name="paleta-de-colores-y-guía-de-estilos-uiux"/>
    <w:p>
      <w:pPr>
        <w:pStyle w:val="Heading2"/>
      </w:pPr>
      <w:r>
        <w:t xml:space="preserve">6. Paleta de Colores y Guía de Estilos UI/UX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Paleta Pastel Principal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--color-blue-pastel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#A0C4FF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Estructura, navegación, fondos de tarjetas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--color-yellow-pastel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#FDFFB6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Badges de moneda, alertas de presupuesto, tasas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--color-salmon-pastel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#FFADAD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Botones primarios, registros de gastos, acciones principales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Variantes de Apoyo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#121824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Fondo en modo oscuro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--color-card-dark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#1E2640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Superficie de tarjetas en modo oscuro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--color-text-light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#F8FAFC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Texto sobre superficies oscuras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Texto sobre elementos pastel */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X29366a1efba8d0f437181b54f3ca810c2228517"/>
    <w:p>
      <w:pPr>
        <w:pStyle w:val="Heading2"/>
      </w:pPr>
      <w:r>
        <w:t xml:space="preserve">7. Instrucciones para la IA (Mantenimiento y Evolución)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Preservar el aislamiento de datos:</w:t>
      </w:r>
      <w:r>
        <w:t xml:space="preserve"> </w:t>
      </w:r>
      <w:r>
        <w:t xml:space="preserve">Nunca modificar las consultas a Supabase omitiendo el filtro o política</w:t>
      </w:r>
      <w:r>
        <w:t xml:space="preserve"> </w:t>
      </w:r>
      <w:r>
        <w:rPr>
          <w:rStyle w:val="VerbatimChar"/>
        </w:rPr>
        <w:t xml:space="preserve">auth.uid() = user_id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Transferencias sin doble contabilización:</w:t>
      </w:r>
      <w:r>
        <w:t xml:space="preserve"> </w:t>
      </w:r>
      <w:r>
        <w:t xml:space="preserve">Toda transferencia entre dos cuentas del mismo usuario debe descontar del origen y sumar al destino mediante una única transacción lógica con categoría</w:t>
      </w:r>
      <w:r>
        <w:t xml:space="preserve"> </w:t>
      </w:r>
      <w:r>
        <w:rPr>
          <w:rStyle w:val="VerbatimChar"/>
        </w:rPr>
        <w:t xml:space="preserve">Transferencia Interna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Single-Page Application (SPA):</w:t>
      </w:r>
      <w:r>
        <w:t xml:space="preserve"> </w:t>
      </w:r>
      <w:r>
        <w:t xml:space="preserve">Toda la interacción debe realizarse dinámicamente sin recargar la página (</w:t>
      </w:r>
      <w:r>
        <w:rPr>
          <w:rStyle w:val="VerbatimChar"/>
        </w:rPr>
        <w:t xml:space="preserve">preventDefault()</w:t>
      </w:r>
      <w:r>
        <w:t xml:space="preserve"> </w:t>
      </w:r>
      <w:r>
        <w:t xml:space="preserve">en formularios).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E293B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E293B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E293B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E293B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  <w:pBdr>
        <w:bottom w:color="FFADAD" w:space="4" w:sz="24" w:val="single"/>
      </w:pBdr>
      <w:shd w:color="auto" w:fill="A0C4FF" w:val="clear"/>
    </w:pPr>
    <w:rPr>
      <w:rFonts w:ascii="Calibri" w:cs="Calibri" w:eastAsia="Calibri" w:hAnsi="Calibri"/>
      <w:b/>
      <w:bCs/>
      <w:color w:val="1E293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pBdr>
        <w:bottom w:color="FFADAD" w:space="4" w:sz="24" w:val="single"/>
      </w:pBdr>
      <w:shd w:color="auto" w:fill="A0C4FF" w:val="clear"/>
    </w:pPr>
    <w:rPr>
      <w:rFonts w:ascii="Calibri" w:cs="Calibri" w:eastAsia="Calibri" w:hAnsi="Calibri"/>
      <w:b/>
      <w:bCs/>
      <w:color w:val="1E293B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  <w:shd w:color="auto" w:fill="A0C4FF" w:val="clear"/>
    </w:pPr>
    <w:rPr>
      <w:rFonts w:ascii="Calibri" w:cs="Calibri" w:eastAsia="Calibri" w:hAnsi="Calibri"/>
      <w:b/>
      <w:bCs/>
      <w:color w:val="1E293B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  <w:pBdr>
        <w:left w:color="FFADAD" w:space="4" w:sz="24" w:val="single"/>
      </w:pBdr>
    </w:pPr>
    <w:rPr>
      <w:rFonts w:ascii="Calibri" w:cs="Calibri" w:eastAsia="Calibri" w:hAnsi="Calibri"/>
      <w:b/>
      <w:bCs/>
      <w:color w:val="1E293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FFADAD" w:space="4" w:sz="24" w:val="single"/>
      </w:pBdr>
      <w:shd w:color="auto" w:fill="FDFFB6" w:val="clear"/>
    </w:pPr>
    <w:rPr>
      <w:rFonts w:ascii="Calibri" w:cs="Calibri" w:eastAsia="Calibri" w:hAnsi="Calibri"/>
      <w:color w:val="1E293B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E264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pBdr>
        <w:left w:color="A0C4FF" w:space="4" w:sz="24" w:val="single"/>
      </w:pBdr>
      <w:shd w:color="auto" w:fill="EEF4FF" w:val="clear"/>
      <w:spacing w:after="0" w:before="0"/>
    </w:pPr>
    <w:rPr>
      <w:rFonts w:ascii="Consolas" w:cs="Consolas" w:eastAsia="Consolas" w:hAnsi="Consolas"/>
      <w:color w:val="1E293B"/>
      <w:sz w:val="15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2026-10-10T02:36:04Z</dcterms:created>
  <dcterms:modified xsi:type="dcterms:W3CDTF">2026-10-10T02:36:04Z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La Fructosa: Documentaci��n T��cnica</vt:lpwstr>
  </property>
</Properties>
</file>