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keepNext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/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>
        <w:rPr>
          <w:b w:val="1"/>
          <w:bCs w:val="1"/>
          <w:rtl w:val="0"/>
        </w:rPr>
        <w:t>Nombre del proyecto/caso: Proyecto Lince</w:t>
      </w:r>
    </w:p>
    <w:p w:rsidR="00000000" w:rsidDel="00000000" w:rsidP="00000000" w:rsidRDefault="00000000" w:rsidRPr="00000000" w14:paraId="00000008">
      <w:pPr>
        <w:spacing w:after="120" w:lineRule="auto"/>
        <w:rPr/>
      </w:pPr>
      <w:r>
        <w:rPr>
          <w:b w:val="1"/>
          <w:bCs w:val="1"/>
          <w:rtl w:val="0"/>
        </w:rPr>
        <w:t>Sección: 3D</w:t>
      </w:r>
    </w:p>
    <w:p w:rsidR="00000000" w:rsidDel="00000000" w:rsidP="00000000" w:rsidRDefault="00000000" w:rsidRPr="00000000" w14:paraId="00000009">
      <w:pPr>
        <w:spacing w:after="120" w:lineRule="auto"/>
        <w:rPr/>
      </w:pPr>
      <w:r>
        <w:rPr>
          <w:b w:val="1"/>
          <w:bCs w:val="1"/>
          <w:rtl w:val="0"/>
        </w:rPr>
        <w:t>Nombre Equipo y número: Api Avengers — Equipo 5</w:t>
      </w:r>
    </w:p>
    <w:p w:rsidR="00000000" w:rsidDel="00000000" w:rsidP="00000000" w:rsidRDefault="00000000" w:rsidRPr="00000000" w14:paraId="0000000A">
      <w:pPr>
        <w:spacing w:after="120" w:lineRule="auto"/>
        <w:rPr/>
      </w:pPr>
      <w:r>
        <w:rPr>
          <w:b w:val="1"/>
          <w:bCs w:val="1"/>
          <w:rtl w:val="0"/>
        </w:rPr>
        <w:t>Fecha: 11 de septiembre de 2026</w:t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Vicente Krausse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Coordinador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Luis Fermin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Diseñador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Jeremy Ibañez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Desarrollador</w:t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Proyecto Lince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Nombre del archivo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logo.png y logo.svg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Ubicación en el 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docs/diseno/logo.png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¿Qué representa el logotipo?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Un rostro de lince con un punto de ruta. Representa atención y seguimiento de servicios. Identidad usada en la implementación del MVP.</w:t>
            </w:r>
          </w:p>
          <w:p>
            <w:pPr>
              <w:keepNext w:val="0"/>
            </w:pPr>
            <w:r>
              <w:drawing>
                <wp:inline>
                  <wp:extent cx="685800" cy="685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#175873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Botones principales y elementos activos; texto blanco encima.</w:t>
            </w:r>
          </w:p>
        </w:tc>
      </w:tr>
      <w:tr>
        <w:trPr>
          <w:cantSplit w:val="0"/>
          <w:trHeight w:val="50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Secundario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#1F6B58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Estados confirmados y acciones completadas.</w:t>
            </w:r>
          </w:p>
        </w:tc>
      </w:tr>
      <w:tr>
        <w:trPr>
          <w:cantSplit w:val="0"/>
          <w:trHeight w:val="50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Fondo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#E3EEF4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Fondo claro de las pantallas.</w:t>
            </w:r>
          </w:p>
        </w:tc>
      </w:tr>
      <w:tr>
        <w:trPr>
          <w:cantSplit w:val="0"/>
          <w:trHeight w:val="50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#102A36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Títulos, etiquetas y contenido.</w:t>
            </w:r>
          </w:p>
        </w:tc>
      </w:tr>
      <w:tr>
        <w:trPr>
          <w:cantSplit w:val="0"/>
          <w:trHeight w:val="50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#B3261E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Mensajes de error y rechazos, acompañados de texto.</w:t>
            </w:r>
          </w:p>
        </w:tc>
      </w:tr>
      <w:tr>
        <w:trPr>
          <w:cantSplit w:val="0"/>
          <w:trHeight w:val="50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spacing w:after="0" w:before="0" w:lineRule="auto"/>
              <w:rPr>
                <w:sz w:val="21"/>
                <w:szCs w:val="21"/>
              </w:rPr>
            </w:pPr>
            <w:r>
              <w:rPr>
                <w:rtl w:val="0"/>
              </w:rPr>
              <w:t>Superficie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#FFFFFF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Navegación y zonas de información secundaria.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4">
      <w:pPr>
        <w:spacing w:after="0" w:lineRule="auto"/>
        <w:rPr/>
      </w:pPr>
      <w:r>
        <w:rPr>
          <w:sz w:val="20"/>
          <w:szCs w:val="20"/>
          <w:rtl w:val="0"/>
        </w:rPr>
        <w:t>Justificación de la paleta: el azul identifica las acciones principales, el verde los estados confirmados y el ámbar los pendientes; el fondo claro y el texto oscuro favorecen la lectura en terreno. La implementación incluye variantes oscuras equivalentes y mantiene alto contraste en ambos modos.</w:t>
      </w:r>
    </w:p>
    <w:p w:rsidR="00000000" w:rsidDel="00000000" w:rsidP="00000000" w:rsidRDefault="00000000" w:rsidRPr="00000000" w14:paraId="00000045">
      <w:pPr>
        <w:spacing w:after="0" w:lineRule="auto"/>
        <w:rPr/>
      </w:pPr>
      <w:r>
        <w:rPr>
          <w:sz w:val="20"/>
          <w:szCs w:val="20"/>
          <w:rtl w:val="0"/>
        </w:rPr>
        <w:t>Los estados se explicarán con palabras e iconos, además del color, para que sean fáciles de reconocer.</w:t>
      </w:r>
    </w:p>
    <w:p w:rsidR="00000000" w:rsidDel="00000000" w:rsidP="00000000" w:rsidRDefault="00000000" w:rsidRPr="00000000" w14:paraId="00000047">
      <w:pPr>
        <w:pStyle w:val="Heading1"/>
        <w:pageBreakBefore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9">
            <w:pPr>
              <w:keepNext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/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504"/>
        <w:gridCol w:w="3888"/>
        <w:gridCol w:w="2592"/>
        <w:gridCol w:w="2808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1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Ingresar con una cuenta ficticia.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de sesión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acceso válido o error.</w:t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2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Revisar el resumen según el rol.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/ resumen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conductor, guía o coordinador.</w:t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3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Elegir una asignación y consultar sus datos.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Servicios y detalle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servicio pendiente o confirmado.</w:t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4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Confirmar o rechazar; si rechaza, indicar motivo.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Detalle del servicio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confirmar o rechazar.</w:t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5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Si es titular (conductor o guía), registrar inicio y término del servicio confirmado; el acompañante solo consulta.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Registro de ejecución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habilitar término solo después del inicio.</w:t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6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Consultar historial o editar disponibilidad y perfil; coordinación consulta equipo y ficha.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Historial, disponibilidad, perfil, equipo y ficha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elegir opción; validar antes de guardar.</w:t>
            </w:r>
          </w:p>
        </w:tc>
      </w:tr>
      <w:tr>
        <w:trPr>
          <w:cantSplit w:val="0"/>
          <w:trHeight w:val="480" w:hRule="atLeast"/>
          <w:tblHeader w:val="0"/>
          <w:cantSplit/>
        </w:trPr>
        <w:tc>
          <w:tcPr>
            <w:tcW w:type="dxa" w:w="50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7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Volver al inicio o resumen y cerrar sesión.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/ resumen</w:t>
            </w:r>
          </w:p>
        </w:tc>
        <w:tc>
          <w:tcPr>
            <w:tcW w:type="dxa" w:w="280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Sí: continuar o salir.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E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9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README.md, bloque Mermaid incluido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Ingreso por rol, consulta, respuesta, ejecución, secciones de apoyo y herramientas de coordinación (equipo, ficha, reasignación y calificación). Imagen incorporada en el anexo visual.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B">
      <w:pPr>
        <w:spacing w:after="0" w:before="0" w:lineRule="auto"/>
        <w:ind w:left="29" w:hanging="29"/>
        <w:rPr/>
      </w:pPr>
      <w:r>
        <w:rPr>
          <w:sz w:val="21"/>
          <w:szCs w:val="21"/>
          <w:rtl w:val="0"/>
        </w:rPr>
        <w:t>•  ☑ El flujo comienza y termina claramente.</w:t>
      </w:r>
    </w:p>
    <w:p w:rsidR="00000000" w:rsidDel="00000000" w:rsidP="00000000" w:rsidRDefault="00000000" w:rsidRPr="00000000" w14:paraId="0000007C">
      <w:pPr>
        <w:spacing w:after="0" w:before="0" w:lineRule="auto"/>
        <w:ind w:left="29" w:hanging="29"/>
        <w:rPr/>
      </w:pPr>
      <w:r>
        <w:rPr>
          <w:sz w:val="21"/>
          <w:szCs w:val="21"/>
          <w:rtl w:val="0"/>
        </w:rPr>
        <w:t>•  ☑ Todas las pantallas importantes del MVP aparecen en el recorrido.</w:t>
      </w:r>
    </w:p>
    <w:p w:rsidR="00000000" w:rsidDel="00000000" w:rsidP="00000000" w:rsidRDefault="00000000" w:rsidRPr="00000000" w14:paraId="0000007D">
      <w:pPr>
        <w:spacing w:after="0" w:before="0" w:lineRule="auto"/>
        <w:ind w:left="29" w:hanging="29"/>
        <w:rPr/>
      </w:pPr>
      <w:r>
        <w:rPr>
          <w:sz w:val="21"/>
          <w:szCs w:val="21"/>
          <w:rtl w:val="0"/>
        </w:rPr>
        <w:t>•  ☑ Las decisiones del usuario están representadas cuando corresponde.</w:t>
      </w:r>
    </w:p>
    <w:p w:rsidR="00000000" w:rsidDel="00000000" w:rsidP="00000000" w:rsidRDefault="00000000" w:rsidRPr="00000000" w14:paraId="0000007E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☑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 La implementación final incorpora Equipo y Ficha de persona para apoyar la reasignación y la calificación desde coordinación.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1728"/>
        <w:gridCol w:w="2952"/>
        <w:gridCol w:w="2520"/>
        <w:gridCol w:w="2592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de sesión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Identificar usuario y rol.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Todos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Ingresar.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/ resumen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Mostrar accesos y resumen según el rol.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Todos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Elegir sección.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Servicios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Consultar asignaciones propias o generales.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Todos, según permisos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Filtrar y seleccionar.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Detalle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Consultar datos y responder.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Conductor y guía; coordinación consulta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Confirmar o rechazar.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Disponibilidad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Indicar días disponibles o bloqueados.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Conductor y guía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Guardar disponibilidad.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Perfil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Actualizar datos ficticios permitidos.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Conductor y guía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Guardar cambios.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Registro de ejecución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Dejar evidencia del inicio y término.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Conductor o guía (titular)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Registrar check-in/check-out.</w:t>
            </w:r>
          </w:p>
        </w:tc>
      </w:tr>
      <w:tr>
        <w:trPr>
          <w:cantSplit w:val="0"/>
          <w:trHeight w:val="66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Historial</w:t>
            </w:r>
          </w:p>
        </w:tc>
        <w:tc>
          <w:tcPr>
            <w:tcW w:type="dxa" w:w="295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Consultar cambios y servicios anteriores.</w:t>
            </w:r>
          </w:p>
        </w:tc>
        <w:tc>
          <w:tcPr>
            <w:tcW w:type="dxa" w:w="25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Todos, según permisos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Revisar trazabilidad.</w:t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pageBreakBefore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5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6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A7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Conductor y guía: Inicio, Servicios, Agenda y Perfil. Historial se abre desde Inicio. Coordinación accede a servicios, historial y equipo desde su resumen.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NavigationDrawer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La navegación principal tiene pocas opciones; no se necesita menú lateral.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TopAppBar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Título y regreso en pantallas de detalle, historial y ejecución.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Botón principal / FAB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spacing w:after="0" w:before="0" w:lineRule="auto"/>
              <w:rPr/>
            </w:pPr>
            <w:r>
              <w:rPr>
                <w:sz w:val="21"/>
                <w:szCs w:val="21"/>
                <w:rtl w:val="0"/>
              </w:rPr>
              <w:t>Botón: sí. FAB: 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Usar botones para confirmar, guardar e iniciar o terminar servicios.</w:t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8">
            <w:pPr>
              <w:keepNext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/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D">
            <w:pPr>
              <w:keepNext/>
              <w:spacing w:after="0" w:lineRule="auto"/>
              <w:rPr/>
            </w:pPr>
            <w:r>
              <w:rPr>
                <w:rtl w:val="0"/>
              </w:rPr>
              <w:t>Diseño base generado con apoyo de Codex e implementado en el MVP Android con datos ficticios. Las imágenes se conservan como referencia visual.</w:t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 Se incluye 09-resumen-coordinacion.png como variante de inicio para coordinación.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1728"/>
        <w:gridCol w:w="2592"/>
        <w:gridCol w:w="1584"/>
        <w:gridCol w:w="3888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de sesión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01-login.png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Implementada en el MVP Android.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/ resumen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02-inicio.png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Implementada en el MVP Android.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Servicios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03-servicios.png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Implementada en el MVP Android.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Detalle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04-detalle.png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Implementada en el MVP Android.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Disponibilidad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05-disponibilidad.png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Implementada en el MVP Android.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Perfil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06-perfil.png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Implementada en el MVP Android.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Registro de ejecución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07-ejecucion.png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Implementada en el MVP Android.</w:t>
            </w:r>
          </w:p>
        </w:tc>
      </w:tr>
      <w:tr>
        <w:trPr>
          <w:cantSplit w:val="0"/>
          <w:trHeight w:val="640" w:hRule="atLeast"/>
          <w:tblHeader w:val="0"/>
          <w:cantSplit/>
        </w:trPr>
        <w:tc>
          <w:tcPr>
            <w:tcW w:type="dxa" w:w="172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Historial</w:t>
            </w:r>
          </w:p>
        </w:tc>
        <w:tc>
          <w:tcPr>
            <w:tcW w:type="dxa" w:w="259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08-historial.png</w:t>
            </w:r>
          </w:p>
        </w:tc>
        <w:tc>
          <w:tcPr>
            <w:tcW w:type="dxa" w:w="158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Codex</w:t>
            </w:r>
          </w:p>
        </w:tc>
        <w:tc>
          <w:tcPr>
            <w:tcW w:type="dxa" w:w="388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Implementada en el MVP Android.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E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OutlinedTextField, Button, Surface de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Ingresar datos y mostrar errores.</w:t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Inicio / 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TopAppBar, Card, Button, 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Mostrar accesos y resumen; navegación según rol.</w:t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Servicios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OutlinedTextField, FilterChip,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Buscar, filtrar y abrir una asignación.</w:t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Detalle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TopAppBar, Card, Button, OutlinedButton, AlertDialog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Revisar datos y confirmar una respuesta.</w:t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Disponibilidad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Calendario mensual, Switch,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Seleccionar fecha, bloquear un día y guardar.</w:t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Perfil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OutlinedTextField, Button, Surface de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Editar datos ficticios y mostrar validaciones.</w:t>
            </w:r>
          </w:p>
        </w:tc>
      </w:tr>
      <w:tr>
        <w:trPr>
          <w:cantSplit w:val="0"/>
          <w:trHeight w:val="580" w:hRule="atLeast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Ejecución, historial, equipo y ficha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Card, Button, TopAppBar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spacing w:after="0" w:before="0" w:lineRule="auto"/>
              <w:rPr/>
            </w:pPr>
            <w:r>
              <w:rPr>
                <w:rtl w:val="0"/>
              </w:rPr>
              <w:t>Registrar hitos, consultar historial, reasignar y calificar.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Surface de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06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spacing w:after="0" w:before="0" w:lineRule="auto"/>
              <w:rPr>
                <w:sz w:val="18"/>
                <w:szCs w:val="18"/>
              </w:rPr>
            </w:pPr>
            <w:r>
              <w:rPr>
                <w:rtl w:val="0"/>
              </w:rPr>
              <w:t>Vicente Krausse: coordinador. Luis Fermin: diseñador. Jeremy Ibañez: desarrollador.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spacing w:after="0" w:before="0" w:lineRule="auto"/>
              <w:rPr>
                <w:sz w:val="18"/>
                <w:szCs w:val="18"/>
              </w:rPr>
            </w:pPr>
            <w:r>
              <w:rPr>
                <w:rtl w:val="0"/>
              </w:rPr>
              <w:t>Tecnologías implementadas: Android, Kotlin, Jetpack Compose y Material 3; MVVM y persistencia local en JSON con datos ficticios. La app no depende de backend ni de conexión.</w:t>
            </w:r>
          </w:p>
        </w:tc>
      </w:tr>
    </w:tbl>
    <w:p w:rsidR="00000000" w:rsidDel="00000000" w:rsidP="00000000" w:rsidRDefault="00000000" w:rsidRPr="00000000" w14:paraId="000001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>Evidencia_Clase_02_Diseno_Equipo05.docx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>Proyecto-lince/docs/evidencias/clase-02/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spacing w:after="0" w:before="0" w:lineRule="auto"/>
              <w:rPr/>
            </w:pPr>
            <w:r>
              <w:rPr>
                <w:sz w:val="18"/>
                <w:szCs w:val="18"/>
                <w:rtl w:val="0"/>
              </w:rPr>
              <w:t>Proyecto-lince/docs/diseno/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2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" w:lineRule="auto"/>
        <w:rPr/>
      </w:pPr>
      <w:r>
        <w:rPr>
          <w:sz w:val="18"/>
          <w:szCs w:val="18"/>
          <w:rtl w:val="0"/>
        </w:rPr>
        <w:t>Respuesta: Sí, el README y la carpeta de diseño reúnen el propósito, el flujo UML, las pantallas, los colores y los componentes. El diseño base fue implementado en el MVP Android y la documentación se mantiene alineada con la app.</w:t>
      </w:r>
    </w:p>
    <w:p w:rsidR="00000000" w:rsidDel="00000000" w:rsidP="00000000" w:rsidRDefault="00000000" w:rsidRPr="00000000" w14:paraId="00000134">
      <w:pPr>
        <w:spacing w:before="240" w:lineRule="auto"/>
        <w:jc w:val="center"/>
        <w:rPr/>
      </w:pPr>
      <w:r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>DISEÑO BASE IMPLEMENTADO EN EL MVP</w:t>
      </w:r>
    </w:p>
    <w:p>
      <w:r>
        <w:br w:type="page"/>
      </w:r>
    </w:p>
    <w:p>
      <w:pPr>
        <w:pStyle w:val="Heading1"/>
      </w:pPr>
      <w:r>
        <w:t>Anexo visual del flujo UML</w:t>
      </w:r>
    </w:p>
    <w:p>
      <w:pPr>
        <w:jc w:val="center"/>
      </w:pPr>
      <w:r>
        <w:drawing>
          <wp:inline>
            <wp:extent cx="5715000" cy="7616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usuario-um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1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Interfaces propuestas 1</w:t>
      </w:r>
    </w:p>
    <w:p>
      <w:r>
        <w:t>Referencias visuales usadas en la implementación del MVP.</w:t>
      </w:r>
    </w:p>
    <w:p>
      <w:r>
        <w:drawing>
          <wp:inline>
            <wp:extent cx="6217920" cy="42455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-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4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Interfaces propuestas 2</w:t>
      </w:r>
    </w:p>
    <w:p>
      <w:r>
        <w:t>Referencias visuales usadas en la implementación del MVP.</w:t>
      </w:r>
    </w:p>
    <w:p>
      <w:r>
        <w:drawing>
          <wp:inline>
            <wp:extent cx="6217920" cy="42455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-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4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Interfaces propuestas 3</w:t>
      </w:r>
    </w:p>
    <w:p>
      <w:r>
        <w:t>Referencias visuales usadas en la implementación del MVP.</w:t>
      </w:r>
    </w:p>
    <w:p>
      <w:r>
        <w:drawing>
          <wp:inline>
            <wp:extent cx="6217920" cy="42455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-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4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última vista es una variante de Inicio / resumen para el coordinador. No agrega una función nueva al MVP.</w:t>
      </w:r>
    </w:p>
    <w:sectPr>
      <w:headerReference r:id="rId15" w:type="default"/>
      <w:footerReference r:id="rId16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aistudio.google.com/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stitch.with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get-started/writing-on-github/working-with-advanced-formatting/creating-diagrams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m3.material.io/components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uxables.com/diseno-ux-ui/psicologia-y-teoria-del-color-en-el-diseno-de-interfaces/" TargetMode="Externa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planttext.com/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