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2.26 | 28 August 2026 | OPS-09 shipped, first real backend SAST pass -- see new Change Log entry below</w:t>
      </w:r>
    </w:p>
    <w:p>
      <w:pPr>
        <w:pStyle w:val="Heading2"/>
        <w:spacing w:after="100" w:before="240"/>
      </w:pPr>
      <w:r>
        <w:rPr>
          <w:rFonts w:ascii="Calibri" w:cs="Calibri" w:eastAsia="Calibri" w:hAnsi="Calibri"/>
          <w:b/>
          <w:bCs/>
          <w:color w:val="1F3864"/>
          <w:sz w:val="24"/>
          <w:szCs w:val="24"/>
        </w:rPr>
        <w:t xml:space="preserve">Change Log — v2.25 → v2.26 (this update)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28 Aug 2026: dependency scanning real and repeatable since 27 Aug (pip-audit + npm audit, both clean, wrapped in scripts/security_scan.sh). NEW this pass: first real backend SAST pass (bandit) -- 2 genuine hardening gaps found and fixed (predictable world-readable /tmp upload directories, now locked down; a related filename-collision race fixed alongside), 5 false positives confirmed against SQL-01's whitelist design and documented/suppressed, 1 real-but-dead-code SQL-injection-shaped pattern flagged as an open decision rather than silently patched or deleted. Not wired into the standing script -- whether SAST should gate a deploy is a separate decision. This audit continues to function as ongoing manual adversarial review on top of all of this (2 real cross-tenant leaks found and fixed to date). Container-image scanning, penetration testing, frontend SAST, and the remaining 36 low-severity bandit findings all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