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2.27 | 28 August 2026 | REP-01/REP-02 real CSV/PDF export + audit trail shipped -- see new Change Log entry below</w:t>
      </w:r>
    </w:p>
    <w:p>
      <w:pPr>
        <w:pStyle w:val="Heading2"/>
        <w:spacing w:after="100" w:before="240"/>
      </w:pPr>
      <w:r>
        <w:rPr>
          <w:rFonts w:ascii="Calibri" w:cs="Calibri" w:eastAsia="Calibri" w:hAnsi="Calibri"/>
          <w:b/>
          <w:bCs/>
          <w:color w:val="1F3864"/>
          <w:sz w:val="24"/>
          <w:szCs w:val="24"/>
        </w:rPr>
        <w:t xml:space="preserve">Change Log — v2.26 → v2.27 (this update)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28 Aug 2026: dependency scanning real and repeatable since 27 Aug (pip-audit + npm audit, both clean, wrapped in scripts/security_scan.sh). NEW this pass: first real backend SAST pass (bandit) -- 2 genuine hardening gaps found and fixed (predictable world-readable /tmp upload directories, now locked down; a related filename-collision race fixed alongside), 5 false positives confirmed against SQL-01's whitelist design and documented/suppressed, 1 real-but-dead-code SQL-injection-shaped pattern flagged as an open decision rather than silently patched or deleted. Not wired into the standing script -- whether SAST should gate a deploy is a separate decision. This audit continues to function as ongoing manual adversarial review on top of all of this (2 real cross-tenant leaks found and fixed to date). Container-image scanning, penetration testing, frontend SAST, and the remaining 36 low-severity bandit findings all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