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2.32 | 2 September 2026 | CORP-01/CORP-02: Eivanta Holdings umbrella company structure decision logged -- see new Change Log entry below</w:t>
      </w:r>
    </w:p>
    <w:p>
      <w:pPr>
        <w:pStyle w:val="Heading2"/>
        <w:spacing w:after="100" w:before="240"/>
      </w:pPr>
      <w:r>
        <w:rPr>
          <w:rFonts w:ascii="Calibri" w:cs="Calibri" w:eastAsia="Calibri" w:hAnsi="Calibri"/>
          <w:b/>
          <w:bCs/>
          <w:color w:val="1F3864"/>
          <w:sz w:val="24"/>
          <w:szCs w:val="24"/>
        </w:rPr>
        <w:t xml:space="preserve">Change Log — v2.31 → v2.32 (this update)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Eivanta Holdings becomes the parent/umbrella company; this product becomes its own standalone SaaS, Eivanta Analytics; Eivanta Dispatch, Eivanta Fleet, and Eivanta Code (each in early/foundational stages, outside this repo) become sibling products under the same umbrella.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logged only): once Eivanta Holdings and its sibling products are further along, a Holdings-level site will market the full product family together, alongside Eivanta Analytics. Related to, but distinct from, the existing MKT-01 single-product marketing-site item below (same eivanta.com domain, different scope once the umbrella exists). Explicitly deferred by the founder -- future item only, not started.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