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64"/>
          <w:szCs w:val="64"/>
        </w:rPr>
        <w:t xml:space="preserve">EIVANTA HOLDINGS</w:t>
      </w:r>
    </w:p>
    <w:p>
      <w:pPr>
        <w:spacing w:after="80" w:before="200"/>
        <w:jc w:val="center"/>
      </w:pPr>
      <w:r>
        <w:rPr>
          <w:rFonts w:ascii="Calibri" w:cs="Calibri" w:eastAsia="Calibri" w:hAnsi="Calibri"/>
          <w:color w:val="44546A"/>
          <w:sz w:val="36"/>
          <w:szCs w:val="36"/>
        </w:rPr>
        <w:t xml:space="preserve">Business Plan</w:t>
      </w:r>
    </w:p>
    <w:p>
      <w:pPr>
        <w:spacing w:after="40" w:before="300"/>
        <w:jc w:val="center"/>
      </w:pPr>
      <w:r>
        <w:rPr>
          <w:rFonts w:ascii="Calibri" w:cs="Calibri" w:eastAsia="Calibri" w:hAnsi="Calibri"/>
          <w:i/>
          <w:iCs/>
          <w:color w:val="595959"/>
          <w:sz w:val="22"/>
          <w:szCs w:val="22"/>
        </w:rPr>
        <w:t xml:space="preserve">“Autonomous Intelligence. Uncompromised Control.”</w:t>
      </w:r>
    </w:p>
    <w:p>
      <w:pPr>
        <w:spacing w:before="1600"/>
      </w:pPr>
    </w:p>
    <w:p>
      <w:pPr>
        <w:jc w:val="center"/>
      </w:pPr>
      <w:r>
        <w:rPr>
          <w:rFonts w:ascii="Calibri" w:cs="Calibri" w:eastAsia="Calibri" w:hAnsi="Calibri"/>
          <w:color w:val="595959"/>
          <w:sz w:val="19"/>
          <w:szCs w:val="19"/>
        </w:rPr>
        <w:t xml:space="preserve">Prepared for</w:t>
      </w:r>
    </w:p>
    <w:p>
      <w:pPr>
        <w:spacing w:after="40"/>
        <w:jc w:val="center"/>
      </w:pPr>
      <w:r>
        <w:rPr>
          <w:rFonts w:ascii="Calibri" w:cs="Calibri" w:eastAsia="Calibri" w:hAnsi="Calibri"/>
          <w:b/>
          <w:bCs/>
          <w:color w:val="1A1A1A"/>
          <w:sz w:val="24"/>
          <w:szCs w:val="24"/>
        </w:rPr>
        <w:t xml:space="preserve">Lamarcus Guiton, Founder &amp; CEO</w:t>
      </w:r>
    </w:p>
    <w:p>
      <w:pPr>
        <w:spacing w:before="300"/>
        <w:jc w:val="center"/>
      </w:pPr>
      <w:r>
        <w:rPr>
          <w:rFonts w:ascii="Calibri" w:cs="Calibri" w:eastAsia="Calibri" w:hAnsi="Calibri"/>
          <w:color w:val="595959"/>
          <w:sz w:val="19"/>
          <w:szCs w:val="19"/>
        </w:rPr>
        <w:t xml:space="preserve">September 2026</w:t>
      </w:r>
    </w:p>
    <w:p>
      <w:pPr>
        <w:spacing w:before="40"/>
        <w:jc w:val="center"/>
      </w:pPr>
      <w:r>
        <w:rPr>
          <w:rFonts w:ascii="Calibri" w:cs="Calibri" w:eastAsia="Calibri" w:hAnsi="Calibri"/>
          <w:i/>
          <w:iCs/>
          <w:color w:val="595959"/>
          <w:sz w:val="16"/>
          <w:szCs w:val="16"/>
        </w:rPr>
        <w:t xml:space="preserve">Confidential — prepared for internal and prospective-partner use</w:t>
      </w:r>
    </w:p>
    <w:p>
      <w:r>
        <w:br w:type="page"/>
      </w:r>
    </w:p>
    <w:p>
      <w:pPr>
        <w:sectPr>
          <w:pgSz w:w="12240" w:h="15840" w:orient="portrait"/>
          <w:pgMar w:top="1080" w:right="1260" w:bottom="1080" w:left="1260" w:header="708" w:footer="708" w:gutter="0"/>
          <w:pgNumType/>
          <w:docGrid w:linePitch="360"/>
        </w:sectPr>
      </w:pPr>
    </w:p>
    <w:p>
      <w:pPr>
        <w:pStyle w:val="Heading1"/>
        <w:pBdr>
          <w:bottom w:val="single" w:color="B8C4D9" w:sz="4" w:space="4"/>
        </w:pBdr>
        <w:spacing w:after="200" w:before="420"/>
      </w:pPr>
      <w:r>
        <w:rPr>
          <w:rFonts w:ascii="Calibri" w:cs="Calibri" w:eastAsia="Calibri" w:hAnsi="Calibri"/>
          <w:b/>
          <w:bCs/>
          <w:color w:val="1F3864"/>
          <w:sz w:val="30"/>
          <w:szCs w:val="30"/>
        </w:rPr>
        <w:t xml:space="preserve">Table of Contents</w:t>
      </w:r>
    </w:p>
    <w:p>
      <w:pPr>
        <w:tabs>
          <w:tab w:val="right" w:pos="9700" w:leader="dot"/>
        </w:tabs>
        <w:spacing w:after="120"/>
      </w:pPr>
      <w:r>
        <w:rPr>
          <w:rFonts w:ascii="Calibri" w:cs="Calibri" w:eastAsia="Calibri" w:hAnsi="Calibri"/>
          <w:b/>
          <w:bCs/>
          <w:color w:val="1A1A1A"/>
          <w:sz w:val="21"/>
          <w:szCs w:val="21"/>
        </w:rPr>
        <w:t xml:space="preserve">1. Executive Summary</w:t>
      </w:r>
      <w:r>
        <w:rPr>
          <w:rFonts w:ascii="Calibri" w:cs="Calibri" w:eastAsia="Calibri" w:hAnsi="Calibri"/>
          <w:sz w:val="21"/>
          <w:szCs w:val="21"/>
        </w:rPr>
        <w:tab/>
      </w:r>
      <w:r>
        <w:rPr>
          <w:rFonts w:ascii="Calibri" w:cs="Calibri" w:eastAsia="Calibri" w:hAnsi="Calibri"/>
          <w:color w:val="1A1A1A"/>
          <w:sz w:val="21"/>
          <w:szCs w:val="21"/>
        </w:rPr>
        <w:t xml:space="preserve">3</w:t>
      </w:r>
    </w:p>
    <w:p>
      <w:pPr>
        <w:tabs>
          <w:tab w:val="right" w:pos="9700" w:leader="dot"/>
        </w:tabs>
        <w:spacing w:after="120"/>
      </w:pPr>
      <w:r>
        <w:rPr>
          <w:rFonts w:ascii="Calibri" w:cs="Calibri" w:eastAsia="Calibri" w:hAnsi="Calibri"/>
          <w:b/>
          <w:bCs/>
          <w:color w:val="1A1A1A"/>
          <w:sz w:val="21"/>
          <w:szCs w:val="21"/>
        </w:rPr>
        <w:t xml:space="preserve">2. Company Overview</w:t>
      </w:r>
      <w:r>
        <w:rPr>
          <w:rFonts w:ascii="Calibri" w:cs="Calibri" w:eastAsia="Calibri" w:hAnsi="Calibri"/>
          <w:sz w:val="21"/>
          <w:szCs w:val="21"/>
        </w:rPr>
        <w:tab/>
      </w:r>
      <w:r>
        <w:rPr>
          <w:rFonts w:ascii="Calibri" w:cs="Calibri" w:eastAsia="Calibri" w:hAnsi="Calibri"/>
          <w:color w:val="1A1A1A"/>
          <w:sz w:val="21"/>
          <w:szCs w:val="21"/>
        </w:rPr>
        <w:t xml:space="preserve">4</w:t>
      </w:r>
    </w:p>
    <w:p>
      <w:pPr>
        <w:tabs>
          <w:tab w:val="right" w:pos="9700" w:leader="dot"/>
        </w:tabs>
        <w:spacing w:after="120"/>
      </w:pPr>
      <w:r>
        <w:rPr>
          <w:rFonts w:ascii="Calibri" w:cs="Calibri" w:eastAsia="Calibri" w:hAnsi="Calibri"/>
          <w:b/>
          <w:bCs/>
          <w:color w:val="1A1A1A"/>
          <w:sz w:val="21"/>
          <w:szCs w:val="21"/>
        </w:rPr>
        <w:t xml:space="preserve">3. Products &amp; Services</w:t>
      </w:r>
      <w:r>
        <w:rPr>
          <w:rFonts w:ascii="Calibri" w:cs="Calibri" w:eastAsia="Calibri" w:hAnsi="Calibri"/>
          <w:sz w:val="21"/>
          <w:szCs w:val="21"/>
        </w:rPr>
        <w:tab/>
      </w:r>
      <w:r>
        <w:rPr>
          <w:rFonts w:ascii="Calibri" w:cs="Calibri" w:eastAsia="Calibri" w:hAnsi="Calibri"/>
          <w:color w:val="1A1A1A"/>
          <w:sz w:val="21"/>
          <w:szCs w:val="21"/>
        </w:rPr>
        <w:t xml:space="preserve">6</w:t>
      </w:r>
    </w:p>
    <w:p>
      <w:pPr>
        <w:tabs>
          <w:tab w:val="right" w:pos="9700" w:leader="dot"/>
        </w:tabs>
        <w:spacing w:after="120"/>
      </w:pPr>
      <w:r>
        <w:rPr>
          <w:rFonts w:ascii="Calibri" w:cs="Calibri" w:eastAsia="Calibri" w:hAnsi="Calibri"/>
          <w:b/>
          <w:bCs/>
          <w:color w:val="1A1A1A"/>
          <w:sz w:val="21"/>
          <w:szCs w:val="21"/>
        </w:rPr>
        <w:t xml:space="preserve">4. Market Analysis</w:t>
      </w:r>
      <w:r>
        <w:rPr>
          <w:rFonts w:ascii="Calibri" w:cs="Calibri" w:eastAsia="Calibri" w:hAnsi="Calibri"/>
          <w:sz w:val="21"/>
          <w:szCs w:val="21"/>
        </w:rPr>
        <w:tab/>
      </w:r>
      <w:r>
        <w:rPr>
          <w:rFonts w:ascii="Calibri" w:cs="Calibri" w:eastAsia="Calibri" w:hAnsi="Calibri"/>
          <w:color w:val="1A1A1A"/>
          <w:sz w:val="21"/>
          <w:szCs w:val="21"/>
        </w:rPr>
        <w:t xml:space="preserve">8</w:t>
      </w:r>
    </w:p>
    <w:p>
      <w:pPr>
        <w:tabs>
          <w:tab w:val="right" w:pos="9700" w:leader="dot"/>
        </w:tabs>
        <w:spacing w:after="120"/>
      </w:pPr>
      <w:r>
        <w:rPr>
          <w:rFonts w:ascii="Calibri" w:cs="Calibri" w:eastAsia="Calibri" w:hAnsi="Calibri"/>
          <w:b/>
          <w:bCs/>
          <w:color w:val="1A1A1A"/>
          <w:sz w:val="21"/>
          <w:szCs w:val="21"/>
        </w:rPr>
        <w:t xml:space="preserve">5. Business Model</w:t>
      </w:r>
      <w:r>
        <w:rPr>
          <w:rFonts w:ascii="Calibri" w:cs="Calibri" w:eastAsia="Calibri" w:hAnsi="Calibri"/>
          <w:sz w:val="21"/>
          <w:szCs w:val="21"/>
        </w:rPr>
        <w:tab/>
      </w:r>
      <w:r>
        <w:rPr>
          <w:rFonts w:ascii="Calibri" w:cs="Calibri" w:eastAsia="Calibri" w:hAnsi="Calibri"/>
          <w:color w:val="1A1A1A"/>
          <w:sz w:val="21"/>
          <w:szCs w:val="21"/>
        </w:rPr>
        <w:t xml:space="preserve">10</w:t>
      </w:r>
    </w:p>
    <w:p>
      <w:pPr>
        <w:tabs>
          <w:tab w:val="right" w:pos="9700" w:leader="dot"/>
        </w:tabs>
        <w:spacing w:after="120"/>
      </w:pPr>
      <w:r>
        <w:rPr>
          <w:rFonts w:ascii="Calibri" w:cs="Calibri" w:eastAsia="Calibri" w:hAnsi="Calibri"/>
          <w:b/>
          <w:bCs/>
          <w:color w:val="1A1A1A"/>
          <w:sz w:val="21"/>
          <w:szCs w:val="21"/>
        </w:rPr>
        <w:t xml:space="preserve">6. Technology &amp; Security</w:t>
      </w:r>
      <w:r>
        <w:rPr>
          <w:rFonts w:ascii="Calibri" w:cs="Calibri" w:eastAsia="Calibri" w:hAnsi="Calibri"/>
          <w:sz w:val="21"/>
          <w:szCs w:val="21"/>
        </w:rPr>
        <w:tab/>
      </w:r>
      <w:r>
        <w:rPr>
          <w:rFonts w:ascii="Calibri" w:cs="Calibri" w:eastAsia="Calibri" w:hAnsi="Calibri"/>
          <w:color w:val="1A1A1A"/>
          <w:sz w:val="21"/>
          <w:szCs w:val="21"/>
        </w:rPr>
        <w:t xml:space="preserve">11</w:t>
      </w:r>
    </w:p>
    <w:p>
      <w:pPr>
        <w:tabs>
          <w:tab w:val="right" w:pos="9700" w:leader="dot"/>
        </w:tabs>
        <w:spacing w:after="120"/>
      </w:pPr>
      <w:r>
        <w:rPr>
          <w:rFonts w:ascii="Calibri" w:cs="Calibri" w:eastAsia="Calibri" w:hAnsi="Calibri"/>
          <w:b/>
          <w:bCs/>
          <w:color w:val="1A1A1A"/>
          <w:sz w:val="21"/>
          <w:szCs w:val="21"/>
        </w:rPr>
        <w:t xml:space="preserve">7. Go-to-Market &amp; Brand Strategy</w:t>
      </w:r>
      <w:r>
        <w:rPr>
          <w:rFonts w:ascii="Calibri" w:cs="Calibri" w:eastAsia="Calibri" w:hAnsi="Calibri"/>
          <w:sz w:val="21"/>
          <w:szCs w:val="21"/>
        </w:rPr>
        <w:tab/>
      </w:r>
      <w:r>
        <w:rPr>
          <w:rFonts w:ascii="Calibri" w:cs="Calibri" w:eastAsia="Calibri" w:hAnsi="Calibri"/>
          <w:color w:val="1A1A1A"/>
          <w:sz w:val="21"/>
          <w:szCs w:val="21"/>
        </w:rPr>
        <w:t xml:space="preserve">12</w:t>
      </w:r>
    </w:p>
    <w:p>
      <w:pPr>
        <w:tabs>
          <w:tab w:val="right" w:pos="9700" w:leader="dot"/>
        </w:tabs>
        <w:spacing w:after="120"/>
      </w:pPr>
      <w:r>
        <w:rPr>
          <w:rFonts w:ascii="Calibri" w:cs="Calibri" w:eastAsia="Calibri" w:hAnsi="Calibri"/>
          <w:b/>
          <w:bCs/>
          <w:color w:val="1A1A1A"/>
          <w:sz w:val="21"/>
          <w:szCs w:val="21"/>
        </w:rPr>
        <w:t xml:space="preserve">8. Product Roadmap &amp; Milestones</w:t>
      </w:r>
      <w:r>
        <w:rPr>
          <w:rFonts w:ascii="Calibri" w:cs="Calibri" w:eastAsia="Calibri" w:hAnsi="Calibri"/>
          <w:sz w:val="21"/>
          <w:szCs w:val="21"/>
        </w:rPr>
        <w:tab/>
      </w:r>
      <w:r>
        <w:rPr>
          <w:rFonts w:ascii="Calibri" w:cs="Calibri" w:eastAsia="Calibri" w:hAnsi="Calibri"/>
          <w:color w:val="1A1A1A"/>
          <w:sz w:val="21"/>
          <w:szCs w:val="21"/>
        </w:rPr>
        <w:t xml:space="preserve">13</w:t>
      </w:r>
    </w:p>
    <w:p>
      <w:pPr>
        <w:tabs>
          <w:tab w:val="right" w:pos="9700" w:leader="dot"/>
        </w:tabs>
        <w:spacing w:after="120"/>
      </w:pPr>
      <w:r>
        <w:rPr>
          <w:rFonts w:ascii="Calibri" w:cs="Calibri" w:eastAsia="Calibri" w:hAnsi="Calibri"/>
          <w:b/>
          <w:bCs/>
          <w:color w:val="1A1A1A"/>
          <w:sz w:val="21"/>
          <w:szCs w:val="21"/>
        </w:rPr>
        <w:t xml:space="preserve">9. Organization &amp; Management</w:t>
      </w:r>
      <w:r>
        <w:rPr>
          <w:rFonts w:ascii="Calibri" w:cs="Calibri" w:eastAsia="Calibri" w:hAnsi="Calibri"/>
          <w:sz w:val="21"/>
          <w:szCs w:val="21"/>
        </w:rPr>
        <w:tab/>
      </w:r>
      <w:r>
        <w:rPr>
          <w:rFonts w:ascii="Calibri" w:cs="Calibri" w:eastAsia="Calibri" w:hAnsi="Calibri"/>
          <w:color w:val="1A1A1A"/>
          <w:sz w:val="21"/>
          <w:szCs w:val="21"/>
        </w:rPr>
        <w:t xml:space="preserve">15</w:t>
      </w:r>
    </w:p>
    <w:p>
      <w:pPr>
        <w:tabs>
          <w:tab w:val="right" w:pos="9700" w:leader="dot"/>
        </w:tabs>
        <w:spacing w:after="120"/>
      </w:pPr>
      <w:r>
        <w:rPr>
          <w:rFonts w:ascii="Calibri" w:cs="Calibri" w:eastAsia="Calibri" w:hAnsi="Calibri"/>
          <w:b/>
          <w:bCs/>
          <w:color w:val="1A1A1A"/>
          <w:sz w:val="21"/>
          <w:szCs w:val="21"/>
        </w:rPr>
        <w:t xml:space="preserve">10. Financial Overview</w:t>
      </w:r>
      <w:r>
        <w:rPr>
          <w:rFonts w:ascii="Calibri" w:cs="Calibri" w:eastAsia="Calibri" w:hAnsi="Calibri"/>
          <w:sz w:val="21"/>
          <w:szCs w:val="21"/>
        </w:rPr>
        <w:tab/>
      </w:r>
      <w:r>
        <w:rPr>
          <w:rFonts w:ascii="Calibri" w:cs="Calibri" w:eastAsia="Calibri" w:hAnsi="Calibri"/>
          <w:color w:val="1A1A1A"/>
          <w:sz w:val="21"/>
          <w:szCs w:val="21"/>
        </w:rPr>
        <w:t xml:space="preserve">16</w:t>
      </w:r>
    </w:p>
    <w:p>
      <w:pPr>
        <w:tabs>
          <w:tab w:val="right" w:pos="9700" w:leader="dot"/>
        </w:tabs>
        <w:spacing w:after="120"/>
      </w:pPr>
      <w:r>
        <w:rPr>
          <w:rFonts w:ascii="Calibri" w:cs="Calibri" w:eastAsia="Calibri" w:hAnsi="Calibri"/>
          <w:b/>
          <w:bCs/>
          <w:color w:val="1A1A1A"/>
          <w:sz w:val="21"/>
          <w:szCs w:val="21"/>
        </w:rPr>
        <w:t xml:space="preserve">11. Risk Factors &amp; Mitigations</w:t>
      </w:r>
      <w:r>
        <w:rPr>
          <w:rFonts w:ascii="Calibri" w:cs="Calibri" w:eastAsia="Calibri" w:hAnsi="Calibri"/>
          <w:sz w:val="21"/>
          <w:szCs w:val="21"/>
        </w:rPr>
        <w:tab/>
      </w:r>
      <w:r>
        <w:rPr>
          <w:rFonts w:ascii="Calibri" w:cs="Calibri" w:eastAsia="Calibri" w:hAnsi="Calibri"/>
          <w:color w:val="1A1A1A"/>
          <w:sz w:val="21"/>
          <w:szCs w:val="21"/>
        </w:rPr>
        <w:t xml:space="preserve">17</w:t>
      </w:r>
    </w:p>
    <w:p>
      <w:pPr>
        <w:tabs>
          <w:tab w:val="right" w:pos="9700" w:leader="dot"/>
        </w:tabs>
        <w:spacing w:after="120"/>
      </w:pPr>
      <w:r>
        <w:rPr>
          <w:rFonts w:ascii="Calibri" w:cs="Calibri" w:eastAsia="Calibri" w:hAnsi="Calibri"/>
          <w:b/>
          <w:bCs/>
          <w:color w:val="1A1A1A"/>
          <w:sz w:val="21"/>
          <w:szCs w:val="21"/>
        </w:rPr>
        <w:t xml:space="preserve">12. Appendix</w:t>
      </w:r>
      <w:r>
        <w:rPr>
          <w:rFonts w:ascii="Calibri" w:cs="Calibri" w:eastAsia="Calibri" w:hAnsi="Calibri"/>
          <w:sz w:val="21"/>
          <w:szCs w:val="21"/>
        </w:rPr>
        <w:tab/>
      </w:r>
      <w:r>
        <w:rPr>
          <w:rFonts w:ascii="Calibri" w:cs="Calibri" w:eastAsia="Calibri" w:hAnsi="Calibri"/>
          <w:color w:val="1A1A1A"/>
          <w:sz w:val="21"/>
          <w:szCs w:val="21"/>
        </w:rPr>
        <w:t xml:space="preserve">18</w:t>
      </w:r>
    </w:p>
    <w:p>
      <w:r>
        <w:br w:type="page"/>
      </w:r>
    </w:p>
    <w:p>
      <w:pPr>
        <w:pStyle w:val="Heading1"/>
        <w:pBdr>
          <w:bottom w:val="single" w:color="B8C4D9" w:sz="4" w:space="4"/>
        </w:pBdr>
        <w:spacing w:after="200" w:before="420"/>
      </w:pPr>
      <w:r>
        <w:rPr>
          <w:rFonts w:ascii="Calibri" w:cs="Calibri" w:eastAsia="Calibri" w:hAnsi="Calibri"/>
          <w:b/>
          <w:bCs/>
          <w:color w:val="1F3864"/>
          <w:sz w:val="30"/>
          <w:szCs w:val="30"/>
        </w:rPr>
        <w:t xml:space="preserve">1. Executive Summary</w:t>
      </w:r>
    </w:p>
    <w:p>
      <w:pPr>
        <w:spacing w:after="160" w:line="288"/>
      </w:pPr>
      <w:r>
        <w:rPr>
          <w:rFonts w:ascii="Calibri" w:cs="Calibri" w:eastAsia="Calibri" w:hAnsi="Calibri"/>
          <w:i w:val="false"/>
          <w:iCs w:val="false"/>
          <w:color w:val="1A1A1A"/>
          <w:sz w:val="21"/>
          <w:szCs w:val="21"/>
        </w:rPr>
        <w:t xml:space="preserve">Eivanta Holdings is a founder-led software holding company built around a simple idea: take the same disciplined, security-first engineering approach and apply it across a small family of vertical SaaS products, each solving a real operational problem for small and mid-sized businesses in its own niche, all sharing one brand architecture and one operating playbook.</w:t>
      </w:r>
    </w:p>
    <w:p>
      <w:pPr>
        <w:spacing w:after="160" w:line="288"/>
      </w:pPr>
      <w:r>
        <w:rPr>
          <w:rFonts w:ascii="Calibri" w:cs="Calibri" w:eastAsia="Calibri" w:hAnsi="Calibri"/>
          <w:i w:val="false"/>
          <w:iCs w:val="false"/>
          <w:color w:val="1A1A1A"/>
          <w:sz w:val="21"/>
          <w:szCs w:val="21"/>
        </w:rPr>
        <w:t xml:space="preserve">The company's first product, Eivanta Analytics, is live in active development today. It is a multi-tenant, AI-driven business-intelligence platform that connects a company's operational data to a fourteen-agent AI network and turns that data into analytics, forecasts, and executive-style financial briefings — the kind of insight that, until recently, only a company large enough to employ a full finance team could generate for itself. Eivanta Analytics is the company's sole live product and near-term focus; everything else described in this plan is a deliberate, sequenced future direction, not concurrent work.</w:t>
      </w:r>
    </w:p>
    <w:p>
      <w:pPr>
        <w:spacing w:after="160" w:line="288"/>
      </w:pPr>
      <w:r>
        <w:rPr>
          <w:rFonts w:ascii="Calibri" w:cs="Calibri" w:eastAsia="Calibri" w:hAnsi="Calibri"/>
          <w:i w:val="false"/>
          <w:iCs w:val="false"/>
          <w:color w:val="1A1A1A"/>
          <w:sz w:val="21"/>
          <w:szCs w:val="21"/>
        </w:rPr>
        <w:t xml:space="preserve">Beyond Analytics, Eivanta Holdings' longer-term ambition is to build or acquire a small portfolio of additional vertical products — Eivanta Dispatch, Eivanta Fleet, Eivanta Code, Eivanta Health, Eivanta Rent, and Eivanta Construct — each targeting a distinct industry niche, each carrying the Eivanta name, and each benefiting from shared infrastructure, shared brand trust, and lessons learned building the first product. This mirrors a well-established playbook in enterprise software: large, durable software holding companies have been built by acquiring or building focused, niche products rather than one company trying to be everything to everyone.</w:t>
      </w:r>
    </w:p>
    <w:p>
      <w:pPr>
        <w:spacing w:after="160" w:line="288"/>
      </w:pPr>
      <w:r>
        <w:rPr>
          <w:rFonts w:ascii="Calibri" w:cs="Calibri" w:eastAsia="Calibri" w:hAnsi="Calibri"/>
          <w:i w:val="false"/>
          <w:iCs w:val="false"/>
          <w:color w:val="1A1A1A"/>
          <w:sz w:val="21"/>
          <w:szCs w:val="21"/>
        </w:rPr>
        <w:t xml:space="preserve">This plan is intentionally honest about where the company actually stands today: Eivanta Analytics is pre-launch and pre-revenue, built by a solo founder with AI-assisted software engineering support, with a real, verified security and architecture foundation already in place and a clear, scheduled path to a production-ready launch. The five additional product lines are directional, not committed or scheduled — they exist here to describe the destination, not to imply parallel work is underway. Formal financial projections and a funding ask are deliberately not included in this version of the plan; they belong in a follow-on document built with a qualified accountant or financial advisor once real usage data exists.</w:t>
      </w:r>
    </w:p>
    <w:p>
      <w:pPr>
        <w:pStyle w:val="Heading2"/>
        <w:spacing w:after="140" w:before="280"/>
      </w:pPr>
      <w:r>
        <w:rPr>
          <w:rFonts w:ascii="Calibri" w:cs="Calibri" w:eastAsia="Calibri" w:hAnsi="Calibri"/>
          <w:b/>
          <w:bCs/>
          <w:color w:val="1F3864"/>
          <w:sz w:val="24"/>
          <w:szCs w:val="24"/>
        </w:rPr>
        <w:t xml:space="preserve">What Makes This Plan Different</w:t>
      </w:r>
    </w:p>
    <w:p>
      <w:pPr>
        <w:pStyle w:val="ListParagraph"/>
        <w:numPr>
          <w:ilvl w:val="0"/>
          <w:numId w:val="2"/>
        </w:numPr>
        <w:spacing w:after="100" w:line="276"/>
      </w:pPr>
      <w:r>
        <w:rPr>
          <w:rFonts w:ascii="Calibri" w:cs="Calibri" w:eastAsia="Calibri" w:hAnsi="Calibri"/>
          <w:b/>
          <w:bCs/>
          <w:sz w:val="21"/>
          <w:szCs w:val="21"/>
        </w:rPr>
        <w:t xml:space="preserve">It's grounded in a real, working product, </w:t>
      </w:r>
      <w:r>
        <w:rPr>
          <w:rFonts w:ascii="Calibri" w:cs="Calibri" w:eastAsia="Calibri" w:hAnsi="Calibri"/>
          <w:sz w:val="21"/>
          <w:szCs w:val="21"/>
        </w:rPr>
        <w:t xml:space="preserve">not a concept. Eivanta Analytics already has a functioning fourteen-agent architecture, real tenant-isolated data storage, a disclosed and tested Monthly Recurring Revenue calculation, and a security program (authentication, role-based access control, rate limiting, audit logging) that has been built and verified against a real automated test suite — not merely described.</w:t>
      </w:r>
    </w:p>
    <w:p>
      <w:pPr>
        <w:pStyle w:val="ListParagraph"/>
        <w:numPr>
          <w:ilvl w:val="0"/>
          <w:numId w:val="2"/>
        </w:numPr>
        <w:spacing w:after="100" w:line="276"/>
      </w:pPr>
      <w:r>
        <w:rPr>
          <w:rFonts w:ascii="Calibri" w:cs="Calibri" w:eastAsia="Calibri" w:hAnsi="Calibri"/>
          <w:b/>
          <w:bCs/>
          <w:sz w:val="21"/>
          <w:szCs w:val="21"/>
        </w:rPr>
        <w:t xml:space="preserve">It's honest about maturity. </w:t>
      </w:r>
      <w:r>
        <w:rPr>
          <w:rFonts w:ascii="Calibri" w:cs="Calibri" w:eastAsia="Calibri" w:hAnsi="Calibri"/>
          <w:sz w:val="21"/>
          <w:szCs w:val="21"/>
        </w:rPr>
        <w:t xml:space="preserve">Every capability referenced in this plan is labeled by its real, current build status — done, partial, or planned — the same discipline used internally on the company's own engineering roadmap. Nothing here claims to be finished that isn't.</w:t>
      </w:r>
    </w:p>
    <w:p>
      <w:pPr>
        <w:pStyle w:val="ListParagraph"/>
        <w:numPr>
          <w:ilvl w:val="0"/>
          <w:numId w:val="2"/>
        </w:numPr>
        <w:spacing w:after="100" w:line="276"/>
      </w:pPr>
      <w:r>
        <w:rPr>
          <w:rFonts w:ascii="Calibri" w:cs="Calibri" w:eastAsia="Calibri" w:hAnsi="Calibri"/>
          <w:b/>
          <w:bCs/>
          <w:sz w:val="21"/>
          <w:szCs w:val="21"/>
        </w:rPr>
        <w:t xml:space="preserve">It names real competitors and real gaps. </w:t>
      </w:r>
      <w:r>
        <w:rPr>
          <w:rFonts w:ascii="Calibri" w:cs="Calibri" w:eastAsia="Calibri" w:hAnsi="Calibri"/>
          <w:sz w:val="21"/>
          <w:szCs w:val="21"/>
        </w:rPr>
        <w:t xml:space="preserve">The market analysis in Section 4 is built from a live competitive review of three specific, priced competitors, not a generic industry overview.</w:t>
      </w:r>
    </w:p>
    <w:p>
      <w:r>
        <w:br w:type="page"/>
      </w:r>
    </w:p>
    <w:p>
      <w:pPr>
        <w:pStyle w:val="Heading1"/>
        <w:pBdr>
          <w:bottom w:val="single" w:color="B8C4D9" w:sz="4" w:space="4"/>
        </w:pBdr>
        <w:spacing w:after="200" w:before="420"/>
      </w:pPr>
      <w:r>
        <w:rPr>
          <w:rFonts w:ascii="Calibri" w:cs="Calibri" w:eastAsia="Calibri" w:hAnsi="Calibri"/>
          <w:b/>
          <w:bCs/>
          <w:color w:val="1F3864"/>
          <w:sz w:val="30"/>
          <w:szCs w:val="30"/>
        </w:rPr>
        <w:t xml:space="preserve">2. Company Overview</w:t>
      </w:r>
    </w:p>
    <w:p>
      <w:pPr>
        <w:pStyle w:val="Heading2"/>
        <w:spacing w:after="140" w:before="280"/>
      </w:pPr>
      <w:r>
        <w:rPr>
          <w:rFonts w:ascii="Calibri" w:cs="Calibri" w:eastAsia="Calibri" w:hAnsi="Calibri"/>
          <w:b/>
          <w:bCs/>
          <w:color w:val="1F3864"/>
          <w:sz w:val="24"/>
          <w:szCs w:val="24"/>
        </w:rPr>
        <w:t xml:space="preserve">2.1 Company Description</w:t>
      </w:r>
    </w:p>
    <w:p>
      <w:pPr>
        <w:spacing w:after="160" w:line="288"/>
      </w:pPr>
      <w:r>
        <w:rPr>
          <w:rFonts w:ascii="Calibri" w:cs="Calibri" w:eastAsia="Calibri" w:hAnsi="Calibri"/>
          <w:i w:val="false"/>
          <w:iCs w:val="false"/>
          <w:color w:val="1A1A1A"/>
          <w:sz w:val="21"/>
          <w:szCs w:val="21"/>
        </w:rPr>
        <w:t xml:space="preserve">Eivanta Holdings is the parent company for a planned family of vertical SaaS products, each named 'Eivanta' plus the industry or function it serves — a naming convention deliberately modeled on how Zoho and Intuit brand their own product families. The parent name itself, 'Eivanta Holdings,' is kept deliberately plain and abstract rather than tied to any one product's vertical, so it can sit above Analytics, Dispatch, Fleet, Code, Health, Rent, and Construct equally without pigeonholing the company into a single industry.</w:t>
      </w:r>
    </w:p>
    <w:p>
      <w:pPr>
        <w:spacing w:after="160" w:line="288"/>
      </w:pPr>
      <w:r>
        <w:rPr>
          <w:rFonts w:ascii="Calibri" w:cs="Calibri" w:eastAsia="Calibri" w:hAnsi="Calibri"/>
          <w:i w:val="false"/>
          <w:iCs w:val="false"/>
          <w:color w:val="1A1A1A"/>
          <w:sz w:val="21"/>
          <w:szCs w:val="21"/>
        </w:rPr>
        <w:t xml:space="preserve">The company's founder has direct, first-hand operating experience in senior-care/skilled-nursing-facility (SNF) operations — roughly a decade's worth — which directly informed the design of Eivanta Analytics' financial and operational reporting logic, and gives the company a genuine, credible entry point into the planned Eivanta Health vertical when that product is eventually scoped.</w:t>
      </w:r>
    </w:p>
    <w:p>
      <w:pPr>
        <w:pStyle w:val="Heading2"/>
        <w:spacing w:after="140" w:before="280"/>
      </w:pPr>
      <w:r>
        <w:rPr>
          <w:rFonts w:ascii="Calibri" w:cs="Calibri" w:eastAsia="Calibri" w:hAnsi="Calibri"/>
          <w:b/>
          <w:bCs/>
          <w:color w:val="1F3864"/>
          <w:sz w:val="24"/>
          <w:szCs w:val="24"/>
        </w:rPr>
        <w:t xml:space="preserve">2.2 Corporate Structure</w:t>
      </w:r>
    </w:p>
    <w:p>
      <w:pPr>
        <w:spacing w:after="160" w:line="288"/>
      </w:pPr>
      <w:r>
        <w:rPr>
          <w:rFonts w:ascii="Calibri" w:cs="Calibri" w:eastAsia="Calibri" w:hAnsi="Calibri"/>
          <w:i w:val="false"/>
          <w:iCs w:val="false"/>
          <w:color w:val="1A1A1A"/>
          <w:sz w:val="21"/>
          <w:szCs w:val="21"/>
        </w:rPr>
        <w:t xml:space="preserve">Eivanta Holdings is intended to be the parent/umbrella entity, with each product operating as its own line of business under that umbrella. As of this writing, the legal entity formation itself (LLC registration, EIN, business banking) is in progress and targeted for completion within the founder's own 45–50 day formation window beginning late August 2026. The exact legal structure — a single holding company versus individually formed subsidiaries per product, for liability and tax separation — is a decision that should be made with a qualified attorney and accountant, not decided in this document. A trademark search across every newly added product category (logistics, fleet, dev tooling, healthcare, property, construction) is also an open item that should be completed before the Eivanta name is used commercially across multiple verticals.</w:t>
      </w:r>
    </w:p>
    <w:p>
      <w:pPr>
        <w:spacing w:after="160" w:line="288"/>
      </w:pPr>
      <w:r>
        <w:rPr>
          <w:rFonts w:ascii="Calibri" w:cs="Calibri" w:eastAsia="Calibri" w:hAnsi="Calibri"/>
          <w:i w:val="false"/>
          <w:iCs w:val="false"/>
          <w:color w:val="1A1A1A"/>
          <w:sz w:val="21"/>
          <w:szCs w:val="21"/>
        </w:rPr>
        <w:t xml:space="preserve">This plan does not constitute legal, tax, or investment advice. Formal legal entity structuring, trademark clearance, and financial projections intended for fundraising or lending purposes should each be developed with the appropriate licensed professional before being relied upon.</w:t>
      </w:r>
    </w:p>
    <w:p>
      <w:pPr>
        <w:pStyle w:val="Heading2"/>
        <w:spacing w:after="140" w:before="280"/>
      </w:pPr>
      <w:r>
        <w:rPr>
          <w:rFonts w:ascii="Calibri" w:cs="Calibri" w:eastAsia="Calibri" w:hAnsi="Calibri"/>
          <w:b/>
          <w:bCs/>
          <w:color w:val="1F3864"/>
          <w:sz w:val="24"/>
          <w:szCs w:val="24"/>
        </w:rPr>
        <w:t xml:space="preserve">2.3 Mission &amp; Vision</w:t>
      </w:r>
    </w:p>
    <w:p>
      <w:pPr>
        <w:pStyle w:val="ListParagraph"/>
        <w:numPr>
          <w:ilvl w:val="0"/>
          <w:numId w:val="2"/>
        </w:numPr>
        <w:spacing w:after="100" w:line="276"/>
      </w:pPr>
      <w:r>
        <w:rPr>
          <w:rFonts w:ascii="Calibri" w:cs="Calibri" w:eastAsia="Calibri" w:hAnsi="Calibri"/>
          <w:b/>
          <w:bCs/>
          <w:sz w:val="21"/>
          <w:szCs w:val="21"/>
        </w:rPr>
        <w:t xml:space="preserve">Mission (Eivanta Analytics): </w:t>
      </w:r>
      <w:r>
        <w:rPr>
          <w:rFonts w:ascii="Calibri" w:cs="Calibri" w:eastAsia="Calibri" w:hAnsi="Calibri"/>
          <w:sz w:val="21"/>
          <w:szCs w:val="21"/>
        </w:rPr>
        <w:t xml:space="preserve">democratize enterprise-grade financial intelligence for small and mid-sized businesses by turning messy operational data into secure, actionable insight through autonomous agent networks.</w:t>
      </w:r>
    </w:p>
    <w:p>
      <w:pPr>
        <w:pStyle w:val="ListParagraph"/>
        <w:numPr>
          <w:ilvl w:val="0"/>
          <w:numId w:val="2"/>
        </w:numPr>
        <w:spacing w:after="100" w:line="276"/>
      </w:pPr>
      <w:r>
        <w:rPr>
          <w:rFonts w:ascii="Calibri" w:cs="Calibri" w:eastAsia="Calibri" w:hAnsi="Calibri"/>
          <w:b/>
          <w:bCs/>
          <w:sz w:val="21"/>
          <w:szCs w:val="21"/>
        </w:rPr>
        <w:t xml:space="preserve">Vision (Eivanta Holdings): </w:t>
      </w:r>
      <w:r>
        <w:rPr>
          <w:rFonts w:ascii="Calibri" w:cs="Calibri" w:eastAsia="Calibri" w:hAnsi="Calibri"/>
          <w:sz w:val="21"/>
          <w:szCs w:val="21"/>
        </w:rPr>
        <w:t xml:space="preserve">become a trusted, multi-vertical software holding company — a small, disciplined family of niche SaaS products, each best-in-class within its own industry, unified by one brand, one security standard, and one operating playbook, rather than one product trying to serve every market at once.</w:t>
      </w:r>
    </w:p>
    <w:p>
      <w:pPr>
        <w:pStyle w:val="Heading2"/>
        <w:spacing w:after="140" w:before="280"/>
      </w:pPr>
      <w:r>
        <w:rPr>
          <w:rFonts w:ascii="Calibri" w:cs="Calibri" w:eastAsia="Calibri" w:hAnsi="Calibri"/>
          <w:b/>
          <w:bCs/>
          <w:color w:val="1F3864"/>
          <w:sz w:val="24"/>
          <w:szCs w:val="24"/>
        </w:rPr>
        <w:t xml:space="preserve">2.4 Company Timeline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220"/>
        <w:gridCol w:w="3500"/>
      </w:tblGrid>
      <w:tr>
        <w:trPr>
          <w:tblHeader/>
        </w:trPr>
        <w:tc>
          <w:tcPr>
            <w:tcW w:type="dxa" w:w="622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Milestone</w:t>
            </w:r>
          </w:p>
        </w:tc>
        <w:tc>
          <w:tcPr>
            <w:tcW w:type="dxa" w:w="35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Status / Target</w:t>
            </w:r>
          </w:p>
        </w:tc>
      </w:tr>
      <w:tr>
        <w:tc>
          <w:tcPr>
            <w:tcW w:type="dxa" w:w="62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Analytics — core 14-agent architecture built</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Complete</w:t>
            </w:r>
          </w:p>
        </w:tc>
      </w:tr>
      <w:tr>
        <w:tc>
          <w:tcPr>
            <w:tcW w:type="dxa" w:w="62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Security &amp; trust hardening (auth, RBAC, MFA, rate limiting, audit trail)</w:t>
            </w:r>
          </w:p>
        </w:tc>
        <w:tc>
          <w:tcPr>
            <w:tcW w:type="dxa" w:w="35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In progress — see Section 6</w:t>
            </w:r>
          </w:p>
        </w:tc>
      </w:tr>
      <w:tr>
        <w:tc>
          <w:tcPr>
            <w:tcW w:type="dxa" w:w="62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LLC formation, EIN, business bank account</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Target: within founder's 45–50 day formation window (from late Aug 2026)</w:t>
            </w:r>
          </w:p>
        </w:tc>
      </w:tr>
      <w:tr>
        <w:tc>
          <w:tcPr>
            <w:tcW w:type="dxa" w:w="62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Third-party penetration test</w:t>
            </w:r>
          </w:p>
        </w:tc>
        <w:tc>
          <w:tcPr>
            <w:tcW w:type="dxa" w:w="35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Scheduled within the same formation window</w:t>
            </w:r>
          </w:p>
        </w:tc>
      </w:tr>
      <w:tr>
        <w:tc>
          <w:tcPr>
            <w:tcW w:type="dxa" w:w="62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Analytics commercial launch readiness</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Target: mid-October 2026 (convergence of engineering + founder tracks)</w:t>
            </w:r>
          </w:p>
        </w:tc>
      </w:tr>
      <w:tr>
        <w:tc>
          <w:tcPr>
            <w:tcW w:type="dxa" w:w="62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Holdings parent marketing site (eivanta.com)</w:t>
            </w:r>
          </w:p>
        </w:tc>
        <w:tc>
          <w:tcPr>
            <w:tcW w:type="dxa" w:w="35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Planned — domain already owned; site build and hosting move not yet started (see Section 7)</w:t>
            </w:r>
          </w:p>
        </w:tc>
      </w:tr>
      <w:tr>
        <w:tc>
          <w:tcPr>
            <w:tcW w:type="dxa" w:w="62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Dispatch, Fleet, Code, Health, Rent, Construct</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Directional — sequenced over the following 1–2+ years, not started</w:t>
            </w:r>
          </w:p>
        </w:tc>
      </w:tr>
    </w:tbl>
    <w:p>
      <w:pPr>
        <w:spacing w:after="260" w:before="60"/>
      </w:pPr>
      <w:r>
        <w:rPr>
          <w:rFonts w:ascii="Calibri" w:cs="Calibri" w:eastAsia="Calibri" w:hAnsi="Calibri"/>
          <w:i/>
          <w:iCs/>
          <w:color w:val="595959"/>
          <w:sz w:val="17"/>
          <w:szCs w:val="17"/>
        </w:rPr>
        <w:t xml:space="preserve">Dates reflect the founder's own stated targets as of September 2026 and are planning estimates, not guarantees.</w:t>
      </w:r>
    </w:p>
    <w:p>
      <w:r>
        <w:br w:type="page"/>
      </w:r>
    </w:p>
    <w:p>
      <w:pPr>
        <w:pStyle w:val="Heading1"/>
        <w:pBdr>
          <w:bottom w:val="single" w:color="B8C4D9" w:sz="4" w:space="4"/>
        </w:pBdr>
        <w:spacing w:after="200" w:before="420"/>
      </w:pPr>
      <w:r>
        <w:rPr>
          <w:rFonts w:ascii="Calibri" w:cs="Calibri" w:eastAsia="Calibri" w:hAnsi="Calibri"/>
          <w:b/>
          <w:bCs/>
          <w:color w:val="1F3864"/>
          <w:sz w:val="30"/>
          <w:szCs w:val="30"/>
        </w:rPr>
        <w:t xml:space="preserve">3. Products &amp; Services</w:t>
      </w:r>
    </w:p>
    <w:p>
      <w:pPr>
        <w:pStyle w:val="Heading2"/>
        <w:spacing w:after="140" w:before="280"/>
      </w:pPr>
      <w:r>
        <w:rPr>
          <w:rFonts w:ascii="Calibri" w:cs="Calibri" w:eastAsia="Calibri" w:hAnsi="Calibri"/>
          <w:b/>
          <w:bCs/>
          <w:color w:val="1F3864"/>
          <w:sz w:val="24"/>
          <w:szCs w:val="24"/>
        </w:rPr>
        <w:t xml:space="preserve">3.1 Eivanta Analytics — The Flagship Product (Live Focus)</w:t>
      </w:r>
    </w:p>
    <w:p>
      <w:pPr>
        <w:spacing w:after="160" w:line="288"/>
      </w:pPr>
      <w:r>
        <w:rPr>
          <w:rFonts w:ascii="Calibri" w:cs="Calibri" w:eastAsia="Calibri" w:hAnsi="Calibri"/>
          <w:i w:val="false"/>
          <w:iCs w:val="false"/>
          <w:color w:val="1A1A1A"/>
          <w:sz w:val="21"/>
          <w:szCs w:val="21"/>
        </w:rPr>
        <w:t xml:space="preserve">Eivanta Analytics is a multi-tenant, AI-driven business-intelligence SaaS platform that connects a company's operational data to an autonomous agent network and turns that data into analytics, forecasts, and executive-style financial briefings. It is the company's only live product today and the sole near-term commercial focus.</w:t>
      </w:r>
    </w:p>
    <w:p>
      <w:pPr>
        <w:pStyle w:val="Heading3"/>
        <w:spacing w:after="100" w:before="200"/>
      </w:pPr>
      <w:r>
        <w:rPr>
          <w:rFonts w:ascii="Calibri" w:cs="Calibri" w:eastAsia="Calibri" w:hAnsi="Calibri"/>
          <w:b/>
          <w:bCs/>
          <w:color w:val="44546A"/>
          <w:sz w:val="21"/>
          <w:szCs w:val="21"/>
        </w:rPr>
        <w:t xml:space="preserve">What the platform does</w:t>
      </w:r>
    </w:p>
    <w:p>
      <w:pPr>
        <w:pStyle w:val="ListParagraph"/>
        <w:numPr>
          <w:ilvl w:val="0"/>
          <w:numId w:val="2"/>
        </w:numPr>
        <w:spacing w:after="100" w:line="276"/>
      </w:pPr>
      <w:r>
        <w:rPr>
          <w:rFonts w:ascii="Calibri" w:cs="Calibri" w:eastAsia="Calibri" w:hAnsi="Calibri"/>
          <w:sz w:val="21"/>
          <w:szCs w:val="21"/>
        </w:rPr>
        <w:t xml:space="preserve">Accepts client CSV data today, with additional external data sources planned; repairs and validates common schema problems and prevents duplicate ingestion.</w:t>
      </w:r>
    </w:p>
    <w:p>
      <w:pPr>
        <w:pStyle w:val="ListParagraph"/>
        <w:numPr>
          <w:ilvl w:val="0"/>
          <w:numId w:val="2"/>
        </w:numPr>
        <w:spacing w:after="100" w:line="276"/>
      </w:pPr>
      <w:r>
        <w:rPr>
          <w:rFonts w:ascii="Calibri" w:cs="Calibri" w:eastAsia="Calibri" w:hAnsi="Calibri"/>
          <w:sz w:val="21"/>
          <w:szCs w:val="21"/>
        </w:rPr>
        <w:t xml:space="preserve">Stores tenant-isolated operational data in DuckDB and uses Qdrant for semantic/RAG-based search.</w:t>
      </w:r>
    </w:p>
    <w:p>
      <w:pPr>
        <w:pStyle w:val="ListParagraph"/>
        <w:numPr>
          <w:ilvl w:val="0"/>
          <w:numId w:val="2"/>
        </w:numPr>
        <w:spacing w:after="100" w:line="276"/>
      </w:pPr>
      <w:r>
        <w:rPr>
          <w:rFonts w:ascii="Calibri" w:cs="Calibri" w:eastAsia="Calibri" w:hAnsi="Calibri"/>
          <w:sz w:val="21"/>
          <w:szCs w:val="21"/>
        </w:rPr>
        <w:t xml:space="preserve">Routes natural-language requests through a central Orchestrator agent to specialist agents.</w:t>
      </w:r>
    </w:p>
    <w:p>
      <w:pPr>
        <w:pStyle w:val="ListParagraph"/>
        <w:numPr>
          <w:ilvl w:val="0"/>
          <w:numId w:val="2"/>
        </w:numPr>
        <w:spacing w:after="100" w:line="276"/>
      </w:pPr>
      <w:r>
        <w:rPr>
          <w:rFonts w:ascii="Calibri" w:cs="Calibri" w:eastAsia="Calibri" w:hAnsi="Calibri"/>
          <w:sz w:val="21"/>
          <w:szCs w:val="21"/>
        </w:rPr>
        <w:t xml:space="preserve">Delivers analytics, forecasting, churn scoring, margin/runway calculations, and executive-style financial briefings.</w:t>
      </w:r>
    </w:p>
    <w:p>
      <w:pPr>
        <w:pStyle w:val="ListParagraph"/>
        <w:numPr>
          <w:ilvl w:val="0"/>
          <w:numId w:val="2"/>
        </w:numPr>
        <w:spacing w:after="100" w:line="276"/>
      </w:pPr>
      <w:r>
        <w:rPr>
          <w:rFonts w:ascii="Calibri" w:cs="Calibri" w:eastAsia="Calibri" w:hAnsi="Calibri"/>
          <w:sz w:val="21"/>
          <w:szCs w:val="21"/>
        </w:rPr>
        <w:t xml:space="preserve">Streams authenticated agent activity to the dashboard in real time, so the user can see the AI working, not just its final answer.</w:t>
      </w:r>
    </w:p>
    <w:p>
      <w:pPr>
        <w:pStyle w:val="ListParagraph"/>
        <w:numPr>
          <w:ilvl w:val="0"/>
          <w:numId w:val="2"/>
        </w:numPr>
        <w:spacing w:after="100" w:line="276"/>
      </w:pPr>
      <w:r>
        <w:rPr>
          <w:rFonts w:ascii="Calibri" w:cs="Calibri" w:eastAsia="Calibri" w:hAnsi="Calibri"/>
          <w:sz w:val="21"/>
          <w:szCs w:val="21"/>
        </w:rPr>
        <w:t xml:space="preserve">Shows its own work: a real Monthly Recurring Revenue figure backed by a ground-truth test suite, an evidence-trail drill-down from any category/month total back to its exact source rows, a disclosed assumption ledger, and a transparency panel that honestly lists what the platform doesn't know yet for a given tenant, rather than guessing.</w:t>
      </w:r>
    </w:p>
    <w:p>
      <w:pPr>
        <w:pStyle w:val="Heading3"/>
        <w:spacing w:after="100" w:before="200"/>
      </w:pPr>
      <w:r>
        <w:rPr>
          <w:rFonts w:ascii="Calibri" w:cs="Calibri" w:eastAsia="Calibri" w:hAnsi="Calibri"/>
          <w:b/>
          <w:bCs/>
          <w:color w:val="44546A"/>
          <w:sz w:val="21"/>
          <w:szCs w:val="21"/>
        </w:rPr>
        <w:t xml:space="preserve">The fourteen-agent operating model</w:t>
      </w:r>
    </w:p>
    <w:p>
      <w:pPr>
        <w:spacing w:after="160" w:line="288"/>
      </w:pPr>
      <w:r>
        <w:rPr>
          <w:rFonts w:ascii="Calibri" w:cs="Calibri" w:eastAsia="Calibri" w:hAnsi="Calibri"/>
          <w:i w:val="false"/>
          <w:iCs w:val="false"/>
          <w:color w:val="1A1A1A"/>
          <w:sz w:val="21"/>
          <w:szCs w:val="21"/>
        </w:rPr>
        <w:t xml:space="preserve">The architecture is built around Agent #00, an Orchestrator, plus thirteen specialists covering ingestion, data engineering, schema/database management, analytics, reporting, forecasting, finance (a 'Virtual CFO' agent), cybersecurity, strategy, visualization, external telemetry, and what-if scenario modeling. Each is positioned to the end user as a results-driven specialist — not marketed as a raw feature list, but as a team of experts a small business could otherwise never afford to hire.</w:t>
      </w:r>
    </w:p>
    <w:p>
      <w:pPr>
        <w:pStyle w:val="Heading3"/>
        <w:spacing w:after="100" w:before="200"/>
      </w:pPr>
      <w:r>
        <w:rPr>
          <w:rFonts w:ascii="Calibri" w:cs="Calibri" w:eastAsia="Calibri" w:hAnsi="Calibri"/>
          <w:b/>
          <w:bCs/>
          <w:color w:val="44546A"/>
          <w:sz w:val="21"/>
          <w:szCs w:val="21"/>
        </w:rPr>
        <w:t xml:space="preserve">Commercial tiers</w:t>
      </w:r>
    </w:p>
    <w:p>
      <w:pPr>
        <w:spacing w:after="160" w:line="288"/>
      </w:pPr>
      <w:r>
        <w:rPr>
          <w:rFonts w:ascii="Calibri" w:cs="Calibri" w:eastAsia="Calibri" w:hAnsi="Calibri"/>
          <w:i w:val="false"/>
          <w:iCs w:val="false"/>
          <w:color w:val="1A1A1A"/>
          <w:sz w:val="21"/>
          <w:szCs w:val="21"/>
        </w:rPr>
        <w:t xml:space="preserve">Eivanta Analytics is designed around three tiers, each targeting a different stage of company size and sophistication: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20"/>
        <w:gridCol w:w="2600"/>
        <w:gridCol w:w="2000"/>
        <w:gridCol w:w="2600"/>
      </w:tblGrid>
      <w:tr>
        <w:trPr>
          <w:tblHeader/>
        </w:trPr>
        <w:tc>
          <w:tcPr>
            <w:tcW w:type="dxa" w:w="252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Tier</w:t>
            </w:r>
          </w:p>
        </w:tc>
        <w:tc>
          <w:tcPr>
            <w:tcW w:type="dxa" w:w="26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Target Customer</w:t>
            </w:r>
          </w:p>
        </w:tc>
        <w:tc>
          <w:tcPr>
            <w:tcW w:type="dxa" w:w="20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Documented Pricing</w:t>
            </w:r>
          </w:p>
        </w:tc>
        <w:tc>
          <w:tcPr>
            <w:tcW w:type="dxa" w:w="26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Core Value</w:t>
            </w:r>
          </w:p>
        </w:tc>
      </w:tr>
      <w:tr>
        <w:tc>
          <w:tcPr>
            <w:tcW w:type="dxa" w:w="25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Core Operations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Micro-SMBs / early teams</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$95–$299/mo</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Dashboard, upload, natural-language search, visualization.</w:t>
            </w:r>
          </w:p>
        </w:tc>
      </w:tr>
      <w:tr>
        <w:tc>
          <w:tcPr>
            <w:tcW w:type="dxa" w:w="25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Growth Intelligence</w:t>
            </w:r>
          </w:p>
        </w:tc>
        <w:tc>
          <w:tcPr>
            <w:tcW w:type="dxa" w:w="26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Mid-sized SMBs / scaleups</w:t>
            </w:r>
          </w:p>
        </w:tc>
        <w:tc>
          <w:tcPr>
            <w:tcW w:type="dxa" w:w="20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$500–$2,000/mo</w:t>
            </w:r>
          </w:p>
        </w:tc>
        <w:tc>
          <w:tcPr>
            <w:tcW w:type="dxa" w:w="26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Self-healing ingestion, forecasting, churn scoring, CFO briefings.</w:t>
            </w:r>
          </w:p>
        </w:tc>
      </w:tr>
      <w:tr>
        <w:tc>
          <w:tcPr>
            <w:tcW w:type="dxa" w:w="25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Enterprise Governance</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Mature / regulated organizations</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$2,000–$4,000+/mo</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Bring-your-own-key AI, MCP tool access, FinOps controls, audit lineage.</w:t>
            </w:r>
          </w:p>
        </w:tc>
      </w:tr>
    </w:tbl>
    <w:p>
      <w:pPr>
        <w:spacing w:after="260" w:before="60"/>
      </w:pPr>
      <w:r>
        <w:rPr>
          <w:rFonts w:ascii="Calibri" w:cs="Calibri" w:eastAsia="Calibri" w:hAnsi="Calibri"/>
          <w:i/>
          <w:iCs/>
          <w:color w:val="595959"/>
          <w:sz w:val="17"/>
          <w:szCs w:val="17"/>
        </w:rPr>
        <w:t xml:space="preserve">Pricing bands reflect the product's own documented target pricing (Executive Summary v1.3 / Competitive Analysis, Aug 2026). No live billing system exists yet — see Section 9 — so these are target bands informing the business model, not amounts currently being charged to any customer.</w:t>
      </w:r>
    </w:p>
    <w:p>
      <w:pPr>
        <w:pStyle w:val="Heading2"/>
        <w:spacing w:after="140" w:before="280"/>
      </w:pPr>
      <w:r>
        <w:rPr>
          <w:rFonts w:ascii="Calibri" w:cs="Calibri" w:eastAsia="Calibri" w:hAnsi="Calibri"/>
          <w:b/>
          <w:bCs/>
          <w:color w:val="1F3864"/>
          <w:sz w:val="24"/>
          <w:szCs w:val="24"/>
        </w:rPr>
        <w:t xml:space="preserve">3.2 The Planned Eivanta Product Family</w:t>
      </w:r>
    </w:p>
    <w:p>
      <w:pPr>
        <w:spacing w:after="160" w:line="288"/>
      </w:pPr>
      <w:r>
        <w:rPr>
          <w:rFonts w:ascii="Calibri" w:cs="Calibri" w:eastAsia="Calibri" w:hAnsi="Calibri"/>
          <w:i w:val="false"/>
          <w:iCs w:val="false"/>
          <w:color w:val="1A1A1A"/>
          <w:sz w:val="21"/>
          <w:szCs w:val="21"/>
        </w:rPr>
        <w:t xml:space="preserve">Beyond Analytics, Eivanta Holdings intends to build a small family of additional vertical products over the next one to two-plus years. Each is deliberately scoped as its own niche SaaS product — not a feature of Analytics — sharing the Eivanta name, brand, and underlying engineering discipline, but built to serve a genuinely different customer and workflow.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20"/>
        <w:gridCol w:w="4400"/>
        <w:gridCol w:w="3000"/>
      </w:tblGrid>
      <w:tr>
        <w:trPr>
          <w:tblHeader/>
        </w:trPr>
        <w:tc>
          <w:tcPr>
            <w:tcW w:type="dxa" w:w="232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Product</w:t>
            </w:r>
          </w:p>
        </w:tc>
        <w:tc>
          <w:tcPr>
            <w:tcW w:type="dxa" w:w="44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Intended Niche</w:t>
            </w:r>
          </w:p>
        </w:tc>
        <w:tc>
          <w:tcPr>
            <w:tcW w:type="dxa" w:w="30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Status</w:t>
            </w:r>
          </w:p>
        </w:tc>
      </w:tr>
      <w:tr>
        <w:tc>
          <w:tcPr>
            <w:tcW w:type="dxa" w:w="23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Analytics</w:t>
            </w:r>
          </w:p>
        </w:tc>
        <w:tc>
          <w:tcPr>
            <w:tcW w:type="dxa" w:w="4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AI-driven business intelligence &amp; financial insight for SMBs</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Live focus — in active development</w:t>
            </w:r>
          </w:p>
        </w:tc>
      </w:tr>
      <w:tr>
        <w:tc>
          <w:tcPr>
            <w:tcW w:type="dxa" w:w="23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Dispatch</w:t>
            </w:r>
          </w:p>
        </w:tc>
        <w:tc>
          <w:tcPr>
            <w:tcW w:type="dxa" w:w="44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Logistics / dispatch operations</w:t>
            </w:r>
          </w:p>
        </w:tc>
        <w:tc>
          <w:tcPr>
            <w:tcW w:type="dxa" w:w="30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Directional — next 1–2+ years, not started</w:t>
            </w:r>
          </w:p>
        </w:tc>
      </w:tr>
      <w:tr>
        <w:tc>
          <w:tcPr>
            <w:tcW w:type="dxa" w:w="23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Fleet</w:t>
            </w:r>
          </w:p>
        </w:tc>
        <w:tc>
          <w:tcPr>
            <w:tcW w:type="dxa" w:w="4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Fleet management operations</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Directional — next 1–2+ years, not started</w:t>
            </w:r>
          </w:p>
        </w:tc>
      </w:tr>
      <w:tr>
        <w:tc>
          <w:tcPr>
            <w:tcW w:type="dxa" w:w="23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Code</w:t>
            </w:r>
          </w:p>
        </w:tc>
        <w:tc>
          <w:tcPr>
            <w:tcW w:type="dxa" w:w="44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Developer tooling</w:t>
            </w:r>
          </w:p>
        </w:tc>
        <w:tc>
          <w:tcPr>
            <w:tcW w:type="dxa" w:w="30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Directional — next 1–2+ years, not started</w:t>
            </w:r>
          </w:p>
        </w:tc>
      </w:tr>
      <w:tr>
        <w:tc>
          <w:tcPr>
            <w:tcW w:type="dxa" w:w="23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Health</w:t>
            </w:r>
          </w:p>
        </w:tc>
        <w:tc>
          <w:tcPr>
            <w:tcW w:type="dxa" w:w="4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Healthcare / senior-care operations</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Directional — next 1–2+ years, not started</w:t>
            </w:r>
          </w:p>
        </w:tc>
      </w:tr>
      <w:tr>
        <w:tc>
          <w:tcPr>
            <w:tcW w:type="dxa" w:w="23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Rent</w:t>
            </w:r>
          </w:p>
        </w:tc>
        <w:tc>
          <w:tcPr>
            <w:tcW w:type="dxa" w:w="44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Property / rental management</w:t>
            </w:r>
          </w:p>
        </w:tc>
        <w:tc>
          <w:tcPr>
            <w:tcW w:type="dxa" w:w="30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Directional — next 1–2+ years, not started</w:t>
            </w:r>
          </w:p>
        </w:tc>
      </w:tr>
      <w:tr>
        <w:tc>
          <w:tcPr>
            <w:tcW w:type="dxa" w:w="23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Construct</w:t>
            </w:r>
          </w:p>
        </w:tc>
        <w:tc>
          <w:tcPr>
            <w:tcW w:type="dxa" w:w="44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Construction industry operations</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Directional — next 1–2+ years, not started</w:t>
            </w:r>
          </w:p>
        </w:tc>
      </w:tr>
    </w:tbl>
    <w:p>
      <w:pPr>
        <w:spacing w:after="260" w:before="60"/>
      </w:pPr>
      <w:r>
        <w:rPr>
          <w:rFonts w:ascii="Calibri" w:cs="Calibri" w:eastAsia="Calibri" w:hAnsi="Calibri"/>
          <w:i/>
          <w:iCs/>
          <w:color w:val="595959"/>
          <w:sz w:val="17"/>
          <w:szCs w:val="17"/>
        </w:rPr>
        <w:t xml:space="preserve">Beyond the one-line niche description above, none of these six future products has a detailed product spec, market study, or engineering estimate yet — that work begins when each is actually scoped, not before. They are included here to describe the company's direction, not to claim they are underway.</w:t>
      </w:r>
    </w:p>
    <w:p>
      <w:pPr>
        <w:pStyle w:val="Heading2"/>
        <w:spacing w:after="140" w:before="280"/>
      </w:pPr>
      <w:r>
        <w:rPr>
          <w:rFonts w:ascii="Calibri" w:cs="Calibri" w:eastAsia="Calibri" w:hAnsi="Calibri"/>
          <w:b/>
          <w:bCs/>
          <w:color w:val="1F3864"/>
          <w:sz w:val="24"/>
          <w:szCs w:val="24"/>
        </w:rPr>
        <w:t xml:space="preserve">3.3 The Holding Company Rationale</w:t>
      </w:r>
    </w:p>
    <w:p>
      <w:pPr>
        <w:spacing w:after="160" w:line="288"/>
      </w:pPr>
      <w:r>
        <w:rPr>
          <w:rFonts w:ascii="Calibri" w:cs="Calibri" w:eastAsia="Calibri" w:hAnsi="Calibri"/>
          <w:i w:val="false"/>
          <w:iCs w:val="false"/>
          <w:color w:val="1A1A1A"/>
          <w:sz w:val="21"/>
          <w:szCs w:val="21"/>
        </w:rPr>
        <w:t xml:space="preserve">Building several focused, niche SaaS products under one holding company — rather than trying to make one product serve every market — is a well-established pattern in enterprise software. Large, durable software holding companies (Constellation Software and Roper Technologies are the most frequently cited examples) have demonstrated over decades that a disciplined parent company operating a portfolio of focused, vertical-specific products can outperform a single horizontal product trying to be everything to everyone. Eivanta Holdings is not attempting to replicate the scale of either company; the comparison is to the operating logic, not the size.</w:t>
      </w:r>
    </w:p>
    <w:p>
      <w:pPr>
        <w:spacing w:after="160" w:line="288"/>
      </w:pPr>
      <w:r>
        <w:rPr>
          <w:rFonts w:ascii="Calibri" w:cs="Calibri" w:eastAsia="Calibri" w:hAnsi="Calibri"/>
          <w:i w:val="false"/>
          <w:iCs w:val="false"/>
          <w:color w:val="1A1A1A"/>
          <w:sz w:val="21"/>
          <w:szCs w:val="21"/>
        </w:rPr>
        <w:t xml:space="preserve">For Eivanta specifically, the rationale is threefold: each product can stay deeply specialized to its own industry's workflows rather than being diluted by unrelated feature requests; engineering discipline, security architecture, and AI-agent design patterns proven on Eivanta Analytics carry forward and accelerate every subsequent product; and revenue is eventually diversified across multiple, uncorrelated verticals rather than concentrated in one market's ups and downs.</w:t>
      </w:r>
    </w:p>
    <w:p>
      <w:r>
        <w:br w:type="page"/>
      </w:r>
    </w:p>
    <w:p>
      <w:pPr>
        <w:pStyle w:val="Heading1"/>
        <w:pBdr>
          <w:bottom w:val="single" w:color="B8C4D9" w:sz="4" w:space="4"/>
        </w:pBdr>
        <w:spacing w:after="200" w:before="420"/>
      </w:pPr>
      <w:r>
        <w:rPr>
          <w:rFonts w:ascii="Calibri" w:cs="Calibri" w:eastAsia="Calibri" w:hAnsi="Calibri"/>
          <w:b/>
          <w:bCs/>
          <w:color w:val="1F3864"/>
          <w:sz w:val="30"/>
          <w:szCs w:val="30"/>
        </w:rPr>
        <w:t xml:space="preserve">4. Market Analysis</w:t>
      </w:r>
    </w:p>
    <w:p>
      <w:pPr>
        <w:pStyle w:val="Heading2"/>
        <w:spacing w:after="140" w:before="280"/>
      </w:pPr>
      <w:r>
        <w:rPr>
          <w:rFonts w:ascii="Calibri" w:cs="Calibri" w:eastAsia="Calibri" w:hAnsi="Calibri"/>
          <w:b/>
          <w:bCs/>
          <w:color w:val="1F3864"/>
          <w:sz w:val="24"/>
          <w:szCs w:val="24"/>
        </w:rPr>
        <w:t xml:space="preserve">4.1 Industry Overview</w:t>
      </w:r>
    </w:p>
    <w:p>
      <w:pPr>
        <w:spacing w:after="160" w:line="288"/>
      </w:pPr>
      <w:r>
        <w:rPr>
          <w:rFonts w:ascii="Calibri" w:cs="Calibri" w:eastAsia="Calibri" w:hAnsi="Calibri"/>
          <w:i w:val="false"/>
          <w:iCs w:val="false"/>
          <w:color w:val="1A1A1A"/>
          <w:sz w:val="21"/>
          <w:szCs w:val="21"/>
        </w:rPr>
        <w:t xml:space="preserve">Eivanta Analytics sits at the intersection of three growing software markets: general business intelligence, AI-driven financial planning &amp; analysis (FP&amp;A), and horizontal SMB software broadly. All three are large and growing, and the AI-specific segment is growing fastest.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20"/>
        <w:gridCol w:w="2200"/>
        <w:gridCol w:w="2200"/>
        <w:gridCol w:w="2000"/>
      </w:tblGrid>
      <w:tr>
        <w:trPr>
          <w:tblHeader/>
        </w:trPr>
        <w:tc>
          <w:tcPr>
            <w:tcW w:type="dxa" w:w="332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Market</w:t>
            </w:r>
          </w:p>
        </w:tc>
        <w:tc>
          <w:tcPr>
            <w:tcW w:type="dxa" w:w="2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Current Size</w:t>
            </w:r>
          </w:p>
        </w:tc>
        <w:tc>
          <w:tcPr>
            <w:tcW w:type="dxa" w:w="2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Projected Size</w:t>
            </w:r>
          </w:p>
        </w:tc>
        <w:tc>
          <w:tcPr>
            <w:tcW w:type="dxa" w:w="20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CAGR</w:t>
            </w:r>
          </w:p>
        </w:tc>
      </w:tr>
      <w:tr>
        <w:tc>
          <w:tcPr>
            <w:tcW w:type="dxa" w:w="33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Global Business Intelligence software</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$43.48B (2025)</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$134.94B (2035)</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11.99%</w:t>
            </w:r>
          </w:p>
        </w:tc>
      </w:tr>
      <w:tr>
        <w:tc>
          <w:tcPr>
            <w:tcW w:type="dxa" w:w="33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AI in Financial Planning &amp; Analysis (FP&amp;A)</w:t>
            </w:r>
          </w:p>
        </w:tc>
        <w:tc>
          <w:tcPr>
            <w:tcW w:type="dxa" w:w="2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$240.6M (2024)</w:t>
            </w:r>
          </w:p>
        </w:tc>
        <w:tc>
          <w:tcPr>
            <w:tcW w:type="dxa" w:w="2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$4,766.4M (2034)</w:t>
            </w:r>
          </w:p>
        </w:tc>
        <w:tc>
          <w:tcPr>
            <w:tcW w:type="dxa" w:w="20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34.8%</w:t>
            </w:r>
          </w:p>
        </w:tc>
      </w:tr>
      <w:tr>
        <w:tc>
          <w:tcPr>
            <w:tcW w:type="dxa" w:w="33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SMB software (all categories)</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$77.33B (2026)</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$107.86B (2031)</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6.88%</w:t>
            </w:r>
          </w:p>
        </w:tc>
      </w:tr>
    </w:tbl>
    <w:p>
      <w:pPr>
        <w:spacing w:after="260" w:before="60"/>
      </w:pPr>
      <w:r>
        <w:rPr>
          <w:rFonts w:ascii="Calibri" w:cs="Calibri" w:eastAsia="Calibri" w:hAnsi="Calibri"/>
          <w:i/>
          <w:iCs/>
          <w:color w:val="595959"/>
          <w:sz w:val="17"/>
          <w:szCs w:val="17"/>
        </w:rPr>
        <w:t xml:space="preserve">Sources: Precedence Research, Business Intelligence Market (2025); Market.us, AI in Financial Planning and Analysis Market (2024–2034); Mordor Intelligence, SMB Software Market (2026–2031). Figures cited as published by each firm; Eivanta has not independently audited these estimates.</w:t>
      </w:r>
    </w:p>
    <w:p>
      <w:pPr>
        <w:spacing w:after="160" w:line="288"/>
      </w:pPr>
      <w:r>
        <w:rPr>
          <w:rFonts w:ascii="Calibri" w:cs="Calibri" w:eastAsia="Calibri" w:hAnsi="Calibri"/>
          <w:i w:val="false"/>
          <w:iCs w:val="false"/>
          <w:color w:val="1A1A1A"/>
          <w:sz w:val="21"/>
          <w:szCs w:val="21"/>
        </w:rPr>
        <w:t xml:space="preserve">The read-through for Eivanta: the broad BI market is large but growing at a normal, mature-market pace (roughly 12% a year), while the specific AI-in-FP&amp;A niche Eivanta Analytics competes in is growing nearly three times faster — a sign that AI-native financial tools are displacing older, dashboard-only BI tools rather than simply adding to the same market. Eivanta Analytics is positioned inside that faster-growing niche, not the broader, slower-growing category.</w:t>
      </w:r>
    </w:p>
    <w:p>
      <w:pPr>
        <w:pStyle w:val="Heading2"/>
        <w:spacing w:after="140" w:before="280"/>
      </w:pPr>
      <w:r>
        <w:rPr>
          <w:rFonts w:ascii="Calibri" w:cs="Calibri" w:eastAsia="Calibri" w:hAnsi="Calibri"/>
          <w:b/>
          <w:bCs/>
          <w:color w:val="1F3864"/>
          <w:sz w:val="24"/>
          <w:szCs w:val="24"/>
        </w:rPr>
        <w:t xml:space="preserve">4.2 Target Customer Segments</w:t>
      </w:r>
    </w:p>
    <w:p>
      <w:pPr>
        <w:spacing w:after="160" w:line="288"/>
      </w:pPr>
      <w:r>
        <w:rPr>
          <w:rFonts w:ascii="Calibri" w:cs="Calibri" w:eastAsia="Calibri" w:hAnsi="Calibri"/>
          <w:i w:val="false"/>
          <w:iCs w:val="false"/>
          <w:color w:val="1A1A1A"/>
          <w:sz w:val="21"/>
          <w:szCs w:val="21"/>
        </w:rPr>
        <w:t xml:space="preserve">Eivanta Analytics' three commercial tiers (Section 3.1) map directly to three customer segments:</w:t>
      </w:r>
    </w:p>
    <w:p>
      <w:pPr>
        <w:pStyle w:val="ListParagraph"/>
        <w:numPr>
          <w:ilvl w:val="0"/>
          <w:numId w:val="2"/>
        </w:numPr>
        <w:spacing w:after="100" w:line="276"/>
      </w:pPr>
      <w:r>
        <w:rPr>
          <w:rFonts w:ascii="Calibri" w:cs="Calibri" w:eastAsia="Calibri" w:hAnsi="Calibri"/>
          <w:b/>
          <w:bCs/>
          <w:sz w:val="21"/>
          <w:szCs w:val="21"/>
        </w:rPr>
        <w:t xml:space="preserve">Micro-SMBs and early teams </w:t>
      </w:r>
      <w:r>
        <w:rPr>
          <w:rFonts w:ascii="Calibri" w:cs="Calibri" w:eastAsia="Calibri" w:hAnsi="Calibri"/>
          <w:sz w:val="21"/>
          <w:szCs w:val="21"/>
        </w:rPr>
        <w:t xml:space="preserve">(Core Operations tier) — companies too small to employ a dedicated financial analyst, currently relying on spreadsheets or their accounting software's native (limited) reporting.</w:t>
      </w:r>
    </w:p>
    <w:p>
      <w:pPr>
        <w:pStyle w:val="ListParagraph"/>
        <w:numPr>
          <w:ilvl w:val="0"/>
          <w:numId w:val="2"/>
        </w:numPr>
        <w:spacing w:after="100" w:line="276"/>
      </w:pPr>
      <w:r>
        <w:rPr>
          <w:rFonts w:ascii="Calibri" w:cs="Calibri" w:eastAsia="Calibri" w:hAnsi="Calibri"/>
          <w:b/>
          <w:bCs/>
          <w:sz w:val="21"/>
          <w:szCs w:val="21"/>
        </w:rPr>
        <w:t xml:space="preserve">Mid-sized SMBs and scaleups </w:t>
      </w:r>
      <w:r>
        <w:rPr>
          <w:rFonts w:ascii="Calibri" w:cs="Calibri" w:eastAsia="Calibri" w:hAnsi="Calibri"/>
          <w:sz w:val="21"/>
          <w:szCs w:val="21"/>
        </w:rPr>
        <w:t xml:space="preserve">(Growth Intelligence tier) — companies that have outgrown basic reporting and need forecasting, churn visibility, and recurring executive-style briefings, but cannot yet justify a full in-house FP&amp;A hire.</w:t>
      </w:r>
    </w:p>
    <w:p>
      <w:pPr>
        <w:pStyle w:val="ListParagraph"/>
        <w:numPr>
          <w:ilvl w:val="0"/>
          <w:numId w:val="2"/>
        </w:numPr>
        <w:spacing w:after="100" w:line="276"/>
      </w:pPr>
      <w:r>
        <w:rPr>
          <w:rFonts w:ascii="Calibri" w:cs="Calibri" w:eastAsia="Calibri" w:hAnsi="Calibri"/>
          <w:b/>
          <w:bCs/>
          <w:sz w:val="21"/>
          <w:szCs w:val="21"/>
        </w:rPr>
        <w:t xml:space="preserve">Mature or regulated organizations </w:t>
      </w:r>
      <w:r>
        <w:rPr>
          <w:rFonts w:ascii="Calibri" w:cs="Calibri" w:eastAsia="Calibri" w:hAnsi="Calibri"/>
          <w:sz w:val="21"/>
          <w:szCs w:val="21"/>
        </w:rPr>
        <w:t xml:space="preserve">(Enterprise Governance tier) — companies that need the analytical depth of the Growth tier plus real governance controls: bring-your-own-key AI usage, audit lineage, and FinOps cost controls.</w:t>
      </w:r>
    </w:p>
    <w:p>
      <w:pPr>
        <w:pStyle w:val="Heading2"/>
        <w:spacing w:after="140" w:before="280"/>
      </w:pPr>
      <w:r>
        <w:rPr>
          <w:rFonts w:ascii="Calibri" w:cs="Calibri" w:eastAsia="Calibri" w:hAnsi="Calibri"/>
          <w:b/>
          <w:bCs/>
          <w:color w:val="1F3864"/>
          <w:sz w:val="24"/>
          <w:szCs w:val="24"/>
        </w:rPr>
        <w:t xml:space="preserve">4.3 Competitive Landscape</w:t>
      </w:r>
    </w:p>
    <w:p>
      <w:pPr>
        <w:spacing w:after="160" w:line="288"/>
      </w:pPr>
      <w:r>
        <w:rPr>
          <w:rFonts w:ascii="Calibri" w:cs="Calibri" w:eastAsia="Calibri" w:hAnsi="Calibri"/>
          <w:i w:val="false"/>
          <w:iCs w:val="false"/>
          <w:color w:val="1A1A1A"/>
          <w:sz w:val="21"/>
          <w:szCs w:val="21"/>
        </w:rPr>
        <w:t xml:space="preserve">Eivanta Analytics has been benchmarked against three specific, named, currently-priced competitors, based on a live pricing and review audit performed in August 2026 (full detail, methodology, and sources retained in the company's internal Competitive Analysis &amp; Feature Roadmap document):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200"/>
        <w:gridCol w:w="4020"/>
      </w:tblGrid>
      <w:tr>
        <w:trPr>
          <w:tblHeader/>
        </w:trPr>
        <w:tc>
          <w:tcPr>
            <w:tcW w:type="dxa" w:w="13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Competitor</w:t>
            </w:r>
          </w:p>
        </w:tc>
        <w:tc>
          <w:tcPr>
            <w:tcW w:type="dxa" w:w="2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Positioning</w:t>
            </w:r>
          </w:p>
        </w:tc>
        <w:tc>
          <w:tcPr>
            <w:tcW w:type="dxa" w:w="2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Real Monthly Pricing</w:t>
            </w:r>
          </w:p>
        </w:tc>
        <w:tc>
          <w:tcPr>
            <w:tcW w:type="dxa" w:w="402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Named Weaknesses (from real reviews)</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Fathom</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Self-serve BI/reporting for accountants</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$59–$805/mo (AUD), priced by connected company count</w:t>
            </w:r>
          </w:p>
        </w:tc>
        <w:tc>
          <w:tcPr>
            <w:tcW w:type="dxa" w:w="40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Connects only to Xero/QuickBooks/MYOB (manual import otherwise); cannot blend non-financial data; rigid customization; reported slowness at scale.</w:t>
            </w:r>
          </w:p>
        </w:tc>
      </w:tr>
      <w:tr>
        <w:tc>
          <w:tcPr>
            <w:tcW w:type="dxa" w:w="13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Jirav</w:t>
            </w:r>
          </w:p>
        </w:tc>
        <w:tc>
          <w:tcPr>
            <w:tcW w:type="dxa" w:w="2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FP&amp;A / budgeting platform</w:t>
            </w:r>
          </w:p>
        </w:tc>
        <w:tc>
          <w:tcPr>
            <w:tcW w:type="dxa" w:w="2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~$833–$1,250/mo (billed annually, $10k–$15k/yr)</w:t>
            </w:r>
          </w:p>
        </w:tc>
        <w:tc>
          <w:tcPr>
            <w:tcW w:type="dxa" w:w="40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Real limits building complex custom reports; no real workforce/headcount planning depth; integration gaps outside core accounting connectors.</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Zeni</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AI bookkeeping + fractional human CFO</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$494–$719/mo (AI-only); $1,350–$2,610/mo + setup (AI + human CFO)</w:t>
            </w:r>
          </w:p>
        </w:tc>
        <w:tc>
          <w:tcPr>
            <w:tcW w:type="dxa" w:w="40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Forces customers into bundled banking/card products; 1–2 week onboarding lag; English-only document processing; no true line-item invoice extraction.</w:t>
            </w:r>
          </w:p>
        </w:tc>
      </w:tr>
    </w:tbl>
    <w:p>
      <w:pPr>
        <w:spacing w:after="260" w:before="60"/>
      </w:pPr>
      <w:r>
        <w:rPr>
          <w:rFonts w:ascii="Calibri" w:cs="Calibri" w:eastAsia="Calibri" w:hAnsi="Calibri"/>
          <w:i/>
          <w:iCs/>
          <w:color w:val="595959"/>
          <w:sz w:val="17"/>
          <w:szCs w:val="17"/>
        </w:rPr>
        <w:t xml:space="preserve">Pricing and weaknesses sourced from each vendor's own pricing page and independent review platforms (Capterra, TrustRadius, SelectHub) as of August 2026; see the internal Competitive Analysis document for full source links.</w:t>
      </w:r>
    </w:p>
    <w:p>
      <w:pPr>
        <w:spacing w:after="160" w:line="288"/>
      </w:pPr>
      <w:r>
        <w:rPr>
          <w:rFonts w:ascii="Calibri" w:cs="Calibri" w:eastAsia="Calibri" w:hAnsi="Calibri"/>
          <w:i w:val="false"/>
          <w:iCs w:val="false"/>
          <w:color w:val="1A1A1A"/>
          <w:sz w:val="21"/>
          <w:szCs w:val="21"/>
        </w:rPr>
        <w:t xml:space="preserve">Read against that landscape, Eivanta Analytics' three documented tiers already bracket both ends of the market: the Core Operations tier undercuts Fathom's dashboard-only low end, while the Enterprise Governance tier competes with Zeni's human-CFO-inclusive high end — without a human-labor cost built into the price anywhere in Eivanta's model.</w:t>
      </w:r>
    </w:p>
    <w:p>
      <w:pPr>
        <w:pStyle w:val="Heading2"/>
        <w:spacing w:after="140" w:before="280"/>
      </w:pPr>
      <w:r>
        <w:rPr>
          <w:rFonts w:ascii="Calibri" w:cs="Calibri" w:eastAsia="Calibri" w:hAnsi="Calibri"/>
          <w:b/>
          <w:bCs/>
          <w:color w:val="1F3864"/>
          <w:sz w:val="24"/>
          <w:szCs w:val="24"/>
        </w:rPr>
        <w:t xml:space="preserve">4.4 Real, Already-Shipped Differentiation</w:t>
      </w:r>
    </w:p>
    <w:p>
      <w:pPr>
        <w:spacing w:after="160" w:line="288"/>
      </w:pPr>
      <w:r>
        <w:rPr>
          <w:rFonts w:ascii="Calibri" w:cs="Calibri" w:eastAsia="Calibri" w:hAnsi="Calibri"/>
          <w:i w:val="false"/>
          <w:iCs w:val="false"/>
          <w:color w:val="1A1A1A"/>
          <w:sz w:val="21"/>
          <w:szCs w:val="21"/>
        </w:rPr>
        <w:t xml:space="preserve">Rather than a generic 'we'll add AI' claim, Eivanta Analytics already has several concrete capabilities that none of the three named competitors have, verified in the product's own automated test suite rather than only described in marketing copy:</w:t>
      </w:r>
    </w:p>
    <w:p>
      <w:pPr>
        <w:pStyle w:val="ListParagraph"/>
        <w:numPr>
          <w:ilvl w:val="0"/>
          <w:numId w:val="2"/>
        </w:numPr>
        <w:spacing w:after="100" w:line="276"/>
      </w:pPr>
      <w:r>
        <w:rPr>
          <w:rFonts w:ascii="Calibri" w:cs="Calibri" w:eastAsia="Calibri" w:hAnsi="Calibri"/>
          <w:sz w:val="21"/>
          <w:szCs w:val="21"/>
        </w:rPr>
        <w:t xml:space="preserve">Evidence-trail drill-down — any category/month total traces back to its exact source ledger rows. Independent AI-FP&amp;A market research names this exact capability as the line between a legitimate AI finance tool and a superficial one.</w:t>
      </w:r>
    </w:p>
    <w:p>
      <w:pPr>
        <w:pStyle w:val="ListParagraph"/>
        <w:numPr>
          <w:ilvl w:val="0"/>
          <w:numId w:val="2"/>
        </w:numPr>
        <w:spacing w:after="100" w:line="276"/>
      </w:pPr>
      <w:r>
        <w:rPr>
          <w:rFonts w:ascii="Calibri" w:cs="Calibri" w:eastAsia="Calibri" w:hAnsi="Calibri"/>
          <w:sz w:val="21"/>
          <w:szCs w:val="21"/>
        </w:rPr>
        <w:t xml:space="preserve">A disclosed assumption ledger — every numeric assumption behind a calculation (minimum data periods, forecast horizon, cash reserve assumptions, and more) is shown to the user, read live from the same values the calculation itself uses, never a hand-copied duplicate that could silently drift out of sync.</w:t>
      </w:r>
    </w:p>
    <w:p>
      <w:pPr>
        <w:pStyle w:val="ListParagraph"/>
        <w:numPr>
          <w:ilvl w:val="0"/>
          <w:numId w:val="2"/>
        </w:numPr>
        <w:spacing w:after="100" w:line="276"/>
      </w:pPr>
      <w:r>
        <w:rPr>
          <w:rFonts w:ascii="Calibri" w:cs="Calibri" w:eastAsia="Calibri" w:hAnsi="Calibri"/>
          <w:sz w:val="21"/>
          <w:szCs w:val="21"/>
        </w:rPr>
        <w:t xml:space="preserve">A known-gaps transparency panel — honestly discloses what can't yet be analyzed for a given tenant, computed from real signals, never invented or hidden.</w:t>
      </w:r>
    </w:p>
    <w:p>
      <w:pPr>
        <w:pStyle w:val="ListParagraph"/>
        <w:numPr>
          <w:ilvl w:val="0"/>
          <w:numId w:val="2"/>
        </w:numPr>
        <w:spacing w:after="100" w:line="276"/>
      </w:pPr>
      <w:r>
        <w:rPr>
          <w:rFonts w:ascii="Calibri" w:cs="Calibri" w:eastAsia="Calibri" w:hAnsi="Calibri"/>
          <w:sz w:val="21"/>
          <w:szCs w:val="21"/>
        </w:rPr>
        <w:t xml:space="preserve">Deterministic, explainable category suggestions with a real confidence score, never an unexplained LLM guess, and never auto-applied without explicit user confirmation.</w:t>
      </w:r>
    </w:p>
    <w:p>
      <w:pPr>
        <w:pStyle w:val="ListParagraph"/>
        <w:numPr>
          <w:ilvl w:val="0"/>
          <w:numId w:val="2"/>
        </w:numPr>
        <w:spacing w:after="100" w:line="276"/>
      </w:pPr>
      <w:r>
        <w:rPr>
          <w:rFonts w:ascii="Calibri" w:cs="Calibri" w:eastAsia="Calibri" w:hAnsi="Calibri"/>
          <w:sz w:val="21"/>
          <w:szCs w:val="21"/>
        </w:rPr>
        <w:t xml:space="preserve">A real what-if scenario simulator on runway and cash flow (price change, new hire, churned account) — a capability normally reserved for the tier above Fathom, Jirav, and Zeni (comparable to Cube, Pigment, or Mosaic-class tools).</w:t>
      </w:r>
    </w:p>
    <w:p>
      <w:pPr>
        <w:pStyle w:val="ListParagraph"/>
        <w:numPr>
          <w:ilvl w:val="0"/>
          <w:numId w:val="2"/>
        </w:numPr>
        <w:spacing w:after="100" w:line="276"/>
      </w:pPr>
      <w:r>
        <w:rPr>
          <w:rFonts w:ascii="Calibri" w:cs="Calibri" w:eastAsia="Calibri" w:hAnsi="Calibri"/>
          <w:sz w:val="21"/>
          <w:szCs w:val="21"/>
        </w:rPr>
        <w:t xml:space="preserve">Bring-your-own-key AI support and per-tenant AI budget gating — gives customers a real cost lever none of the three named competitors expose directly.</w:t>
      </w:r>
    </w:p>
    <w:p>
      <w:r>
        <w:br w:type="page"/>
      </w:r>
    </w:p>
    <w:p>
      <w:pPr>
        <w:pStyle w:val="Heading1"/>
        <w:pBdr>
          <w:bottom w:val="single" w:color="B8C4D9" w:sz="4" w:space="4"/>
        </w:pBdr>
        <w:spacing w:after="200" w:before="420"/>
      </w:pPr>
      <w:r>
        <w:rPr>
          <w:rFonts w:ascii="Calibri" w:cs="Calibri" w:eastAsia="Calibri" w:hAnsi="Calibri"/>
          <w:b/>
          <w:bCs/>
          <w:color w:val="1F3864"/>
          <w:sz w:val="30"/>
          <w:szCs w:val="30"/>
        </w:rPr>
        <w:t xml:space="preserve">5. Business Model</w:t>
      </w:r>
    </w:p>
    <w:p>
      <w:pPr>
        <w:pStyle w:val="Heading2"/>
        <w:spacing w:after="140" w:before="280"/>
      </w:pPr>
      <w:r>
        <w:rPr>
          <w:rFonts w:ascii="Calibri" w:cs="Calibri" w:eastAsia="Calibri" w:hAnsi="Calibri"/>
          <w:b/>
          <w:bCs/>
          <w:color w:val="1F3864"/>
          <w:sz w:val="24"/>
          <w:szCs w:val="24"/>
        </w:rPr>
        <w:t xml:space="preserve">5.1 Revenue Model</w:t>
      </w:r>
    </w:p>
    <w:p>
      <w:pPr>
        <w:spacing w:after="160" w:line="288"/>
      </w:pPr>
      <w:r>
        <w:rPr>
          <w:rFonts w:ascii="Calibri" w:cs="Calibri" w:eastAsia="Calibri" w:hAnsi="Calibri"/>
          <w:i w:val="false"/>
          <w:iCs w:val="false"/>
          <w:color w:val="1A1A1A"/>
          <w:sz w:val="21"/>
          <w:szCs w:val="21"/>
        </w:rPr>
        <w:t xml:space="preserve">Eivanta Analytics operates on a standard recurring SaaS subscription model, billed monthly, across the three tiers described in Section 3.1. As a pure software product with no physical inventory and a multi-tenant architecture designed to serve additional customers at low incremental infrastructure cost, the business is expected to exhibit the gross-margin characteristics typical of well-run SaaS businesses — though no live billing system has been built yet (see Section 9), so no actual revenue, margin, or customer-count figures exist to report as of this writing, and none are fabricated here.</w:t>
      </w:r>
    </w:p>
    <w:p>
      <w:pPr>
        <w:pStyle w:val="Heading2"/>
        <w:spacing w:after="140" w:before="280"/>
      </w:pPr>
      <w:r>
        <w:rPr>
          <w:rFonts w:ascii="Calibri" w:cs="Calibri" w:eastAsia="Calibri" w:hAnsi="Calibri"/>
          <w:b/>
          <w:bCs/>
          <w:color w:val="1F3864"/>
          <w:sz w:val="24"/>
          <w:szCs w:val="24"/>
        </w:rPr>
        <w:t xml:space="preserve">5.2 Unit Economics — Logic, Not Invented Numbers</w:t>
      </w:r>
    </w:p>
    <w:p>
      <w:pPr>
        <w:spacing w:after="160" w:line="288"/>
      </w:pPr>
      <w:r>
        <w:rPr>
          <w:rFonts w:ascii="Calibri" w:cs="Calibri" w:eastAsia="Calibri" w:hAnsi="Calibri"/>
          <w:i w:val="false"/>
          <w:iCs w:val="false"/>
          <w:color w:val="1A1A1A"/>
          <w:sz w:val="21"/>
          <w:szCs w:val="21"/>
        </w:rPr>
        <w:t xml:space="preserve">In place of speculative dollar projections, the underlying unit-economics logic of the business is as follows: customer acquisition cost is expected to be driven primarily by content, search, and word-of-mouth from real ROI case studies (see Section 5, Executive Success Criteria in the appendix) rather than paid acquisition at this stage; lifetime value is a function of tier (higher tiers carry materially higher monthly value) and retention, which is itself a function of the trust-building features described in Section 4.4 — a customer who can see exactly why a number is what it is, and what the platform doesn't yet know, is a customer with a real reason to trust and stay. Formal CAC/LTV modeling, once real usage and conversion data exist, is a natural extension of this plan, not a substitute for waiting until that data is real.</w:t>
      </w:r>
    </w:p>
    <w:p>
      <w:pPr>
        <w:pStyle w:val="Heading2"/>
        <w:spacing w:after="140" w:before="280"/>
      </w:pPr>
      <w:r>
        <w:rPr>
          <w:rFonts w:ascii="Calibri" w:cs="Calibri" w:eastAsia="Calibri" w:hAnsi="Calibri"/>
          <w:b/>
          <w:bCs/>
          <w:color w:val="1F3864"/>
          <w:sz w:val="24"/>
          <w:szCs w:val="24"/>
        </w:rPr>
        <w:t xml:space="preserve">5.3 Revenue Diversification via the Product Family</w:t>
      </w:r>
    </w:p>
    <w:p>
      <w:pPr>
        <w:spacing w:after="160" w:line="288"/>
      </w:pPr>
      <w:r>
        <w:rPr>
          <w:rFonts w:ascii="Calibri" w:cs="Calibri" w:eastAsia="Calibri" w:hAnsi="Calibri"/>
          <w:i w:val="false"/>
          <w:iCs w:val="false"/>
          <w:color w:val="1A1A1A"/>
          <w:sz w:val="21"/>
          <w:szCs w:val="21"/>
        </w:rPr>
        <w:t xml:space="preserve">Over time, the intent is for Eivanta Holdings' revenue to diversify across the planned product family (Section 3.2), so that no single vertical's market cycle determines the whole company's trajectory. This is a multi-year outcome, not a near-term feature of the business — today, effectively all revenue potential is concentrated in Eivanta Analytics, and this plan does not pretend otherwise.</w:t>
      </w:r>
    </w:p>
    <w:p>
      <w:pPr>
        <w:pStyle w:val="Heading2"/>
        <w:spacing w:after="140" w:before="280"/>
      </w:pPr>
      <w:r>
        <w:rPr>
          <w:rFonts w:ascii="Calibri" w:cs="Calibri" w:eastAsia="Calibri" w:hAnsi="Calibri"/>
          <w:b/>
          <w:bCs/>
          <w:color w:val="1F3864"/>
          <w:sz w:val="24"/>
          <w:szCs w:val="24"/>
        </w:rPr>
        <w:t xml:space="preserve">5.4 Go-to-Market Motion</w:t>
      </w:r>
    </w:p>
    <w:p>
      <w:pPr>
        <w:spacing w:after="160" w:line="288"/>
      </w:pPr>
      <w:r>
        <w:rPr>
          <w:rFonts w:ascii="Calibri" w:cs="Calibri" w:eastAsia="Calibri" w:hAnsi="Calibri"/>
          <w:i w:val="false"/>
          <w:iCs w:val="false"/>
          <w:color w:val="1A1A1A"/>
          <w:sz w:val="21"/>
          <w:szCs w:val="21"/>
        </w:rPr>
        <w:t xml:space="preserve">The near-term go-to-market motion for Eivanta Analytics is a direct, largely self-serve SaaS motion: a prospective customer discovers the product (initially via the planned eivanta.com marketing site, see Section 7), signs up, uploads their own data, and reaches a first real insight without needing a sales call — the product's own onboarding checklist and known-gaps panel are built specifically to make that first-value moment fast and self-explanatory. A secondary channel under consideration for a later phase is a multi-tenant 'portfolio view' for accounting firms and bookkeepers (one login, many client tenants) — directly modeled on the channel Fathom uses for its own accounting-firm resellers — though this remains a proposed, unscheduled feature today, not an active go-to-market program.</w:t>
      </w:r>
    </w:p>
    <w:p>
      <w:r>
        <w:br w:type="page"/>
      </w:r>
    </w:p>
    <w:p>
      <w:pPr>
        <w:pStyle w:val="Heading1"/>
        <w:pBdr>
          <w:bottom w:val="single" w:color="B8C4D9" w:sz="4" w:space="4"/>
        </w:pBdr>
        <w:spacing w:after="200" w:before="420"/>
      </w:pPr>
      <w:r>
        <w:rPr>
          <w:rFonts w:ascii="Calibri" w:cs="Calibri" w:eastAsia="Calibri" w:hAnsi="Calibri"/>
          <w:b/>
          <w:bCs/>
          <w:color w:val="1F3864"/>
          <w:sz w:val="30"/>
          <w:szCs w:val="30"/>
        </w:rPr>
        <w:t xml:space="preserve">6. Technology &amp; Security</w:t>
      </w:r>
    </w:p>
    <w:p>
      <w:pPr>
        <w:pStyle w:val="Heading2"/>
        <w:spacing w:after="140" w:before="280"/>
      </w:pPr>
      <w:r>
        <w:rPr>
          <w:rFonts w:ascii="Calibri" w:cs="Calibri" w:eastAsia="Calibri" w:hAnsi="Calibri"/>
          <w:b/>
          <w:bCs/>
          <w:color w:val="1F3864"/>
          <w:sz w:val="24"/>
          <w:szCs w:val="24"/>
        </w:rPr>
        <w:t xml:space="preserve">6.1 Core Architecture</w:t>
      </w:r>
    </w:p>
    <w:p>
      <w:pPr>
        <w:spacing w:after="160" w:line="288"/>
      </w:pPr>
      <w:r>
        <w:rPr>
          <w:rFonts w:ascii="Calibri" w:cs="Calibri" w:eastAsia="Calibri" w:hAnsi="Calibri"/>
          <w:i w:val="false"/>
          <w:iCs w:val="false"/>
          <w:color w:val="1A1A1A"/>
          <w:sz w:val="21"/>
          <w:szCs w:val="21"/>
        </w:rPr>
        <w:t xml:space="preserve">Eivanta Analytics is built on a modern, cloud-native stack chosen for security isolation and analytical performance rather than convenience alone:</w:t>
      </w:r>
    </w:p>
    <w:p>
      <w:pPr>
        <w:pStyle w:val="ListParagraph"/>
        <w:numPr>
          <w:ilvl w:val="0"/>
          <w:numId w:val="2"/>
        </w:numPr>
        <w:spacing w:after="100" w:line="276"/>
      </w:pPr>
      <w:r>
        <w:rPr>
          <w:rFonts w:ascii="Calibri" w:cs="Calibri" w:eastAsia="Calibri" w:hAnsi="Calibri"/>
          <w:sz w:val="21"/>
          <w:szCs w:val="21"/>
        </w:rPr>
        <w:t xml:space="preserve">Next.js frontend, FastAPI backend — a widely adopted, well-supported combination with strong security tooling support.</w:t>
      </w:r>
    </w:p>
    <w:p>
      <w:pPr>
        <w:pStyle w:val="ListParagraph"/>
        <w:numPr>
          <w:ilvl w:val="0"/>
          <w:numId w:val="2"/>
        </w:numPr>
        <w:spacing w:after="100" w:line="276"/>
      </w:pPr>
      <w:r>
        <w:rPr>
          <w:rFonts w:ascii="Calibri" w:cs="Calibri" w:eastAsia="Calibri" w:hAnsi="Calibri"/>
          <w:sz w:val="21"/>
          <w:szCs w:val="21"/>
        </w:rPr>
        <w:t xml:space="preserve">DuckDB as the tenant-isolated analytical data warehouse — chosen for fast, embedded analytical query performance without the operational overhead of a separate database cluster per tenant.</w:t>
      </w:r>
    </w:p>
    <w:p>
      <w:pPr>
        <w:pStyle w:val="ListParagraph"/>
        <w:numPr>
          <w:ilvl w:val="0"/>
          <w:numId w:val="2"/>
        </w:numPr>
        <w:spacing w:after="100" w:line="276"/>
      </w:pPr>
      <w:r>
        <w:rPr>
          <w:rFonts w:ascii="Calibri" w:cs="Calibri" w:eastAsia="Calibri" w:hAnsi="Calibri"/>
          <w:sz w:val="21"/>
          <w:szCs w:val="21"/>
        </w:rPr>
        <w:t xml:space="preserve">Qdrant for semantic/RAG-based search, supporting natural-language queries against a tenant's own data.</w:t>
      </w:r>
    </w:p>
    <w:p>
      <w:pPr>
        <w:pStyle w:val="ListParagraph"/>
        <w:numPr>
          <w:ilvl w:val="0"/>
          <w:numId w:val="2"/>
        </w:numPr>
        <w:spacing w:after="100" w:line="276"/>
      </w:pPr>
      <w:r>
        <w:rPr>
          <w:rFonts w:ascii="Calibri" w:cs="Calibri" w:eastAsia="Calibri" w:hAnsi="Calibri"/>
          <w:sz w:val="21"/>
          <w:szCs w:val="21"/>
        </w:rPr>
        <w:t xml:space="preserve">An authenticated WebSocket telemetry layer, so a user can watch the AI agent network work in real time rather than staring at a spinner.</w:t>
      </w:r>
    </w:p>
    <w:p>
      <w:pPr>
        <w:pStyle w:val="ListParagraph"/>
        <w:numPr>
          <w:ilvl w:val="0"/>
          <w:numId w:val="2"/>
        </w:numPr>
        <w:spacing w:after="100" w:line="276"/>
      </w:pPr>
      <w:r>
        <w:rPr>
          <w:rFonts w:ascii="Calibri" w:cs="Calibri" w:eastAsia="Calibri" w:hAnsi="Calibri"/>
          <w:sz w:val="21"/>
          <w:szCs w:val="21"/>
        </w:rPr>
        <w:t xml:space="preserve">OpenAI-backed LLM functionality, with bring-your-own-key support at the Enterprise Governance tier so customers with existing AI vendor relationships or cost-control requirements can use their own account.</w:t>
      </w:r>
    </w:p>
    <w:p>
      <w:pPr>
        <w:pStyle w:val="Heading2"/>
        <w:spacing w:after="140" w:before="280"/>
      </w:pPr>
      <w:r>
        <w:rPr>
          <w:rFonts w:ascii="Calibri" w:cs="Calibri" w:eastAsia="Calibri" w:hAnsi="Calibri"/>
          <w:b/>
          <w:bCs/>
          <w:color w:val="1F3864"/>
          <w:sz w:val="24"/>
          <w:szCs w:val="24"/>
        </w:rPr>
        <w:t xml:space="preserve">6.2 Security &amp; Trust Posture — Verified, Not Just Claimed</w:t>
      </w:r>
    </w:p>
    <w:p>
      <w:pPr>
        <w:spacing w:after="160" w:line="288"/>
      </w:pPr>
      <w:r>
        <w:rPr>
          <w:rFonts w:ascii="Calibri" w:cs="Calibri" w:eastAsia="Calibri" w:hAnsi="Calibri"/>
          <w:i w:val="false"/>
          <w:iCs w:val="false"/>
          <w:color w:val="1A1A1A"/>
          <w:sz w:val="21"/>
          <w:szCs w:val="21"/>
        </w:rPr>
        <w:t xml:space="preserve">Because Eivanta Analytics handles a customer's real financial and operational data, the company has treated security as foundational engineering work, not a pre-launch checklist item, and has built and verified (against a real, automated test suite of several hundred tests) the following controls as of this writing:</w:t>
      </w:r>
    </w:p>
    <w:p>
      <w:pPr>
        <w:pStyle w:val="ListParagraph"/>
        <w:numPr>
          <w:ilvl w:val="0"/>
          <w:numId w:val="2"/>
        </w:numPr>
        <w:spacing w:after="100" w:line="276"/>
      </w:pPr>
      <w:r>
        <w:rPr>
          <w:rFonts w:ascii="Calibri" w:cs="Calibri" w:eastAsia="Calibri" w:hAnsi="Calibri"/>
          <w:sz w:val="21"/>
          <w:szCs w:val="21"/>
        </w:rPr>
        <w:t xml:space="preserve">Password-based authentication with bcrypt hashing, JWT-based session tokens with real refresh-token rotation, and server-side revocation on logout.</w:t>
      </w:r>
    </w:p>
    <w:p>
      <w:pPr>
        <w:pStyle w:val="ListParagraph"/>
        <w:numPr>
          <w:ilvl w:val="0"/>
          <w:numId w:val="2"/>
        </w:numPr>
        <w:spacing w:after="100" w:line="276"/>
      </w:pPr>
      <w:r>
        <w:rPr>
          <w:rFonts w:ascii="Calibri" w:cs="Calibri" w:eastAsia="Calibri" w:hAnsi="Calibri"/>
          <w:sz w:val="21"/>
          <w:szCs w:val="21"/>
        </w:rPr>
        <w:t xml:space="preserve">Time-based one-time-password (TOTP) multi-factor authentication, opt-in per user, with backup codes.</w:t>
      </w:r>
    </w:p>
    <w:p>
      <w:pPr>
        <w:pStyle w:val="ListParagraph"/>
        <w:numPr>
          <w:ilvl w:val="0"/>
          <w:numId w:val="2"/>
        </w:numPr>
        <w:spacing w:after="100" w:line="276"/>
      </w:pPr>
      <w:r>
        <w:rPr>
          <w:rFonts w:ascii="Calibri" w:cs="Calibri" w:eastAsia="Calibri" w:hAnsi="Calibri"/>
          <w:sz w:val="21"/>
          <w:szCs w:val="21"/>
        </w:rPr>
        <w:t xml:space="preserve">Brute-force login protection: an account locks after repeated failed attempts, and — as of September 2026 — a separate, source-level rate limit also stops one source from attempting many different accounts in sequence, closing a gap that per-account lockout alone does not address.</w:t>
      </w:r>
    </w:p>
    <w:p>
      <w:pPr>
        <w:pStyle w:val="ListParagraph"/>
        <w:numPr>
          <w:ilvl w:val="0"/>
          <w:numId w:val="2"/>
        </w:numPr>
        <w:spacing w:after="100" w:line="276"/>
      </w:pPr>
      <w:r>
        <w:rPr>
          <w:rFonts w:ascii="Calibri" w:cs="Calibri" w:eastAsia="Calibri" w:hAnsi="Calibri"/>
          <w:sz w:val="21"/>
          <w:szCs w:val="21"/>
        </w:rPr>
        <w:t xml:space="preserve">A four-role authorization model (Owner, Admin, Member, Viewer) enforced on every mutating or destructive action across the API.</w:t>
      </w:r>
    </w:p>
    <w:p>
      <w:pPr>
        <w:pStyle w:val="ListParagraph"/>
        <w:numPr>
          <w:ilvl w:val="0"/>
          <w:numId w:val="2"/>
        </w:numPr>
        <w:spacing w:after="100" w:line="276"/>
      </w:pPr>
      <w:r>
        <w:rPr>
          <w:rFonts w:ascii="Calibri" w:cs="Calibri" w:eastAsia="Calibri" w:hAnsi="Calibri"/>
          <w:sz w:val="21"/>
          <w:szCs w:val="21"/>
        </w:rPr>
        <w:t xml:space="preserve">Real tenant data isolation, tenant suspension/reactivation controls, and a self-service tenant data export and deletion workflow.</w:t>
      </w:r>
    </w:p>
    <w:p>
      <w:pPr>
        <w:pStyle w:val="ListParagraph"/>
        <w:numPr>
          <w:ilvl w:val="0"/>
          <w:numId w:val="2"/>
        </w:numPr>
        <w:spacing w:after="100" w:line="276"/>
      </w:pPr>
      <w:r>
        <w:rPr>
          <w:rFonts w:ascii="Calibri" w:cs="Calibri" w:eastAsia="Calibri" w:hAnsi="Calibri"/>
          <w:sz w:val="21"/>
          <w:szCs w:val="21"/>
        </w:rPr>
        <w:t xml:space="preserve">A real, disclosed audit-lineage trail for AI-driven actions and a centralized AI model registry with regression testing before any model change ships.</w:t>
      </w:r>
    </w:p>
    <w:p>
      <w:pPr>
        <w:pStyle w:val="ListParagraph"/>
        <w:numPr>
          <w:ilvl w:val="0"/>
          <w:numId w:val="2"/>
        </w:numPr>
        <w:spacing w:after="100" w:line="276"/>
      </w:pPr>
      <w:r>
        <w:rPr>
          <w:rFonts w:ascii="Calibri" w:cs="Calibri" w:eastAsia="Calibri" w:hAnsi="Calibri"/>
          <w:sz w:val="21"/>
          <w:szCs w:val="21"/>
        </w:rPr>
        <w:t xml:space="preserve">Application-wide API rate limiting and per-tenant usage quotas (shipped September 2026), on top of security response headers and CORS controls, all verified in the automated test suite.</w:t>
      </w:r>
    </w:p>
    <w:p>
      <w:pPr>
        <w:pStyle w:val="ListParagraph"/>
        <w:numPr>
          <w:ilvl w:val="0"/>
          <w:numId w:val="2"/>
        </w:numPr>
        <w:spacing w:after="100" w:line="276"/>
      </w:pPr>
      <w:r>
        <w:rPr>
          <w:rFonts w:ascii="Calibri" w:cs="Calibri" w:eastAsia="Calibri" w:hAnsi="Calibri"/>
          <w:sz w:val="21"/>
          <w:szCs w:val="21"/>
        </w:rPr>
        <w:t xml:space="preserve">Static application security testing (SAST) wired into every code change on both the frontend and backend, with every finding manually reviewed and either fixed or explicitly documented as a reviewed false positive.</w:t>
      </w:r>
    </w:p>
    <w:p>
      <w:pPr>
        <w:spacing w:after="160" w:line="288"/>
      </w:pPr>
      <w:r>
        <w:rPr>
          <w:rFonts w:ascii="Calibri" w:cs="Calibri" w:eastAsia="Calibri" w:hAnsi="Calibri"/>
          <w:i w:val="false"/>
          <w:iCs w:val="false"/>
          <w:color w:val="1A1A1A"/>
          <w:sz w:val="21"/>
          <w:szCs w:val="21"/>
        </w:rPr>
        <w:t xml:space="preserve">This security program is deliberately disclosed at the same level of honesty the company uses internally: some controls are complete and verified; a smaller number of adjacent items (secret rotation automation, a formal incident-response runbook, and backup/disaster-recovery procedures) remain open and are sequenced into the pre-launch roadmap in Section 8, not silently assumed to already exist.</w:t>
      </w:r>
    </w:p>
    <w:p>
      <w:r>
        <w:br w:type="page"/>
      </w:r>
    </w:p>
    <w:p>
      <w:pPr>
        <w:pStyle w:val="Heading1"/>
        <w:pBdr>
          <w:bottom w:val="single" w:color="B8C4D9" w:sz="4" w:space="4"/>
        </w:pBdr>
        <w:spacing w:after="200" w:before="420"/>
      </w:pPr>
      <w:r>
        <w:rPr>
          <w:rFonts w:ascii="Calibri" w:cs="Calibri" w:eastAsia="Calibri" w:hAnsi="Calibri"/>
          <w:b/>
          <w:bCs/>
          <w:color w:val="1F3864"/>
          <w:sz w:val="30"/>
          <w:szCs w:val="30"/>
        </w:rPr>
        <w:t xml:space="preserve">7. Go-to-Market &amp; Brand Strategy</w:t>
      </w:r>
    </w:p>
    <w:p>
      <w:pPr>
        <w:pStyle w:val="Heading2"/>
        <w:spacing w:after="140" w:before="280"/>
      </w:pPr>
      <w:r>
        <w:rPr>
          <w:rFonts w:ascii="Calibri" w:cs="Calibri" w:eastAsia="Calibri" w:hAnsi="Calibri"/>
          <w:b/>
          <w:bCs/>
          <w:color w:val="1F3864"/>
          <w:sz w:val="24"/>
          <w:szCs w:val="24"/>
        </w:rPr>
        <w:t xml:space="preserve">7.1 Brand Architecture</w:t>
      </w:r>
    </w:p>
    <w:p>
      <w:pPr>
        <w:spacing w:after="160" w:line="288"/>
      </w:pPr>
      <w:r>
        <w:rPr>
          <w:rFonts w:ascii="Calibri" w:cs="Calibri" w:eastAsia="Calibri" w:hAnsi="Calibri"/>
          <w:i w:val="false"/>
          <w:iCs w:val="false"/>
          <w:color w:val="1A1A1A"/>
          <w:sz w:val="21"/>
          <w:szCs w:val="21"/>
        </w:rPr>
        <w:t xml:space="preserve">The company follows a deliberate two-level brand architecture. Eivanta Holdings is the plain, abstract parent name, carrying no single product's vertical — this was a deliberate choice; an earlier instinct toward naming the parent 'Eivanta Analytics' or 'Eivantalytics' was walked back specifically because it would have pigeonholed the umbrella into one vertical and collided with the first product's own natural name. Each individual product then carries a plain 'Eivanta + [Domain Noun]' name — Analytics, Dispatch, Fleet, Code, Health, Rent, Construct — the same pattern Zoho and Intuit use above their own product families.</w:t>
      </w:r>
    </w:p>
    <w:p>
      <w:pPr>
        <w:pStyle w:val="Heading2"/>
        <w:spacing w:after="140" w:before="280"/>
      </w:pPr>
      <w:r>
        <w:rPr>
          <w:rFonts w:ascii="Calibri" w:cs="Calibri" w:eastAsia="Calibri" w:hAnsi="Calibri"/>
          <w:b/>
          <w:bCs/>
          <w:color w:val="1F3864"/>
          <w:sz w:val="24"/>
          <w:szCs w:val="24"/>
        </w:rPr>
        <w:t xml:space="preserve">7.2 The eivanta.com Marketing Site</w:t>
      </w:r>
    </w:p>
    <w:p>
      <w:pPr>
        <w:spacing w:after="160" w:line="288"/>
      </w:pPr>
      <w:r>
        <w:rPr>
          <w:rFonts w:ascii="Calibri" w:cs="Calibri" w:eastAsia="Calibri" w:hAnsi="Calibri"/>
          <w:i w:val="false"/>
          <w:iCs w:val="false"/>
          <w:color w:val="1A1A1A"/>
          <w:sz w:val="21"/>
          <w:szCs w:val="21"/>
        </w:rPr>
        <w:t xml:space="preserve">The eivanta.com domain is already owned by the founder. Two decisions have already been made about it, logged for execution once the site is actually built: first, the site will not be hosted through the current Wix account going forward — Wix's hosting plans run $24–$46-plus per month for the applicable tier, which is not justified for a marketing site when free, business-appropriate hosting (Cloudflare Pages or Netlify, both free-tier with no restriction on commercial use) is available; second, when the site is eventually built, it will be structured as the Eivanta Holdings parent site with Eivanta Analytics presented as its featured — for now, only — product, rather than a single-product site with no room for the planned family. Neither the hosting move nor the site build has started as of this writing; the domain currently cannot be moved between registrars until an ICANN-mandated transfer lock clears in late October 2026.</w:t>
      </w:r>
    </w:p>
    <w:p>
      <w:pPr>
        <w:pStyle w:val="Heading2"/>
        <w:spacing w:after="140" w:before="280"/>
      </w:pPr>
      <w:r>
        <w:rPr>
          <w:rFonts w:ascii="Calibri" w:cs="Calibri" w:eastAsia="Calibri" w:hAnsi="Calibri"/>
          <w:b/>
          <w:bCs/>
          <w:color w:val="1F3864"/>
          <w:sz w:val="24"/>
          <w:szCs w:val="24"/>
        </w:rPr>
        <w:t xml:space="preserve">7.3 Near-Term Customer Acquisition</w:t>
      </w:r>
    </w:p>
    <w:p>
      <w:pPr>
        <w:spacing w:after="160" w:line="288"/>
      </w:pPr>
      <w:r>
        <w:rPr>
          <w:rFonts w:ascii="Calibri" w:cs="Calibri" w:eastAsia="Calibri" w:hAnsi="Calibri"/>
          <w:i w:val="false"/>
          <w:iCs w:val="false"/>
          <w:color w:val="1A1A1A"/>
          <w:sz w:val="21"/>
          <w:szCs w:val="21"/>
        </w:rPr>
        <w:t xml:space="preserve">With no live billing system and no marketing site yet, near-term go-to-market activity is necessarily limited to product readiness rather than active customer acquisition. Once the production-hardening work in Section 8 completes and the marketing site exists, the plan is a direct, self-serve SaaS motion (Section 5.4) supported by real ROI case studies as they become available, rather than a paid-acquisition-led launch.</w:t>
      </w:r>
    </w:p>
    <w:p>
      <w:r>
        <w:br w:type="page"/>
      </w:r>
    </w:p>
    <w:p>
      <w:pPr>
        <w:pStyle w:val="Heading1"/>
        <w:pBdr>
          <w:bottom w:val="single" w:color="B8C4D9" w:sz="4" w:space="4"/>
        </w:pBdr>
        <w:spacing w:after="200" w:before="420"/>
      </w:pPr>
      <w:r>
        <w:rPr>
          <w:rFonts w:ascii="Calibri" w:cs="Calibri" w:eastAsia="Calibri" w:hAnsi="Calibri"/>
          <w:b/>
          <w:bCs/>
          <w:color w:val="1F3864"/>
          <w:sz w:val="30"/>
          <w:szCs w:val="30"/>
        </w:rPr>
        <w:t xml:space="preserve">8. Product Roadmap &amp; Milestones</w:t>
      </w:r>
    </w:p>
    <w:p>
      <w:pPr>
        <w:pStyle w:val="Heading2"/>
        <w:spacing w:after="140" w:before="280"/>
      </w:pPr>
      <w:r>
        <w:rPr>
          <w:rFonts w:ascii="Calibri" w:cs="Calibri" w:eastAsia="Calibri" w:hAnsi="Calibri"/>
          <w:b/>
          <w:bCs/>
          <w:color w:val="1F3864"/>
          <w:sz w:val="24"/>
          <w:szCs w:val="24"/>
        </w:rPr>
        <w:t xml:space="preserve">8.1 Near-Term: Production Readiness (Now → Mid-October 2026)</w:t>
      </w:r>
    </w:p>
    <w:p>
      <w:pPr>
        <w:spacing w:after="160" w:line="288"/>
      </w:pPr>
      <w:r>
        <w:rPr>
          <w:rFonts w:ascii="Calibri" w:cs="Calibri" w:eastAsia="Calibri" w:hAnsi="Calibri"/>
          <w:i w:val="false"/>
          <w:iCs w:val="false"/>
          <w:color w:val="1A1A1A"/>
          <w:sz w:val="21"/>
          <w:szCs w:val="21"/>
        </w:rPr>
        <w:t xml:space="preserve">The company is executing a 45-day dual-track plan toward production readiness for Eivanta Analytics, running two tracks in parallel:</w:t>
      </w:r>
    </w:p>
    <w:p>
      <w:pPr>
        <w:pStyle w:val="ListParagraph"/>
        <w:numPr>
          <w:ilvl w:val="0"/>
          <w:numId w:val="2"/>
        </w:numPr>
        <w:spacing w:after="100" w:line="276"/>
      </w:pPr>
      <w:r>
        <w:rPr>
          <w:rFonts w:ascii="Calibri" w:cs="Calibri" w:eastAsia="Calibri" w:hAnsi="Calibri"/>
          <w:b/>
          <w:bCs/>
          <w:sz w:val="21"/>
          <w:szCs w:val="21"/>
        </w:rPr>
        <w:t xml:space="preserve">Engineering track — </w:t>
      </w:r>
      <w:r>
        <w:rPr>
          <w:rFonts w:ascii="Calibri" w:cs="Calibri" w:eastAsia="Calibri" w:hAnsi="Calibri"/>
          <w:sz w:val="21"/>
          <w:szCs w:val="21"/>
        </w:rPr>
        <w:t xml:space="preserve">closing out remaining security, data-integrity, AI/SQL trust, API/UX, and observability gaps against the product's own internal build checklist, built and verified against the real codebase and its automated test suite the same way every prior milestone has been.</w:t>
      </w:r>
    </w:p>
    <w:p>
      <w:pPr>
        <w:pStyle w:val="ListParagraph"/>
        <w:numPr>
          <w:ilvl w:val="0"/>
          <w:numId w:val="2"/>
        </w:numPr>
        <w:spacing w:after="100" w:line="276"/>
      </w:pPr>
      <w:r>
        <w:rPr>
          <w:rFonts w:ascii="Calibri" w:cs="Calibri" w:eastAsia="Calibri" w:hAnsi="Calibri"/>
          <w:b/>
          <w:bCs/>
          <w:sz w:val="21"/>
          <w:szCs w:val="21"/>
        </w:rPr>
        <w:t xml:space="preserve">Founder track — </w:t>
      </w:r>
      <w:r>
        <w:rPr>
          <w:rFonts w:ascii="Calibri" w:cs="Calibri" w:eastAsia="Calibri" w:hAnsi="Calibri"/>
          <w:sz w:val="21"/>
          <w:szCs w:val="21"/>
        </w:rPr>
        <w:t xml:space="preserve">LLC formation, EIN, a business bank account, a Stripe merchant account, an email-delivery provider account, a production hosting decision, and scheduling a third-party penetration test. These are outside engineering's control and are tracked separately; billing and email-dependent code paths are being built and fully tested against sandbox credentials now, so the only remaining step once real accounts exist is swapping test keys for live ones and re-verifying — not a from-scratch build.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520"/>
        <w:gridCol w:w="2000"/>
        <w:gridCol w:w="3200"/>
      </w:tblGrid>
      <w:tr>
        <w:trPr>
          <w:tblHeader/>
        </w:trPr>
        <w:tc>
          <w:tcPr>
            <w:tcW w:type="dxa" w:w="452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Milestone</w:t>
            </w:r>
          </w:p>
        </w:tc>
        <w:tc>
          <w:tcPr>
            <w:tcW w:type="dxa" w:w="20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Owner</w:t>
            </w:r>
          </w:p>
        </w:tc>
        <w:tc>
          <w:tcPr>
            <w:tcW w:type="dxa" w:w="3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Target</w:t>
            </w:r>
          </w:p>
        </w:tc>
      </w:tr>
      <w:tr>
        <w:tc>
          <w:tcPr>
            <w:tcW w:type="dxa" w:w="45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Auth &amp; session hardening (refresh-token rotation, session management)</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Engineering</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Complete</w:t>
            </w:r>
          </w:p>
        </w:tc>
      </w:tr>
      <w:tr>
        <w:tc>
          <w:tcPr>
            <w:tcW w:type="dxa" w:w="45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Data &amp; ingestion hardening (validation, normalization, versioning)</w:t>
            </w:r>
          </w:p>
        </w:tc>
        <w:tc>
          <w:tcPr>
            <w:tcW w:type="dxa" w:w="20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Engineering</w:t>
            </w:r>
          </w:p>
        </w:tc>
        <w:tc>
          <w:tcPr>
            <w:tcW w:type="dxa" w:w="3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Complete</w:t>
            </w:r>
          </w:p>
        </w:tc>
      </w:tr>
      <w:tr>
        <w:tc>
          <w:tcPr>
            <w:tcW w:type="dxa" w:w="45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AI/SQL trust &amp; financial ground-truth definitions</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Engineering</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In progress</w:t>
            </w:r>
          </w:p>
        </w:tc>
      </w:tr>
      <w:tr>
        <w:tc>
          <w:tcPr>
            <w:tcW w:type="dxa" w:w="45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API rate limits &amp; tenant quotas</w:t>
            </w:r>
          </w:p>
        </w:tc>
        <w:tc>
          <w:tcPr>
            <w:tcW w:type="dxa" w:w="20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Engineering</w:t>
            </w:r>
          </w:p>
        </w:tc>
        <w:tc>
          <w:tcPr>
            <w:tcW w:type="dxa" w:w="3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Complete (Sept 2026)</w:t>
            </w:r>
          </w:p>
        </w:tc>
      </w:tr>
      <w:tr>
        <w:tc>
          <w:tcPr>
            <w:tcW w:type="dxa" w:w="45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LLC, EIN, business bank account</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Founder</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Target: within 45–50 days of late Aug 2026</w:t>
            </w:r>
          </w:p>
        </w:tc>
      </w:tr>
      <w:tr>
        <w:tc>
          <w:tcPr>
            <w:tcW w:type="dxa" w:w="45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Stripe &amp; email-provider accounts (sandboxed integration built now)</w:t>
            </w:r>
          </w:p>
        </w:tc>
        <w:tc>
          <w:tcPr>
            <w:tcW w:type="dxa" w:w="20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Founder / Engineering</w:t>
            </w:r>
          </w:p>
        </w:tc>
        <w:tc>
          <w:tcPr>
            <w:tcW w:type="dxa" w:w="3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Target: same window</w:t>
            </w:r>
          </w:p>
        </w:tc>
      </w:tr>
      <w:tr>
        <w:tc>
          <w:tcPr>
            <w:tcW w:type="dxa" w:w="45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Third-party penetration test</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Founder</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Scheduled within same window</w:t>
            </w:r>
          </w:p>
        </w:tc>
      </w:tr>
      <w:tr>
        <w:tc>
          <w:tcPr>
            <w:tcW w:type="dxa" w:w="45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Billing &amp; production cutover, pen-test remediation</w:t>
            </w:r>
          </w:p>
        </w:tc>
        <w:tc>
          <w:tcPr>
            <w:tcW w:type="dxa" w:w="20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Engineering</w:t>
            </w:r>
          </w:p>
        </w:tc>
        <w:tc>
          <w:tcPr>
            <w:tcW w:type="dxa" w:w="3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Upon founder-track accounts landing</w:t>
            </w:r>
          </w:p>
        </w:tc>
      </w:tr>
    </w:tbl>
    <w:p>
      <w:pPr>
        <w:pStyle w:val="Heading2"/>
        <w:spacing w:after="140" w:before="280"/>
      </w:pPr>
      <w:r>
        <w:rPr>
          <w:rFonts w:ascii="Calibri" w:cs="Calibri" w:eastAsia="Calibri" w:hAnsi="Calibri"/>
          <w:b/>
          <w:bCs/>
          <w:color w:val="1F3864"/>
          <w:sz w:val="24"/>
          <w:szCs w:val="24"/>
        </w:rPr>
        <w:t xml:space="preserve">8.2 Mid-Term: Commercial Launch &amp; Differentiation (Late 2026 – 2027)</w:t>
      </w:r>
    </w:p>
    <w:p>
      <w:pPr>
        <w:pStyle w:val="ListParagraph"/>
        <w:numPr>
          <w:ilvl w:val="0"/>
          <w:numId w:val="2"/>
        </w:numPr>
        <w:spacing w:after="100" w:line="276"/>
      </w:pPr>
      <w:r>
        <w:rPr>
          <w:rFonts w:ascii="Calibri" w:cs="Calibri" w:eastAsia="Calibri" w:hAnsi="Calibri"/>
          <w:sz w:val="21"/>
          <w:szCs w:val="21"/>
        </w:rPr>
        <w:t xml:space="preserve">Complete Eivanta Analytics' commercial launch: live billing, production deployment, and the eivanta.com marketing site.</w:t>
      </w:r>
    </w:p>
    <w:p>
      <w:pPr>
        <w:pStyle w:val="ListParagraph"/>
        <w:numPr>
          <w:ilvl w:val="0"/>
          <w:numId w:val="2"/>
        </w:numPr>
        <w:spacing w:after="100" w:line="276"/>
      </w:pPr>
      <w:r>
        <w:rPr>
          <w:rFonts w:ascii="Calibri" w:cs="Calibri" w:eastAsia="Calibri" w:hAnsi="Calibri"/>
          <w:sz w:val="21"/>
          <w:szCs w:val="21"/>
        </w:rPr>
        <w:t xml:space="preserve">Ship the highest-priority items from the company's own competitive-differentiation backlog — native Stripe and Shopify data connectors, driver-level variance attribution, and proactive anomaly alerts — each scoped against a specific, named competitor gap rather than a generic feature idea.</w:t>
      </w:r>
    </w:p>
    <w:p>
      <w:pPr>
        <w:pStyle w:val="ListParagraph"/>
        <w:numPr>
          <w:ilvl w:val="0"/>
          <w:numId w:val="2"/>
        </w:numPr>
        <w:spacing w:after="100" w:line="276"/>
      </w:pPr>
      <w:r>
        <w:rPr>
          <w:rFonts w:ascii="Calibri" w:cs="Calibri" w:eastAsia="Calibri" w:hAnsi="Calibri"/>
          <w:sz w:val="21"/>
          <w:szCs w:val="21"/>
        </w:rPr>
        <w:t xml:space="preserve">Begin structured planning (market study, legal/trademark clearance, technical scoping) for the first of the additional product-family verticals — timing and sequencing not yet decided.</w:t>
      </w:r>
    </w:p>
    <w:p>
      <w:pPr>
        <w:pStyle w:val="Heading2"/>
        <w:spacing w:after="140" w:before="280"/>
      </w:pPr>
      <w:r>
        <w:rPr>
          <w:rFonts w:ascii="Calibri" w:cs="Calibri" w:eastAsia="Calibri" w:hAnsi="Calibri"/>
          <w:b/>
          <w:bCs/>
          <w:color w:val="1F3864"/>
          <w:sz w:val="24"/>
          <w:szCs w:val="24"/>
        </w:rPr>
        <w:t xml:space="preserve">8.3 Long-Term: The Product Family (Year 2+)</w:t>
      </w:r>
    </w:p>
    <w:p>
      <w:pPr>
        <w:spacing w:after="160" w:line="288"/>
      </w:pPr>
      <w:r>
        <w:rPr>
          <w:rFonts w:ascii="Calibri" w:cs="Calibri" w:eastAsia="Calibri" w:hAnsi="Calibri"/>
          <w:i w:val="false"/>
          <w:iCs w:val="false"/>
          <w:color w:val="1A1A1A"/>
          <w:sz w:val="21"/>
          <w:szCs w:val="21"/>
        </w:rPr>
        <w:t xml:space="preserve">Eivanta Dispatch, Eivanta Fleet, Eivanta Code, Eivanta Health, Eivanta Rent, and Eivanta Construct are sequenced as a multi-year build-out, not a single simultaneous launch. Sequencing, prioritization, and even which of the six is built first, are open decisions to be made once Eivanta Analytics is commercially established — this plan deliberately does not pre-commit an order.</w:t>
      </w:r>
    </w:p>
    <w:p>
      <w:r>
        <w:br w:type="page"/>
      </w:r>
    </w:p>
    <w:p>
      <w:pPr>
        <w:pStyle w:val="Heading1"/>
        <w:pBdr>
          <w:bottom w:val="single" w:color="B8C4D9" w:sz="4" w:space="4"/>
        </w:pBdr>
        <w:spacing w:after="200" w:before="420"/>
      </w:pPr>
      <w:r>
        <w:rPr>
          <w:rFonts w:ascii="Calibri" w:cs="Calibri" w:eastAsia="Calibri" w:hAnsi="Calibri"/>
          <w:b/>
          <w:bCs/>
          <w:color w:val="1F3864"/>
          <w:sz w:val="30"/>
          <w:szCs w:val="30"/>
        </w:rPr>
        <w:t xml:space="preserve">9. Organization &amp; Management</w:t>
      </w:r>
    </w:p>
    <w:p>
      <w:pPr>
        <w:pStyle w:val="Heading2"/>
        <w:spacing w:after="140" w:before="280"/>
      </w:pPr>
      <w:r>
        <w:rPr>
          <w:rFonts w:ascii="Calibri" w:cs="Calibri" w:eastAsia="Calibri" w:hAnsi="Calibri"/>
          <w:b/>
          <w:bCs/>
          <w:color w:val="1F3864"/>
          <w:sz w:val="24"/>
          <w:szCs w:val="24"/>
        </w:rPr>
        <w:t xml:space="preserve">9.1 Founder</w:t>
      </w:r>
    </w:p>
    <w:p>
      <w:pPr>
        <w:spacing w:after="160" w:line="288"/>
      </w:pPr>
      <w:r>
        <w:rPr>
          <w:rFonts w:ascii="Calibri" w:cs="Calibri" w:eastAsia="Calibri" w:hAnsi="Calibri"/>
          <w:i w:val="false"/>
          <w:iCs w:val="false"/>
          <w:color w:val="1A1A1A"/>
          <w:sz w:val="21"/>
          <w:szCs w:val="21"/>
        </w:rPr>
        <w:t xml:space="preserve">Lamarcus Guiton is the founder and CEO of Eivanta Holdings. His approximately decade-long operating background in skilled-nursing-facility (SNF) management gives the company real, first-hand domain expertise behind Eivanta Analytics' financial reporting design, and a credible, experience-backed entry point into the planned Eivanta Health vertical when that product is eventually scoped.</w:t>
      </w:r>
    </w:p>
    <w:p>
      <w:pPr>
        <w:pStyle w:val="Heading2"/>
        <w:spacing w:after="140" w:before="280"/>
      </w:pPr>
      <w:r>
        <w:rPr>
          <w:rFonts w:ascii="Calibri" w:cs="Calibri" w:eastAsia="Calibri" w:hAnsi="Calibri"/>
          <w:b/>
          <w:bCs/>
          <w:color w:val="1F3864"/>
          <w:sz w:val="24"/>
          <w:szCs w:val="24"/>
        </w:rPr>
        <w:t xml:space="preserve">9.2 Current Team &amp; Engineering Model</w:t>
      </w:r>
    </w:p>
    <w:p>
      <w:pPr>
        <w:spacing w:after="160" w:line="288"/>
      </w:pPr>
      <w:r>
        <w:rPr>
          <w:rFonts w:ascii="Calibri" w:cs="Calibri" w:eastAsia="Calibri" w:hAnsi="Calibri"/>
          <w:i w:val="false"/>
          <w:iCs w:val="false"/>
          <w:color w:val="1A1A1A"/>
          <w:sz w:val="21"/>
          <w:szCs w:val="21"/>
        </w:rPr>
        <w:t xml:space="preserve">Eivanta Holdings is currently a founder-led company. Software engineering is executed with AI-assisted development support, under the founder's direct product and architectural direction — every feature, security control, and test described in this plan has been built, tested, and verified against the real codebase, not merely specified. This lean model has allowed the company to build a genuinely full-featured, security-hardened product ahead of any outside hire or outside capital.</w:t>
      </w:r>
    </w:p>
    <w:p>
      <w:pPr>
        <w:pStyle w:val="Heading2"/>
        <w:spacing w:after="140" w:before="280"/>
      </w:pPr>
      <w:r>
        <w:rPr>
          <w:rFonts w:ascii="Calibri" w:cs="Calibri" w:eastAsia="Calibri" w:hAnsi="Calibri"/>
          <w:b/>
          <w:bCs/>
          <w:color w:val="1F3864"/>
          <w:sz w:val="24"/>
          <w:szCs w:val="24"/>
        </w:rPr>
        <w:t xml:space="preserve">9.3 Future Hires &amp; Advisors</w:t>
      </w:r>
    </w:p>
    <w:p>
      <w:pPr>
        <w:spacing w:after="160" w:line="288"/>
      </w:pPr>
      <w:r>
        <w:rPr>
          <w:rFonts w:ascii="Calibri" w:cs="Calibri" w:eastAsia="Calibri" w:hAnsi="Calibri"/>
          <w:i w:val="false"/>
          <w:iCs w:val="false"/>
          <w:color w:val="1A1A1A"/>
          <w:sz w:val="21"/>
          <w:szCs w:val="21"/>
        </w:rPr>
        <w:t xml:space="preserve">As the company approaches commercial launch and begins planning the broader product family, likely near-term additions include a qualified accountant/bookkeeper for the company's own books, legal counsel for entity structuring and trademark clearance, and — once real customer usage exists — the company's first commercial or customer-success hire. No specific hiring timeline or headcount plan is committed in this version of the plan.</w:t>
      </w:r>
    </w:p>
    <w:p>
      <w:r>
        <w:br w:type="page"/>
      </w:r>
    </w:p>
    <w:p>
      <w:pPr>
        <w:pStyle w:val="Heading1"/>
        <w:pBdr>
          <w:bottom w:val="single" w:color="B8C4D9" w:sz="4" w:space="4"/>
        </w:pBdr>
        <w:spacing w:after="200" w:before="420"/>
      </w:pPr>
      <w:r>
        <w:rPr>
          <w:rFonts w:ascii="Calibri" w:cs="Calibri" w:eastAsia="Calibri" w:hAnsi="Calibri"/>
          <w:b/>
          <w:bCs/>
          <w:color w:val="1F3864"/>
          <w:sz w:val="30"/>
          <w:szCs w:val="30"/>
        </w:rPr>
        <w:t xml:space="preserve">10. Financial Overview</w:t>
      </w:r>
    </w:p>
    <w:p>
      <w:pPr>
        <w:pStyle w:val="Heading2"/>
        <w:spacing w:after="140" w:before="280"/>
      </w:pPr>
      <w:r>
        <w:rPr>
          <w:rFonts w:ascii="Calibri" w:cs="Calibri" w:eastAsia="Calibri" w:hAnsi="Calibri"/>
          <w:b/>
          <w:bCs/>
          <w:color w:val="1F3864"/>
          <w:sz w:val="24"/>
          <w:szCs w:val="24"/>
        </w:rPr>
        <w:t xml:space="preserve">10.1 Current Financial Status</w:t>
      </w:r>
    </w:p>
    <w:p>
      <w:pPr>
        <w:spacing w:after="160" w:line="288"/>
      </w:pPr>
      <w:r>
        <w:rPr>
          <w:rFonts w:ascii="Calibri" w:cs="Calibri" w:eastAsia="Calibri" w:hAnsi="Calibri"/>
          <w:i w:val="false"/>
          <w:iCs w:val="false"/>
          <w:color w:val="1A1A1A"/>
          <w:sz w:val="21"/>
          <w:szCs w:val="21"/>
        </w:rPr>
        <w:t xml:space="preserve">Eivanta Analytics is pre-revenue and pre-launch as of this writing. No live billing system exists yet (see Section 8), and no historical revenue, expense, or customer figures exist to report. This plan deliberately does not include fabricated or illustrative financial projections, funding requirements, or valuation figures — per the founder's own direction, those belong in a dedicated financial plan built with a qualified accountant or financial advisor once real usage and (once billing goes live) real revenue data exist to ground them.</w:t>
      </w:r>
    </w:p>
    <w:p>
      <w:pPr>
        <w:pStyle w:val="Heading2"/>
        <w:spacing w:after="140" w:before="280"/>
      </w:pPr>
      <w:r>
        <w:rPr>
          <w:rFonts w:ascii="Calibri" w:cs="Calibri" w:eastAsia="Calibri" w:hAnsi="Calibri"/>
          <w:b/>
          <w:bCs/>
          <w:color w:val="1F3864"/>
          <w:sz w:val="24"/>
          <w:szCs w:val="24"/>
        </w:rPr>
        <w:t xml:space="preserve">10.2 Business Model Economics</w:t>
      </w:r>
    </w:p>
    <w:p>
      <w:pPr>
        <w:spacing w:after="160" w:line="288"/>
      </w:pPr>
      <w:r>
        <w:rPr>
          <w:rFonts w:ascii="Calibri" w:cs="Calibri" w:eastAsia="Calibri" w:hAnsi="Calibri"/>
          <w:i w:val="false"/>
          <w:iCs w:val="false"/>
          <w:color w:val="1A1A1A"/>
          <w:sz w:val="21"/>
          <w:szCs w:val="21"/>
        </w:rPr>
        <w:t xml:space="preserve">Section 5 describes the underlying unit-economics logic of the business in qualitative terms: a recurring SaaS subscription model with three price tiers, a multi-tenant architecture that keeps incremental cost per additional customer low, and a retention thesis built on the platform's transparency features rather than a generic engagement mechanic. This is the correct level of financial detail for a pre-revenue plan; anything more specific would be speculation presented as fact.</w:t>
      </w:r>
    </w:p>
    <w:p>
      <w:pPr>
        <w:pStyle w:val="Heading2"/>
        <w:spacing w:after="140" w:before="280"/>
      </w:pPr>
      <w:r>
        <w:rPr>
          <w:rFonts w:ascii="Calibri" w:cs="Calibri" w:eastAsia="Calibri" w:hAnsi="Calibri"/>
          <w:b/>
          <w:bCs/>
          <w:color w:val="1F3864"/>
          <w:sz w:val="24"/>
          <w:szCs w:val="24"/>
        </w:rPr>
        <w:t xml:space="preserve">10.3 Funding</w:t>
      </w:r>
    </w:p>
    <w:p>
      <w:pPr>
        <w:spacing w:after="160" w:line="288"/>
      </w:pPr>
      <w:r>
        <w:rPr>
          <w:rFonts w:ascii="Calibri" w:cs="Calibri" w:eastAsia="Calibri" w:hAnsi="Calibri"/>
          <w:i w:val="false"/>
          <w:iCs w:val="false"/>
          <w:color w:val="1A1A1A"/>
          <w:sz w:val="21"/>
          <w:szCs w:val="21"/>
        </w:rPr>
        <w:t xml:space="preserve">No funding round is being raised at the time of this writing, and no specific funding amount or use-of-funds breakdown is proposed in this document. Should the founder decide to pursue outside capital or lending in the future, that decision — and the accompanying financial projections, cap table, and formal use-of-funds statement it requires — should be developed separately, with appropriate legal and financial counsel, before being presented to any investor or lender.</w:t>
      </w:r>
    </w:p>
    <w:p>
      <w:pPr>
        <w:shd w:fill="EEF2F8" w:color="auto" w:val="clear"/>
        <w:spacing w:after="200" w:before="200"/>
      </w:pPr>
      <w:r>
        <w:rPr>
          <w:rFonts w:ascii="Calibri" w:cs="Calibri" w:eastAsia="Calibri" w:hAnsi="Calibri"/>
          <w:i/>
          <w:iCs/>
          <w:color w:val="44546A"/>
          <w:sz w:val="19"/>
          <w:szCs w:val="19"/>
        </w:rPr>
        <w:t xml:space="preserve">Note: This document is a strategic business plan, not a financial statement, offering memorandum, or loan application, and should not be relied upon as one. It is not a substitute for advice from a licensed attorney, accountant, or financial advisor.</w:t>
      </w:r>
    </w:p>
    <w:p>
      <w:r>
        <w:br w:type="page"/>
      </w:r>
    </w:p>
    <w:p>
      <w:pPr>
        <w:pStyle w:val="Heading1"/>
        <w:pBdr>
          <w:bottom w:val="single" w:color="B8C4D9" w:sz="4" w:space="4"/>
        </w:pBdr>
        <w:spacing w:after="200" w:before="420"/>
      </w:pPr>
      <w:r>
        <w:rPr>
          <w:rFonts w:ascii="Calibri" w:cs="Calibri" w:eastAsia="Calibri" w:hAnsi="Calibri"/>
          <w:b/>
          <w:bCs/>
          <w:color w:val="1F3864"/>
          <w:sz w:val="30"/>
          <w:szCs w:val="30"/>
        </w:rPr>
        <w:t xml:space="preserve">11. Risk Factors &amp; Mitigations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20"/>
        <w:gridCol w:w="5500"/>
      </w:tblGrid>
      <w:tr>
        <w:trPr>
          <w:tblHeader/>
        </w:trPr>
        <w:tc>
          <w:tcPr>
            <w:tcW w:type="dxa" w:w="422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Risk</w:t>
            </w:r>
          </w:p>
        </w:tc>
        <w:tc>
          <w:tcPr>
            <w:tcW w:type="dxa" w:w="55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42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Solo-founder execution risk — the company currently depends on one person for product, engineering, and business direction.</w:t>
            </w:r>
          </w:p>
        </w:tc>
        <w:tc>
          <w:tcPr>
            <w:tcW w:type="dxa" w:w="5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AI-assisted engineering has materially increased solo build velocity and test coverage; near-term hiring priorities (Section 9.3) are identified for the functions most exposed to key-person risk (finance/legal).</w:t>
            </w:r>
          </w:p>
        </w:tc>
      </w:tr>
      <w:tr>
        <w:tc>
          <w:tcPr>
            <w:tcW w:type="dxa" w:w="42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Pre-revenue, unproven demand — no paying customers exist yet to validate willingness to pay at the documented price tiers.</w:t>
            </w:r>
          </w:p>
        </w:tc>
        <w:tc>
          <w:tcPr>
            <w:tcW w:type="dxa" w:w="55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Launch plan explicitly targets real ROI case studies (Section 4, success criteria) before broad scaling, rather than scaling on unproven demand.</w:t>
            </w:r>
          </w:p>
        </w:tc>
      </w:tr>
      <w:tr>
        <w:tc>
          <w:tcPr>
            <w:tcW w:type="dxa" w:w="42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Competitive risk from funded incumbents (Fathom, Jirav, Zeni, and larger BI vendors).</w:t>
            </w:r>
          </w:p>
        </w:tc>
        <w:tc>
          <w:tcPr>
            <w:tcW w:type="dxa" w:w="5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Differentiation is scoped against named, specific competitor gaps (Section 4.3–4.4) rather than a generic feature race, and several differentiators are already shipped and verified, not merely planned.</w:t>
            </w:r>
          </w:p>
        </w:tc>
      </w:tr>
      <w:tr>
        <w:tc>
          <w:tcPr>
            <w:tcW w:type="dxa" w:w="42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Third-party AI/LLM dependency — the platform's core value depends on an external LLM provider (OpenAI).</w:t>
            </w:r>
          </w:p>
        </w:tc>
        <w:tc>
          <w:tcPr>
            <w:tcW w:type="dxa" w:w="55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Bring-your-own-key support at the Enterprise Governance tier and a centralized, regression-tested model registry reduce single-vendor lock-in and the blast radius of any one model change.</w:t>
            </w:r>
          </w:p>
        </w:tc>
      </w:tr>
      <w:tr>
        <w:tc>
          <w:tcPr>
            <w:tcW w:type="dxa" w:w="42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Security/compliance risk inherent in handling customer financial data.</w:t>
            </w:r>
          </w:p>
        </w:tc>
        <w:tc>
          <w:tcPr>
            <w:tcW w:type="dxa" w:w="5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 real, verified security program (Section 6.2) — authentication, MFA, RBAC, tenant isolation, rate limiting, SAST — is built and tested ahead of commercial launch, with a third-party penetration test scheduled before go-live.</w:t>
            </w:r>
          </w:p>
        </w:tc>
      </w:tr>
      <w:tr>
        <w:tc>
          <w:tcPr>
            <w:tcW w:type="dxa" w:w="42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Multi-vertical execution risk — six additional planned products could dilute focus if pursued too early.</w:t>
            </w:r>
          </w:p>
        </w:tc>
        <w:tc>
          <w:tcPr>
            <w:tcW w:type="dxa" w:w="55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Explicitly sequenced, not parallel: no work on Dispatch, Fleet, Code, Health, Rent, or Construct begins until Eivanta Analytics is commercially established (Section 8.3).</w:t>
            </w:r>
          </w:p>
        </w:tc>
      </w:tr>
      <w:tr>
        <w:tc>
          <w:tcPr>
            <w:tcW w:type="dxa" w:w="42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Legal/brand risk — the Eivanta name has not yet been trademark-cleared across every planned vertical.</w:t>
            </w:r>
          </w:p>
        </w:tc>
        <w:tc>
          <w:tcPr>
            <w:tcW w:type="dxa" w:w="55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Trademark search across all planned categories is an identified, open pre-launch action item (Section 2.2), not assumed clear.</w:t>
            </w:r>
          </w:p>
        </w:tc>
      </w:tr>
      <w:tr>
        <w:tc>
          <w:tcPr>
            <w:tcW w:type="dxa" w:w="42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Domain/branding timing risk — eivanta.com cannot move off its current registrar until an ICANN-mandated lock clears.</w:t>
            </w:r>
          </w:p>
        </w:tc>
        <w:tc>
          <w:tcPr>
            <w:tcW w:type="dxa" w:w="55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Hosting and site-build decisions are sequenced to land after the lock clears (late Oct 2026); nothing time-sensitive depends on an earlier date.</w:t>
            </w:r>
          </w:p>
        </w:tc>
      </w:tr>
    </w:tbl>
    <w:p>
      <w:r>
        <w:br w:type="page"/>
      </w:r>
    </w:p>
    <w:p>
      <w:pPr>
        <w:pStyle w:val="Heading1"/>
        <w:pBdr>
          <w:bottom w:val="single" w:color="B8C4D9" w:sz="4" w:space="4"/>
        </w:pBdr>
        <w:spacing w:after="200" w:before="420"/>
      </w:pPr>
      <w:r>
        <w:rPr>
          <w:rFonts w:ascii="Calibri" w:cs="Calibri" w:eastAsia="Calibri" w:hAnsi="Calibri"/>
          <w:b/>
          <w:bCs/>
          <w:color w:val="1F3864"/>
          <w:sz w:val="30"/>
          <w:szCs w:val="30"/>
        </w:rPr>
        <w:t xml:space="preserve">12. Appendix</w:t>
      </w:r>
    </w:p>
    <w:p>
      <w:pPr>
        <w:pStyle w:val="Heading2"/>
        <w:spacing w:after="140" w:before="280"/>
      </w:pPr>
      <w:r>
        <w:rPr>
          <w:rFonts w:ascii="Calibri" w:cs="Calibri" w:eastAsia="Calibri" w:hAnsi="Calibri"/>
          <w:b/>
          <w:bCs/>
          <w:color w:val="1F3864"/>
          <w:sz w:val="24"/>
          <w:szCs w:val="24"/>
        </w:rPr>
        <w:t xml:space="preserve">12.1 Executive Success Criteria</w:t>
      </w:r>
    </w:p>
    <w:p>
      <w:pPr>
        <w:spacing w:after="160" w:line="288"/>
      </w:pPr>
      <w:r>
        <w:rPr>
          <w:rFonts w:ascii="Calibri" w:cs="Calibri" w:eastAsia="Calibri" w:hAnsi="Calibri"/>
          <w:i w:val="false"/>
          <w:iCs w:val="false"/>
          <w:color w:val="1A1A1A"/>
          <w:sz w:val="21"/>
          <w:szCs w:val="21"/>
        </w:rPr>
        <w:t xml:space="preserve">Eivanta Analytics' own internal standard treats technical completion as separate from commercial success. The product is evaluated against the following gated scorecard before broad commercial scaling: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520"/>
        <w:gridCol w:w="5200"/>
      </w:tblGrid>
      <w:tr>
        <w:trPr>
          <w:tblHeader/>
        </w:trPr>
        <w:tc>
          <w:tcPr>
            <w:tcW w:type="dxa" w:w="452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Dimension</w:t>
            </w:r>
          </w:p>
        </w:tc>
        <w:tc>
          <w:tcPr>
            <w:tcW w:type="dxa" w:w="52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Target</w:t>
            </w:r>
          </w:p>
        </w:tc>
      </w:tr>
      <w:tr>
        <w:tc>
          <w:tcPr>
            <w:tcW w:type="dxa" w:w="45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Agent task success rate</w:t>
            </w:r>
          </w:p>
        </w:tc>
        <w:tc>
          <w:tcPr>
            <w:tcW w:type="dxa" w:w="5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≥98% healthy baseline</w:t>
            </w:r>
          </w:p>
        </w:tc>
      </w:tr>
      <w:tr>
        <w:tc>
          <w:tcPr>
            <w:tcW w:type="dxa" w:w="45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Tenant-isolation failures</w:t>
            </w:r>
          </w:p>
        </w:tc>
        <w:tc>
          <w:tcPr>
            <w:tcW w:type="dxa" w:w="5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0</w:t>
            </w:r>
          </w:p>
        </w:tc>
      </w:tr>
      <w:tr>
        <w:tc>
          <w:tcPr>
            <w:tcW w:type="dxa" w:w="45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Financial calculation correctness</w:t>
            </w:r>
          </w:p>
        </w:tc>
        <w:tc>
          <w:tcPr>
            <w:tcW w:type="dxa" w:w="5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≥99% against ground truth</w:t>
            </w:r>
          </w:p>
        </w:tc>
      </w:tr>
      <w:tr>
        <w:tc>
          <w:tcPr>
            <w:tcW w:type="dxa" w:w="45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Platform availability</w:t>
            </w:r>
          </w:p>
        </w:tc>
        <w:tc>
          <w:tcPr>
            <w:tcW w:type="dxa" w:w="5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≥99.5%</w:t>
            </w:r>
          </w:p>
        </w:tc>
      </w:tr>
      <w:tr>
        <w:tc>
          <w:tcPr>
            <w:tcW w:type="dxa" w:w="45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Typical CSV ingestion time</w:t>
            </w:r>
          </w:p>
        </w:tc>
        <w:tc>
          <w:tcPr>
            <w:tcW w:type="dxa" w:w="5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&lt;10 seconds for the documented test class</w:t>
            </w:r>
          </w:p>
        </w:tc>
      </w:tr>
      <w:tr>
        <w:tc>
          <w:tcPr>
            <w:tcW w:type="dxa" w:w="45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Natural-language query response</w:t>
            </w:r>
          </w:p>
        </w:tc>
        <w:tc>
          <w:tcPr>
            <w:tcW w:type="dxa" w:w="5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&lt;5 seconds under normal load (excluding first model cold-start)</w:t>
            </w:r>
          </w:p>
        </w:tc>
      </w:tr>
      <w:tr>
        <w:tc>
          <w:tcPr>
            <w:tcW w:type="dxa" w:w="45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First-value activation</w:t>
            </w:r>
          </w:p>
        </w:tc>
        <w:tc>
          <w:tcPr>
            <w:tcW w:type="dxa" w:w="5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≥60% of qualified onboarded accounts</w:t>
            </w:r>
          </w:p>
        </w:tc>
      </w:tr>
      <w:tr>
        <w:tc>
          <w:tcPr>
            <w:tcW w:type="dxa" w:w="45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90-day retention</w:t>
            </w:r>
          </w:p>
        </w:tc>
        <w:tc>
          <w:tcPr>
            <w:tcW w:type="dxa" w:w="5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≥50–60% by cohort</w:t>
            </w:r>
          </w:p>
        </w:tc>
      </w:tr>
      <w:tr>
        <w:tc>
          <w:tcPr>
            <w:tcW w:type="dxa" w:w="45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Qualified trial-to-paid conversion</w:t>
            </w:r>
          </w:p>
        </w:tc>
        <w:tc>
          <w:tcPr>
            <w:tcW w:type="dxa" w:w="5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≥10%</w:t>
            </w:r>
          </w:p>
        </w:tc>
      </w:tr>
      <w:tr>
        <w:tc>
          <w:tcPr>
            <w:tcW w:type="dxa" w:w="45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Customer proof</w:t>
            </w:r>
          </w:p>
        </w:tc>
        <w:tc>
          <w:tcPr>
            <w:tcW w:type="dxa" w:w="52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At least 5 strong ROI case studies before broad scaling</w:t>
            </w:r>
          </w:p>
        </w:tc>
      </w:tr>
    </w:tbl>
    <w:p>
      <w:pPr>
        <w:pStyle w:val="Heading2"/>
        <w:spacing w:after="140" w:before="280"/>
      </w:pPr>
      <w:r>
        <w:rPr>
          <w:rFonts w:ascii="Calibri" w:cs="Calibri" w:eastAsia="Calibri" w:hAnsi="Calibri"/>
          <w:b/>
          <w:bCs/>
          <w:color w:val="1F3864"/>
          <w:sz w:val="24"/>
          <w:szCs w:val="24"/>
        </w:rPr>
        <w:t xml:space="preserve">12.2 Glossary of the Eivanta Product Family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20"/>
        <w:gridCol w:w="6600"/>
      </w:tblGrid>
      <w:tr>
        <w:trPr>
          <w:tblHeader/>
        </w:trPr>
        <w:tc>
          <w:tcPr>
            <w:tcW w:type="dxa" w:w="312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Name</w:t>
            </w:r>
          </w:p>
        </w:tc>
        <w:tc>
          <w:tcPr>
            <w:tcW w:type="dxa" w:w="66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Meaning</w:t>
            </w:r>
          </w:p>
        </w:tc>
      </w:tr>
      <w:tr>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Holdings</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The parent company; the plain, abstract brand above every individual product.</w:t>
            </w:r>
          </w:p>
        </w:tc>
      </w:tr>
      <w:tr>
        <w:tc>
          <w:tcPr>
            <w:tcW w:type="dxa" w:w="31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Analytics</w:t>
            </w:r>
          </w:p>
        </w:tc>
        <w:tc>
          <w:tcPr>
            <w:tcW w:type="dxa" w:w="66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The flagship, live product — AI-driven business intelligence and financial insight for SMBs.</w:t>
            </w:r>
          </w:p>
        </w:tc>
      </w:tr>
      <w:tr>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Dispatch</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Planned future product — logistics/dispatch operations.</w:t>
            </w:r>
          </w:p>
        </w:tc>
      </w:tr>
      <w:tr>
        <w:tc>
          <w:tcPr>
            <w:tcW w:type="dxa" w:w="31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Fleet</w:t>
            </w:r>
          </w:p>
        </w:tc>
        <w:tc>
          <w:tcPr>
            <w:tcW w:type="dxa" w:w="66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Planned future product — fleet management operations.</w:t>
            </w:r>
          </w:p>
        </w:tc>
      </w:tr>
      <w:tr>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Code</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Planned future product — developer tooling.</w:t>
            </w:r>
          </w:p>
        </w:tc>
      </w:tr>
      <w:tr>
        <w:tc>
          <w:tcPr>
            <w:tcW w:type="dxa" w:w="31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Health</w:t>
            </w:r>
          </w:p>
        </w:tc>
        <w:tc>
          <w:tcPr>
            <w:tcW w:type="dxa" w:w="66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Planned future product — healthcare/senior-care operations.</w:t>
            </w:r>
          </w:p>
        </w:tc>
      </w:tr>
      <w:tr>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Rent</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Planned future product — property/rental management.</w:t>
            </w:r>
          </w:p>
        </w:tc>
      </w:tr>
      <w:tr>
        <w:tc>
          <w:tcPr>
            <w:tcW w:type="dxa" w:w="312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Eivanta Construct</w:t>
            </w:r>
          </w:p>
        </w:tc>
        <w:tc>
          <w:tcPr>
            <w:tcW w:type="dxa" w:w="6600"/>
            <w:shd w:fill="EEF2F8"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Planned future product — construction industry operations.</w:t>
            </w:r>
          </w:p>
        </w:tc>
      </w:tr>
    </w:tbl>
    <w:p>
      <w:pPr>
        <w:pStyle w:val="Heading2"/>
        <w:spacing w:after="140" w:before="280"/>
      </w:pPr>
      <w:r>
        <w:rPr>
          <w:rFonts w:ascii="Calibri" w:cs="Calibri" w:eastAsia="Calibri" w:hAnsi="Calibri"/>
          <w:b/>
          <w:bCs/>
          <w:color w:val="1F3864"/>
          <w:sz w:val="24"/>
          <w:szCs w:val="24"/>
        </w:rPr>
        <w:t xml:space="preserve">12.3 Supporting Internal Documents</w:t>
      </w:r>
    </w:p>
    <w:p>
      <w:pPr>
        <w:spacing w:after="160" w:line="288"/>
      </w:pPr>
      <w:r>
        <w:rPr>
          <w:rFonts w:ascii="Calibri" w:cs="Calibri" w:eastAsia="Calibri" w:hAnsi="Calibri"/>
          <w:i w:val="false"/>
          <w:iCs w:val="false"/>
          <w:color w:val="1A1A1A"/>
          <w:sz w:val="21"/>
          <w:szCs w:val="21"/>
        </w:rPr>
        <w:t xml:space="preserve">This plan draws on, and is consistent with, the company's own internal engineering and strategy documentation, retained separately: the Eivanta Master Build List (the company's living engineering roadmap and status ledger), the NexusFlow Executive Summary, the Eivanta Competitive Analysis &amp; Feature Roadmap, and the Eivanta 45-Day Launch Plan. These internal documents contain additional technical and tactical detail beyond this plan's intended audience and scope.</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Eivanta Holdings — Business Plan  |  Confidential  |  Page </w:t>
    </w:r>
    <w:r>
      <w:rPr>
        <w:rFonts w:ascii="Calibri" w:cs="Calibri" w:eastAsia="Calibri" w:hAnsi="Calibri"/>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Eivanta Holdings — Business Plan</dc:title>
  <dc:creator>Eivanta Holdings</dc:creator>
  <cp:lastModifiedBy>Un-named</cp:lastModifiedBy>
  <cp:revision>1</cp:revision>
  <dcterms:created xsi:type="dcterms:W3CDTF">2026-09-03T04:43:40.279Z</dcterms:created>
  <dcterms:modified xsi:type="dcterms:W3CDTF">2026-09-03T04:43:40.279Z</dcterms:modified>
</cp:coreProperties>
</file>

<file path=docProps/custom.xml><?xml version="1.0" encoding="utf-8"?>
<Properties xmlns="http://schemas.openxmlformats.org/officeDocument/2006/custom-properties" xmlns:vt="http://schemas.openxmlformats.org/officeDocument/2006/docPropsVTypes"/>
</file>