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Eivanta — 45-Day Launch Plan</w:t>
      </w:r>
    </w:p>
    <w:p>
      <w:pPr>
        <w:pBdr>
          <w:bottom w:val="single" w:color="AAAAAA" w:sz="6" w:space="8"/>
        </w:pBdr>
        <w:spacing w:after="200"/>
      </w:pPr>
      <w:r>
        <w:rPr>
          <w:rFonts w:ascii="Calibri" w:cs="Calibri" w:eastAsia="Calibri" w:hAnsi="Calibri"/>
          <w:i/>
          <w:iCs/>
          <w:color w:val="44546A"/>
          <w:sz w:val="21"/>
          <w:szCs w:val="21"/>
        </w:rPr>
        <w:t xml:space="preserve">Engineering roadmap for Days 1–45 (27 Aug 2026 → ~10 Oct 2026), synced to the founder's own 45–50 day target for the LLC, business accounts, and third-party penetration test.</w:t>
      </w:r>
    </w:p>
    <w:p>
      <w:pPr>
        <w:pStyle w:val="Heading2"/>
        <w:spacing w:after="120" w:before="320"/>
      </w:pPr>
      <w:r>
        <w:rPr>
          <w:rFonts w:ascii="Calibri" w:cs="Calibri" w:eastAsia="Calibri" w:hAnsi="Calibri"/>
          <w:b/>
          <w:bCs/>
          <w:color w:val="1F3864"/>
          <w:sz w:val="24"/>
          <w:szCs w:val="24"/>
        </w:rPr>
        <w:t xml:space="preserve">How to read this plan</w:t>
      </w:r>
    </w:p>
    <w:p>
      <w:pPr>
        <w:spacing w:after="140"/>
      </w:pPr>
      <w:r>
        <w:rPr>
          <w:rFonts w:ascii="Calibri" w:cs="Calibri" w:eastAsia="Calibri" w:hAnsi="Calibri"/>
          <w:i w:val="false"/>
          <w:iCs w:val="false"/>
          <w:sz w:val="21"/>
          <w:szCs w:val="21"/>
        </w:rPr>
        <w:t xml:space="preserve">This plan splits every open Master Build List item into two tracks that run in parallel and converge near the end of the window.</w:t>
      </w:r>
    </w:p>
    <w:p>
      <w:pPr>
        <w:spacing w:after="140"/>
      </w:pPr>
      <w:r>
        <w:rPr>
          <w:rFonts w:ascii="Calibri" w:cs="Calibri" w:eastAsia="Calibri" w:hAnsi="Calibri"/>
          <w:i w:val="false"/>
          <w:iCs w:val="false"/>
          <w:sz w:val="21"/>
          <w:szCs w:val="21"/>
        </w:rPr>
        <w:t xml:space="preserve">Engineering Track — everything in this document with a week number is work I execute autonomously against the real codebase: built, tested, verified, and delivered the same way every item has been so far this engagement. No founder time required to make this track happen.</w:t>
      </w:r>
    </w:p>
    <w:p>
      <w:pPr>
        <w:spacing w:after="140"/>
      </w:pPr>
      <w:r>
        <w:rPr>
          <w:rFonts w:ascii="Calibri" w:cs="Calibri" w:eastAsia="Calibri" w:hAnsi="Calibri"/>
          <w:i w:val="false"/>
          <w:iCs w:val="false"/>
          <w:sz w:val="21"/>
          <w:szCs w:val="21"/>
        </w:rPr>
        <w:t xml:space="preserve">Founder Track — the LLC, EIN, business bank account, Stripe account, Resend (or equivalent email) account, production hosting decision, and scheduling a third-party penetration test. These are yours to drive; I have no visibility into how long any of them actually take. The plan below assumes they land within your own stated 45–50 day window and treats Day 45 as the point where they're available, not a promise about when they'll actually be ready.</w:t>
      </w:r>
    </w:p>
    <w:p>
      <w:pPr>
        <w:spacing w:after="200"/>
      </w:pPr>
      <w:r>
        <w:rPr>
          <w:rFonts w:ascii="Calibri" w:cs="Calibri" w:eastAsia="Calibri" w:hAnsi="Calibri"/>
          <w:i w:val="false"/>
          <w:iCs w:val="false"/>
          <w:sz w:val="21"/>
          <w:szCs w:val="21"/>
        </w:rPr>
        <w:t xml:space="preserve">The strategy for the items that depend on those accounts (billing, email-triggered features, production cutover) is to build and fully test them now against sandbox/test credentials, so the only remaining step once your real accounts exist is swapping test keys for live ones and re-running the same verification pass — not a from-scratch build starting on Day 46.</w:t>
      </w:r>
    </w:p>
    <w:p>
      <w:pPr>
        <w:pStyle w:val="Heading2"/>
        <w:spacing w:after="120" w:before="320"/>
      </w:pPr>
      <w:r>
        <w:rPr>
          <w:rFonts w:ascii="Calibri" w:cs="Calibri" w:eastAsia="Calibri" w:hAnsi="Calibri"/>
          <w:b/>
          <w:bCs/>
          <w:color w:val="1F3864"/>
          <w:sz w:val="24"/>
          <w:szCs w:val="24"/>
        </w:rPr>
        <w:t xml:space="preserve">Track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4475"/>
        <w:gridCol w:w="4475"/>
      </w:tblGrid>
      <w:tr>
        <w:tc>
          <w:tcPr>
            <w:tcW w:type="dxa" w:w="1400"/>
            <w:tcBorders>
              <w:top w:val="single" w:color="D0D5DD" w:sz="4"/>
              <w:left w:val="single" w:color="D0D5DD" w:sz="4"/>
              <w:bottom w:val="single" w:color="D0D5DD" w:sz="4"/>
              <w:right w:val="single" w:color="D0D5DD" w:sz="4"/>
            </w:tcBorders>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
            </w:r>
          </w:p>
        </w:tc>
        <w:tc>
          <w:tcPr>
            <w:tcW w:type="dxa" w:w="4475"/>
            <w:tcBorders>
              <w:top w:val="single" w:color="D0D5DD" w:sz="4"/>
              <w:left w:val="single" w:color="D0D5DD" w:sz="4"/>
              <w:bottom w:val="single" w:color="D0D5DD" w:sz="4"/>
              <w:right w:val="single" w:color="D0D5DD" w:sz="4"/>
            </w:tcBorders>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Engineering Track (me, autonomous)</w:t>
            </w:r>
          </w:p>
        </w:tc>
        <w:tc>
          <w:tcPr>
            <w:tcW w:type="dxa" w:w="4475"/>
            <w:tcBorders>
              <w:top w:val="single" w:color="D0D5DD" w:sz="4"/>
              <w:left w:val="single" w:color="D0D5DD" w:sz="4"/>
              <w:bottom w:val="single" w:color="D0D5DD" w:sz="4"/>
              <w:right w:val="single" w:color="D0D5DD" w:sz="4"/>
            </w:tcBorders>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Founder Track (you)</w:t>
            </w:r>
          </w:p>
        </w:tc>
      </w:tr>
      <w:tr>
        <w:tc>
          <w:tcPr>
            <w:tcW w:type="dxa" w:w="1400"/>
            <w:tcBorders>
              <w:top w:val="single" w:color="D0D5DD" w:sz="4"/>
              <w:left w:val="single" w:color="D0D5DD" w:sz="4"/>
              <w:bottom w:val="single" w:color="D0D5DD" w:sz="4"/>
              <w:right w:val="single" w:color="D0D5DD" w:sz="4"/>
            </w:tcBorders>
            <w:shd w:fill="F2F5FA" w:val="clear"/>
            <w:tcMar>
              <w:top w:type="dxa" w:w="80"/>
              <w:left w:type="dxa" w:w="100"/>
              <w:bottom w:type="dxa" w:w="80"/>
              <w:right w:type="dxa" w:w="100"/>
            </w:tcMar>
          </w:tcPr>
          <w:p>
            <w:r>
              <w:rPr>
                <w:rFonts w:ascii="Calibri" w:cs="Calibri" w:eastAsia="Calibri" w:hAnsi="Calibri"/>
                <w:b w:val="false"/>
                <w:bCs w:val="false"/>
                <w:color w:val="202020"/>
                <w:sz w:val="20"/>
                <w:szCs w:val="20"/>
              </w:rPr>
              <w:t xml:space="preserve">Weeks 1–6
(Days 1–42)</w:t>
            </w:r>
          </w:p>
        </w:tc>
        <w:tc>
          <w:tcPr>
            <w:tcW w:type="dxa" w:w="4475"/>
            <w:tcBorders>
              <w:top w:val="single" w:color="D0D5DD" w:sz="4"/>
              <w:left w:val="single" w:color="D0D5DD" w:sz="4"/>
              <w:bottom w:val="single" w:color="D0D5DD" w:sz="4"/>
              <w:right w:val="single" w:color="D0D5DD" w:sz="4"/>
            </w:tcBorders>
            <w:tcMar>
              <w:top w:type="dxa" w:w="80"/>
              <w:left w:type="dxa" w:w="100"/>
              <w:bottom w:type="dxa" w:w="80"/>
              <w:right w:type="dxa" w:w="100"/>
            </w:tcMar>
          </w:tcPr>
          <w:p>
            <w:r>
              <w:rPr>
                <w:rFonts w:ascii="Calibri" w:cs="Calibri" w:eastAsia="Calibri" w:hAnsi="Calibri"/>
                <w:b w:val="false"/>
                <w:bCs w:val="false"/>
                <w:color w:val="202020"/>
                <w:sz w:val="20"/>
                <w:szCs w:val="20"/>
              </w:rPr>
              <w:t xml:space="preserve">Close out security, data, AI/SQL trust, API/UX, test-suite, and observability PARTIALs and NOT-ADDRESSED items that don't depend on any external account. Build billing/email code paths against sandbox credentials.</w:t>
            </w:r>
          </w:p>
        </w:tc>
        <w:tc>
          <w:tcPr>
            <w:tcW w:type="dxa" w:w="4475"/>
            <w:tcBorders>
              <w:top w:val="single" w:color="D0D5DD" w:sz="4"/>
              <w:left w:val="single" w:color="D0D5DD" w:sz="4"/>
              <w:bottom w:val="single" w:color="D0D5DD" w:sz="4"/>
              <w:right w:val="single" w:color="D0D5DD" w:sz="4"/>
            </w:tcBorders>
            <w:tcMar>
              <w:top w:type="dxa" w:w="80"/>
              <w:left w:type="dxa" w:w="100"/>
              <w:bottom w:type="dxa" w:w="80"/>
              <w:right w:type="dxa" w:w="100"/>
            </w:tcMar>
          </w:tcPr>
          <w:p>
            <w:r>
              <w:rPr>
                <w:rFonts w:ascii="Calibri" w:cs="Calibri" w:eastAsia="Calibri" w:hAnsi="Calibri"/>
                <w:b w:val="false"/>
                <w:bCs w:val="false"/>
                <w:color w:val="202020"/>
                <w:sz w:val="20"/>
                <w:szCs w:val="20"/>
              </w:rPr>
              <w:t xml:space="preserve">LLC formation, EIN, business bank account, Stripe application, Resend/email provider signup, production hosting decision, schedule the pen test vendor.</w:t>
            </w:r>
          </w:p>
        </w:tc>
      </w:tr>
      <w:tr>
        <w:tc>
          <w:tcPr>
            <w:tcW w:type="dxa" w:w="1400"/>
            <w:tcBorders>
              <w:top w:val="single" w:color="D0D5DD" w:sz="4"/>
              <w:left w:val="single" w:color="D0D5DD" w:sz="4"/>
              <w:bottom w:val="single" w:color="D0D5DD" w:sz="4"/>
              <w:right w:val="single" w:color="D0D5DD" w:sz="4"/>
            </w:tcBorders>
            <w:shd w:fill="F2F5FA" w:val="clear"/>
            <w:tcMar>
              <w:top w:type="dxa" w:w="80"/>
              <w:left w:type="dxa" w:w="100"/>
              <w:bottom w:type="dxa" w:w="80"/>
              <w:right w:type="dxa" w:w="100"/>
            </w:tcMar>
          </w:tcPr>
          <w:p>
            <w:r>
              <w:rPr>
                <w:rFonts w:ascii="Calibri" w:cs="Calibri" w:eastAsia="Calibri" w:hAnsi="Calibri"/>
                <w:b w:val="false"/>
                <w:bCs w:val="false"/>
                <w:color w:val="202020"/>
                <w:sz w:val="20"/>
                <w:szCs w:val="20"/>
              </w:rPr>
              <w:t xml:space="preserve">Days 43–45+
(convergence)</w:t>
            </w:r>
          </w:p>
        </w:tc>
        <w:tc>
          <w:tcPr>
            <w:tcW w:type="dxa" w:w="4475"/>
            <w:tcBorders>
              <w:top w:val="single" w:color="D0D5DD" w:sz="4"/>
              <w:left w:val="single" w:color="D0D5DD" w:sz="4"/>
              <w:bottom w:val="single" w:color="D0D5DD" w:sz="4"/>
              <w:right w:val="single" w:color="D0D5DD" w:sz="4"/>
            </w:tcBorders>
            <w:tcMar>
              <w:top w:type="dxa" w:w="80"/>
              <w:left w:type="dxa" w:w="100"/>
              <w:bottom w:type="dxa" w:w="80"/>
              <w:right w:type="dxa" w:w="100"/>
            </w:tcMar>
          </w:tcPr>
          <w:p>
            <w:r>
              <w:rPr>
                <w:rFonts w:ascii="Calibri" w:cs="Calibri" w:eastAsia="Calibri" w:hAnsi="Calibri"/>
                <w:b w:val="false"/>
                <w:bCs w:val="false"/>
                <w:color w:val="202020"/>
                <w:sz w:val="20"/>
                <w:szCs w:val="20"/>
              </w:rPr>
              <w:t xml:space="preserve">The moment each account exists: swap test keys for live ones, re-verify, and cut over. Remediate pen-test findings as the report arrives.</w:t>
            </w:r>
          </w:p>
        </w:tc>
        <w:tc>
          <w:tcPr>
            <w:tcW w:type="dxa" w:w="4475"/>
            <w:tcBorders>
              <w:top w:val="single" w:color="D0D5DD" w:sz="4"/>
              <w:left w:val="single" w:color="D0D5DD" w:sz="4"/>
              <w:bottom w:val="single" w:color="D0D5DD" w:sz="4"/>
              <w:right w:val="single" w:color="D0D5DD" w:sz="4"/>
            </w:tcBorders>
            <w:tcMar>
              <w:top w:type="dxa" w:w="80"/>
              <w:left w:type="dxa" w:w="100"/>
              <w:bottom w:type="dxa" w:w="80"/>
              <w:right w:type="dxa" w:w="100"/>
            </w:tcMar>
          </w:tcPr>
          <w:p>
            <w:r>
              <w:rPr>
                <w:rFonts w:ascii="Calibri" w:cs="Calibri" w:eastAsia="Calibri" w:hAnsi="Calibri"/>
                <w:b w:val="false"/>
                <w:bCs w:val="false"/>
                <w:color w:val="202020"/>
                <w:sz w:val="20"/>
                <w:szCs w:val="20"/>
              </w:rPr>
              <w:t xml:space="preserve">Accounts land (on your own 45–50 day target); pen test executes and report comes back.</w:t>
            </w:r>
          </w:p>
        </w:tc>
      </w:tr>
    </w:tbl>
    <w:p>
      <w:pPr>
        <w:spacing w:after="160"/>
      </w:pPr>
      <w:r>
        <w:rPr>
          <w:rFonts w:ascii="Calibri" w:cs="Calibri" w:eastAsia="Calibri" w:hAnsi="Calibri"/>
          <w:i w:val="false"/>
          <w:iCs w:val="false"/>
          <w:sz w:val="21"/>
          <w:szCs w:val="21"/>
        </w:rPr>
        <w:t xml:space="preserve"/>
      </w:r>
    </w:p>
    <w:p>
      <w:pPr>
        <w:pStyle w:val="Heading2"/>
        <w:spacing w:after="120" w:before="320"/>
      </w:pPr>
      <w:r>
        <w:rPr>
          <w:rFonts w:ascii="Calibri" w:cs="Calibri" w:eastAsia="Calibri" w:hAnsi="Calibri"/>
          <w:b/>
          <w:bCs/>
          <w:color w:val="1F3864"/>
          <w:sz w:val="24"/>
          <w:szCs w:val="24"/>
        </w:rPr>
        <w:t xml:space="preserve">Week 1 (Days 1–7) — Auth &amp; session hardening</w:t>
      </w:r>
    </w:p>
    <w:p>
      <w:pPr>
        <w:pStyle w:val="ListParagraph"/>
        <w:numPr>
          <w:ilvl w:val="0"/>
          <w:numId w:val="2"/>
        </w:numPr>
        <w:spacing w:after="100"/>
      </w:pPr>
      <w:r>
        <w:rPr>
          <w:rFonts w:ascii="Calibri" w:cs="Calibri" w:eastAsia="Calibri" w:hAnsi="Calibri"/>
          <w:b/>
          <w:bCs/>
          <w:color w:val="B7791F"/>
          <w:sz w:val="21"/>
          <w:szCs w:val="21"/>
        </w:rPr>
        <w:t xml:space="preserve">[PARTIAL→DONE] </w:t>
      </w:r>
      <w:r>
        <w:rPr>
          <w:rFonts w:ascii="Calibri" w:cs="Calibri" w:eastAsia="Calibri" w:hAnsi="Calibri"/>
          <w:b/>
          <w:bCs/>
          <w:sz w:val="21"/>
          <w:szCs w:val="21"/>
        </w:rPr>
        <w:t xml:space="preserve">AUTH-02</w:t>
      </w:r>
      <w:r>
        <w:rPr>
          <w:rFonts w:ascii="Calibri" w:cs="Calibri" w:eastAsia="Calibri" w:hAnsi="Calibri"/>
          <w:sz w:val="21"/>
          <w:szCs w:val="21"/>
        </w:rPr>
        <w:t xml:space="preserve"> Real refresh-token rotation with short-lived access tokens, server-side revocation on logout/rotation.</w:t>
      </w:r>
    </w:p>
    <w:p>
      <w:pPr>
        <w:pStyle w:val="ListParagraph"/>
        <w:numPr>
          <w:ilvl w:val="0"/>
          <w:numId w:val="2"/>
        </w:numPr>
        <w:spacing w:after="100"/>
      </w:pPr>
      <w:r>
        <w:rPr>
          <w:rFonts w:ascii="Calibri" w:cs="Calibri" w:eastAsia="Calibri" w:hAnsi="Calibri"/>
          <w:b/>
          <w:bCs/>
          <w:color w:val="B7791F"/>
          <w:sz w:val="21"/>
          <w:szCs w:val="21"/>
        </w:rPr>
        <w:t xml:space="preserve">[PARTIAL→DONE] </w:t>
      </w:r>
      <w:r>
        <w:rPr>
          <w:rFonts w:ascii="Calibri" w:cs="Calibri" w:eastAsia="Calibri" w:hAnsi="Calibri"/>
          <w:b/>
          <w:bCs/>
          <w:sz w:val="21"/>
          <w:szCs w:val="21"/>
        </w:rPr>
        <w:t xml:space="preserve">AUTH-06</w:t>
      </w:r>
      <w:r>
        <w:rPr>
          <w:rFonts w:ascii="Calibri" w:cs="Calibri" w:eastAsia="Calibri" w:hAnsi="Calibri"/>
          <w:sz w:val="21"/>
          <w:szCs w:val="21"/>
        </w:rPr>
        <w:t xml:space="preserve"> Session/device management: list active sessions per user, forced logout of a specific session or all sessions, building on AUTH-02's revocation store.</w:t>
      </w:r>
    </w:p>
    <w:p>
      <w:pPr>
        <w:pStyle w:val="ListParagraph"/>
        <w:numPr>
          <w:ilvl w:val="0"/>
          <w:numId w:val="2"/>
        </w:numPr>
        <w:spacing w:after="100"/>
      </w:pPr>
      <w:r>
        <w:rPr>
          <w:rFonts w:ascii="Calibri" w:cs="Calibri" w:eastAsia="Calibri" w:hAnsi="Calibri"/>
          <w:b/>
          <w:bCs/>
          <w:color w:val="B7791F"/>
          <w:sz w:val="21"/>
          <w:szCs w:val="21"/>
        </w:rPr>
        <w:t xml:space="preserve">[PARTIAL→DONE] </w:t>
      </w:r>
      <w:r>
        <w:rPr>
          <w:rFonts w:ascii="Calibri" w:cs="Calibri" w:eastAsia="Calibri" w:hAnsi="Calibri"/>
          <w:b/>
          <w:bCs/>
          <w:sz w:val="21"/>
          <w:szCs w:val="21"/>
        </w:rPr>
        <w:t xml:space="preserve">SEC-01</w:t>
      </w:r>
      <w:r>
        <w:rPr>
          <w:rFonts w:ascii="Calibri" w:cs="Calibri" w:eastAsia="Calibri" w:hAnsi="Calibri"/>
          <w:sz w:val="21"/>
          <w:szCs w:val="21"/>
        </w:rPr>
        <w:t xml:space="preserve"> Secret management audit: document current secret inventory and rotation procedure, tighten environment separation between dev/test/prod config.</w:t>
      </w:r>
    </w:p>
    <w:p>
      <w:pPr>
        <w:pStyle w:val="Heading2"/>
        <w:spacing w:after="120" w:before="320"/>
      </w:pPr>
      <w:r>
        <w:rPr>
          <w:rFonts w:ascii="Calibri" w:cs="Calibri" w:eastAsia="Calibri" w:hAnsi="Calibri"/>
          <w:b/>
          <w:bCs/>
          <w:color w:val="1F3864"/>
          <w:sz w:val="24"/>
          <w:szCs w:val="24"/>
        </w:rPr>
        <w:t xml:space="preserve">Week 2 (Days 8–14) — Data &amp; ingestion hardening</w:t>
      </w:r>
    </w:p>
    <w:p>
      <w:pPr>
        <w:pStyle w:val="ListParagraph"/>
        <w:numPr>
          <w:ilvl w:val="0"/>
          <w:numId w:val="2"/>
        </w:numPr>
        <w:spacing w:after="100"/>
      </w:pPr>
      <w:r>
        <w:rPr>
          <w:rFonts w:ascii="Calibri" w:cs="Calibri" w:eastAsia="Calibri" w:hAnsi="Calibri"/>
          <w:b/>
          <w:bCs/>
          <w:color w:val="B7791F"/>
          <w:sz w:val="21"/>
          <w:szCs w:val="21"/>
        </w:rPr>
        <w:t xml:space="preserve">[PARTIAL→DONE] </w:t>
      </w:r>
      <w:r>
        <w:rPr>
          <w:rFonts w:ascii="Calibri" w:cs="Calibri" w:eastAsia="Calibri" w:hAnsi="Calibri"/>
          <w:b/>
          <w:bCs/>
          <w:sz w:val="21"/>
          <w:szCs w:val="21"/>
        </w:rPr>
        <w:t xml:space="preserve">DATA-02</w:t>
      </w:r>
      <w:r>
        <w:rPr>
          <w:rFonts w:ascii="Calibri" w:cs="Calibri" w:eastAsia="Calibri" w:hAnsi="Calibri"/>
          <w:sz w:val="21"/>
          <w:szCs w:val="21"/>
        </w:rPr>
        <w:t xml:space="preserve"> Header alias/fuzzy repair completion and schema validation coverage.</w:t>
      </w:r>
    </w:p>
    <w:p>
      <w:pPr>
        <w:pStyle w:val="ListParagraph"/>
        <w:numPr>
          <w:ilvl w:val="0"/>
          <w:numId w:val="2"/>
        </w:numPr>
        <w:spacing w:after="100"/>
      </w:pPr>
      <w:r>
        <w:rPr>
          <w:rFonts w:ascii="Calibri" w:cs="Calibri" w:eastAsia="Calibri" w:hAnsi="Calibri"/>
          <w:b/>
          <w:bCs/>
          <w:color w:val="B7791F"/>
          <w:sz w:val="21"/>
          <w:szCs w:val="21"/>
        </w:rPr>
        <w:t xml:space="preserve">[PARTIAL→DONE] </w:t>
      </w:r>
      <w:r>
        <w:rPr>
          <w:rFonts w:ascii="Calibri" w:cs="Calibri" w:eastAsia="Calibri" w:hAnsi="Calibri"/>
          <w:b/>
          <w:bCs/>
          <w:sz w:val="21"/>
          <w:szCs w:val="21"/>
        </w:rPr>
        <w:t xml:space="preserve">DATA-06</w:t>
      </w:r>
      <w:r>
        <w:rPr>
          <w:rFonts w:ascii="Calibri" w:cs="Calibri" w:eastAsia="Calibri" w:hAnsi="Calibri"/>
          <w:sz w:val="21"/>
          <w:szCs w:val="21"/>
        </w:rPr>
        <w:t xml:space="preserve"> Real, enforced file size/row/column/request limits (currently partial).</w:t>
      </w:r>
    </w:p>
    <w:p>
      <w:pPr>
        <w:pStyle w:val="ListParagraph"/>
        <w:numPr>
          <w:ilvl w:val="0"/>
          <w:numId w:val="2"/>
        </w:numPr>
        <w:spacing w:after="100"/>
      </w:pPr>
      <w:r>
        <w:rPr>
          <w:rFonts w:ascii="Calibri" w:cs="Calibri" w:eastAsia="Calibri" w:hAnsi="Calibri"/>
          <w:b/>
          <w:bCs/>
          <w:color w:val="B7791F"/>
          <w:sz w:val="21"/>
          <w:szCs w:val="21"/>
        </w:rPr>
        <w:t xml:space="preserve">[PARTIAL→DONE] </w:t>
      </w:r>
      <w:r>
        <w:rPr>
          <w:rFonts w:ascii="Calibri" w:cs="Calibri" w:eastAsia="Calibri" w:hAnsi="Calibri"/>
          <w:b/>
          <w:bCs/>
          <w:sz w:val="21"/>
          <w:szCs w:val="21"/>
        </w:rPr>
        <w:t xml:space="preserve">DATA-07</w:t>
      </w:r>
      <w:r>
        <w:rPr>
          <w:rFonts w:ascii="Calibri" w:cs="Calibri" w:eastAsia="Calibri" w:hAnsi="Calibri"/>
          <w:sz w:val="21"/>
          <w:szCs w:val="21"/>
        </w:rPr>
        <w:t xml:space="preserve"> Encoding, date, currency, NULL, and precision normalization rules, with real test fixtures for each.</w:t>
      </w:r>
    </w:p>
    <w:p>
      <w:pPr>
        <w:pStyle w:val="ListParagraph"/>
        <w:numPr>
          <w:ilvl w:val="0"/>
          <w:numId w:val="2"/>
        </w:numPr>
        <w:spacing w:after="100"/>
      </w:pPr>
      <w:r>
        <w:rPr>
          <w:rFonts w:ascii="Calibri" w:cs="Calibri" w:eastAsia="Calibri" w:hAnsi="Calibri"/>
          <w:b/>
          <w:bCs/>
          <w:color w:val="B7791F"/>
          <w:sz w:val="21"/>
          <w:szCs w:val="21"/>
        </w:rPr>
        <w:t xml:space="preserve">[PARTIAL→DONE] </w:t>
      </w:r>
      <w:r>
        <w:rPr>
          <w:rFonts w:ascii="Calibri" w:cs="Calibri" w:eastAsia="Calibri" w:hAnsi="Calibri"/>
          <w:b/>
          <w:bCs/>
          <w:sz w:val="21"/>
          <w:szCs w:val="21"/>
        </w:rPr>
        <w:t xml:space="preserve">DATA-09</w:t>
      </w:r>
      <w:r>
        <w:rPr>
          <w:rFonts w:ascii="Calibri" w:cs="Calibri" w:eastAsia="Calibri" w:hAnsi="Calibri"/>
          <w:sz w:val="21"/>
          <w:szCs w:val="21"/>
        </w:rPr>
        <w:t xml:space="preserve"> Dataset versioning/replacement/deletion completion.</w:t>
      </w:r>
    </w:p>
    <w:p>
      <w:pPr>
        <w:pStyle w:val="ListParagraph"/>
        <w:numPr>
          <w:ilvl w:val="0"/>
          <w:numId w:val="2"/>
        </w:numPr>
        <w:spacing w:after="100"/>
      </w:pPr>
      <w:r>
        <w:rPr>
          <w:rFonts w:ascii="Calibri" w:cs="Calibri" w:eastAsia="Calibri" w:hAnsi="Calibri"/>
          <w:b/>
          <w:bCs/>
          <w:color w:val="8A8A8A"/>
          <w:sz w:val="21"/>
          <w:szCs w:val="21"/>
        </w:rPr>
        <w:t xml:space="preserve">[NOT ADDRESSED→DONE] </w:t>
      </w:r>
      <w:r>
        <w:rPr>
          <w:rFonts w:ascii="Calibri" w:cs="Calibri" w:eastAsia="Calibri" w:hAnsi="Calibri"/>
          <w:b/>
          <w:bCs/>
          <w:sz w:val="21"/>
          <w:szCs w:val="21"/>
        </w:rPr>
        <w:t xml:space="preserve">DATA-11</w:t>
      </w:r>
      <w:r>
        <w:rPr>
          <w:rFonts w:ascii="Calibri" w:cs="Calibri" w:eastAsia="Calibri" w:hAnsi="Calibri"/>
          <w:sz w:val="21"/>
          <w:szCs w:val="21"/>
        </w:rPr>
        <w:t xml:space="preserve"> Measurable DuckDB migration trigger and a written migration runbook — doesn't depend on any external account.</w:t>
      </w:r>
    </w:p>
    <w:p>
      <w:pPr>
        <w:pStyle w:val="Heading2"/>
        <w:spacing w:after="120" w:before="320"/>
      </w:pPr>
      <w:r>
        <w:rPr>
          <w:rFonts w:ascii="Calibri" w:cs="Calibri" w:eastAsia="Calibri" w:hAnsi="Calibri"/>
          <w:b/>
          <w:bCs/>
          <w:color w:val="1F3864"/>
          <w:sz w:val="24"/>
          <w:szCs w:val="24"/>
        </w:rPr>
        <w:t xml:space="preserve">Week 3 (Days 15–21) — AI/SQL trust &amp; financial ground truth</w:t>
      </w:r>
    </w:p>
    <w:p>
      <w:pPr>
        <w:pStyle w:val="ListParagraph"/>
        <w:numPr>
          <w:ilvl w:val="0"/>
          <w:numId w:val="2"/>
        </w:numPr>
        <w:spacing w:after="100"/>
      </w:pPr>
      <w:r>
        <w:rPr>
          <w:rFonts w:ascii="Calibri" w:cs="Calibri" w:eastAsia="Calibri" w:hAnsi="Calibri"/>
          <w:b/>
          <w:bCs/>
          <w:color w:val="B7791F"/>
          <w:sz w:val="21"/>
          <w:szCs w:val="21"/>
        </w:rPr>
        <w:t xml:space="preserve">[PARTIAL→DONE] </w:t>
      </w:r>
      <w:r>
        <w:rPr>
          <w:rFonts w:ascii="Calibri" w:cs="Calibri" w:eastAsia="Calibri" w:hAnsi="Calibri"/>
          <w:b/>
          <w:bCs/>
          <w:sz w:val="21"/>
          <w:szCs w:val="21"/>
        </w:rPr>
        <w:t xml:space="preserve">AI-01</w:t>
      </w:r>
      <w:r>
        <w:rPr>
          <w:rFonts w:ascii="Calibri" w:cs="Calibri" w:eastAsia="Calibri" w:hAnsi="Calibri"/>
          <w:sz w:val="21"/>
          <w:szCs w:val="21"/>
        </w:rPr>
        <w:t xml:space="preserve"> Deterministic intent routing and agent selection completion.</w:t>
      </w:r>
    </w:p>
    <w:p>
      <w:pPr>
        <w:pStyle w:val="ListParagraph"/>
        <w:numPr>
          <w:ilvl w:val="0"/>
          <w:numId w:val="2"/>
        </w:numPr>
        <w:spacing w:after="100"/>
      </w:pPr>
      <w:r>
        <w:rPr>
          <w:rFonts w:ascii="Calibri" w:cs="Calibri" w:eastAsia="Calibri" w:hAnsi="Calibri"/>
          <w:b/>
          <w:bCs/>
          <w:color w:val="B7791F"/>
          <w:sz w:val="21"/>
          <w:szCs w:val="21"/>
        </w:rPr>
        <w:t xml:space="preserve">[PARTIAL→DONE] </w:t>
      </w:r>
      <w:r>
        <w:rPr>
          <w:rFonts w:ascii="Calibri" w:cs="Calibri" w:eastAsia="Calibri" w:hAnsi="Calibri"/>
          <w:b/>
          <w:bCs/>
          <w:sz w:val="21"/>
          <w:szCs w:val="21"/>
        </w:rPr>
        <w:t xml:space="preserve">AI-03</w:t>
      </w:r>
      <w:r>
        <w:rPr>
          <w:rFonts w:ascii="Calibri" w:cs="Calibri" w:eastAsia="Calibri" w:hAnsi="Calibri"/>
          <w:sz w:val="21"/>
          <w:szCs w:val="21"/>
        </w:rPr>
        <w:t xml:space="preserve"> Provider timeout/rate-limit/outage fallback behavior.</w:t>
      </w:r>
    </w:p>
    <w:p>
      <w:pPr>
        <w:pStyle w:val="ListParagraph"/>
        <w:numPr>
          <w:ilvl w:val="0"/>
          <w:numId w:val="2"/>
        </w:numPr>
        <w:spacing w:after="100"/>
      </w:pPr>
      <w:r>
        <w:rPr>
          <w:rFonts w:ascii="Calibri" w:cs="Calibri" w:eastAsia="Calibri" w:hAnsi="Calibri"/>
          <w:b/>
          <w:bCs/>
          <w:color w:val="B7791F"/>
          <w:sz w:val="21"/>
          <w:szCs w:val="21"/>
        </w:rPr>
        <w:t xml:space="preserve">[PARTIAL→DONE] </w:t>
      </w:r>
      <w:r>
        <w:rPr>
          <w:rFonts w:ascii="Calibri" w:cs="Calibri" w:eastAsia="Calibri" w:hAnsi="Calibri"/>
          <w:b/>
          <w:bCs/>
          <w:sz w:val="21"/>
          <w:szCs w:val="21"/>
        </w:rPr>
        <w:t xml:space="preserve">AI-05</w:t>
      </w:r>
      <w:r>
        <w:rPr>
          <w:rFonts w:ascii="Calibri" w:cs="Calibri" w:eastAsia="Calibri" w:hAnsi="Calibri"/>
          <w:sz w:val="21"/>
          <w:szCs w:val="21"/>
        </w:rPr>
        <w:t xml:space="preserve"> Prompt-injection and privilege-escalation defenses, with real adversarial test cases.</w:t>
      </w:r>
    </w:p>
    <w:p>
      <w:pPr>
        <w:pStyle w:val="ListParagraph"/>
        <w:numPr>
          <w:ilvl w:val="0"/>
          <w:numId w:val="2"/>
        </w:numPr>
        <w:spacing w:after="100"/>
      </w:pPr>
      <w:r>
        <w:rPr>
          <w:rFonts w:ascii="Calibri" w:cs="Calibri" w:eastAsia="Calibri" w:hAnsi="Calibri"/>
          <w:b/>
          <w:bCs/>
          <w:color w:val="B7791F"/>
          <w:sz w:val="21"/>
          <w:szCs w:val="21"/>
        </w:rPr>
        <w:t xml:space="preserve">[PARTIAL→DONE] </w:t>
      </w:r>
      <w:r>
        <w:rPr>
          <w:rFonts w:ascii="Calibri" w:cs="Calibri" w:eastAsia="Calibri" w:hAnsi="Calibri"/>
          <w:b/>
          <w:bCs/>
          <w:sz w:val="21"/>
          <w:szCs w:val="21"/>
        </w:rPr>
        <w:t xml:space="preserve">SQL-01 / SQL-03</w:t>
      </w:r>
      <w:r>
        <w:rPr>
          <w:rFonts w:ascii="Calibri" w:cs="Calibri" w:eastAsia="Calibri" w:hAnsi="Calibri"/>
          <w:sz w:val="21"/>
          <w:szCs w:val="21"/>
        </w:rPr>
        <w:t xml:space="preserve"> Whitelisted columns/functions enforcement and the query audit trail (user, tenant, intent, generated query, result metadata).</w:t>
      </w:r>
    </w:p>
    <w:p>
      <w:pPr>
        <w:pStyle w:val="ListParagraph"/>
        <w:numPr>
          <w:ilvl w:val="0"/>
          <w:numId w:val="2"/>
        </w:numPr>
        <w:spacing w:after="100"/>
      </w:pPr>
      <w:r>
        <w:rPr>
          <w:rFonts w:ascii="Calibri" w:cs="Calibri" w:eastAsia="Calibri" w:hAnsi="Calibri"/>
          <w:b/>
          <w:bCs/>
          <w:color w:val="B7791F"/>
          <w:sz w:val="21"/>
          <w:szCs w:val="21"/>
        </w:rPr>
        <w:t xml:space="preserve">[PARTIAL→DONE] </w:t>
      </w:r>
      <w:r>
        <w:rPr>
          <w:rFonts w:ascii="Calibri" w:cs="Calibri" w:eastAsia="Calibri" w:hAnsi="Calibri"/>
          <w:b/>
          <w:bCs/>
          <w:sz w:val="21"/>
          <w:szCs w:val="21"/>
        </w:rPr>
        <w:t xml:space="preserve">FIN-02 / FIN-03 / FIN-04 / FIN-05</w:t>
      </w:r>
      <w:r>
        <w:rPr>
          <w:rFonts w:ascii="Calibri" w:cs="Calibri" w:eastAsia="Calibri" w:hAnsi="Calibri"/>
          <w:sz w:val="21"/>
          <w:szCs w:val="21"/>
        </w:rPr>
        <w:t xml:space="preserve"> Formal, written definitions plus ground-truth test suites for gross margin, cash runway, forecasting, and churn — the core numbers this product tells founders to trust.</w:t>
      </w:r>
    </w:p>
    <w:p>
      <w:pPr>
        <w:pStyle w:val="Heading2"/>
        <w:spacing w:after="120" w:before="320"/>
      </w:pPr>
      <w:r>
        <w:rPr>
          <w:rFonts w:ascii="Calibri" w:cs="Calibri" w:eastAsia="Calibri" w:hAnsi="Calibri"/>
          <w:b/>
          <w:bCs/>
          <w:color w:val="1F3864"/>
          <w:sz w:val="24"/>
          <w:szCs w:val="24"/>
        </w:rPr>
        <w:t xml:space="preserve">Week 4 (Days 22–28) — API contract, WebSockets, UX polish, observability</w:t>
      </w:r>
    </w:p>
    <w:p>
      <w:pPr>
        <w:pStyle w:val="ListParagraph"/>
        <w:numPr>
          <w:ilvl w:val="0"/>
          <w:numId w:val="2"/>
        </w:numPr>
        <w:spacing w:after="100"/>
      </w:pPr>
      <w:r>
        <w:rPr>
          <w:rFonts w:ascii="Calibri" w:cs="Calibri" w:eastAsia="Calibri" w:hAnsi="Calibri"/>
          <w:b/>
          <w:bCs/>
          <w:color w:val="8A8A8A"/>
          <w:sz w:val="21"/>
          <w:szCs w:val="21"/>
        </w:rPr>
        <w:t xml:space="preserve">[NOT ADDRESSED→DONE] </w:t>
      </w:r>
      <w:r>
        <w:rPr>
          <w:rFonts w:ascii="Calibri" w:cs="Calibri" w:eastAsia="Calibri" w:hAnsi="Calibri"/>
          <w:b/>
          <w:bCs/>
          <w:sz w:val="21"/>
          <w:szCs w:val="21"/>
        </w:rPr>
        <w:t xml:space="preserve">API-01</w:t>
      </w:r>
      <w:r>
        <w:rPr>
          <w:rFonts w:ascii="Calibri" w:cs="Calibri" w:eastAsia="Calibri" w:hAnsi="Calibri"/>
          <w:sz w:val="21"/>
          <w:szCs w:val="21"/>
        </w:rPr>
        <w:t xml:space="preserve"> Versioned API inventory and schemas.</w:t>
      </w:r>
    </w:p>
    <w:p>
      <w:pPr>
        <w:pStyle w:val="ListParagraph"/>
        <w:numPr>
          <w:ilvl w:val="0"/>
          <w:numId w:val="2"/>
        </w:numPr>
        <w:spacing w:after="100"/>
      </w:pPr>
      <w:r>
        <w:rPr>
          <w:rFonts w:ascii="Calibri" w:cs="Calibri" w:eastAsia="Calibri" w:hAnsi="Calibri"/>
          <w:b/>
          <w:bCs/>
          <w:color w:val="B7791F"/>
          <w:sz w:val="21"/>
          <w:szCs w:val="21"/>
        </w:rPr>
        <w:t xml:space="preserve">[PARTIAL→DONE] </w:t>
      </w:r>
      <w:r>
        <w:rPr>
          <w:rFonts w:ascii="Calibri" w:cs="Calibri" w:eastAsia="Calibri" w:hAnsi="Calibri"/>
          <w:b/>
          <w:bCs/>
          <w:sz w:val="21"/>
          <w:szCs w:val="21"/>
        </w:rPr>
        <w:t xml:space="preserve">API-02</w:t>
      </w:r>
      <w:r>
        <w:rPr>
          <w:rFonts w:ascii="Calibri" w:cs="Calibri" w:eastAsia="Calibri" w:hAnsi="Calibri"/>
          <w:sz w:val="21"/>
          <w:szCs w:val="21"/>
        </w:rPr>
        <w:t xml:space="preserve"> Standard error model, pagination/filtering/sorting, idempotency semantics.</w:t>
      </w:r>
    </w:p>
    <w:p>
      <w:pPr>
        <w:pStyle w:val="ListParagraph"/>
        <w:numPr>
          <w:ilvl w:val="0"/>
          <w:numId w:val="2"/>
        </w:numPr>
        <w:spacing w:after="100"/>
      </w:pPr>
      <w:r>
        <w:rPr>
          <w:rFonts w:ascii="Calibri" w:cs="Calibri" w:eastAsia="Calibri" w:hAnsi="Calibri"/>
          <w:b/>
          <w:bCs/>
          <w:color w:val="8A8A8A"/>
          <w:sz w:val="21"/>
          <w:szCs w:val="21"/>
        </w:rPr>
        <w:t xml:space="preserve">[NOT ADDRESSED→DONE] </w:t>
      </w:r>
      <w:r>
        <w:rPr>
          <w:rFonts w:ascii="Calibri" w:cs="Calibri" w:eastAsia="Calibri" w:hAnsi="Calibri"/>
          <w:b/>
          <w:bCs/>
          <w:sz w:val="21"/>
          <w:szCs w:val="21"/>
        </w:rPr>
        <w:t xml:space="preserve">API-03</w:t>
      </w:r>
      <w:r>
        <w:rPr>
          <w:rFonts w:ascii="Calibri" w:cs="Calibri" w:eastAsia="Calibri" w:hAnsi="Calibri"/>
          <w:sz w:val="21"/>
          <w:szCs w:val="21"/>
        </w:rPr>
        <w:t xml:space="preserve"> Rate limits and tenant quotas at the API layer.</w:t>
      </w:r>
    </w:p>
    <w:p>
      <w:pPr>
        <w:pStyle w:val="ListParagraph"/>
        <w:numPr>
          <w:ilvl w:val="0"/>
          <w:numId w:val="2"/>
        </w:numPr>
        <w:spacing w:after="100"/>
      </w:pPr>
      <w:r>
        <w:rPr>
          <w:rFonts w:ascii="Calibri" w:cs="Calibri" w:eastAsia="Calibri" w:hAnsi="Calibri"/>
          <w:b/>
          <w:bCs/>
          <w:color w:val="B7791F"/>
          <w:sz w:val="21"/>
          <w:szCs w:val="21"/>
        </w:rPr>
        <w:t xml:space="preserve">[PARTIAL→DONE] </w:t>
      </w:r>
      <w:r>
        <w:rPr>
          <w:rFonts w:ascii="Calibri" w:cs="Calibri" w:eastAsia="Calibri" w:hAnsi="Calibri"/>
          <w:b/>
          <w:bCs/>
          <w:sz w:val="21"/>
          <w:szCs w:val="21"/>
        </w:rPr>
        <w:t xml:space="preserve">WS-01</w:t>
      </w:r>
      <w:r>
        <w:rPr>
          <w:rFonts w:ascii="Calibri" w:cs="Calibri" w:eastAsia="Calibri" w:hAnsi="Calibri"/>
          <w:sz w:val="21"/>
          <w:szCs w:val="21"/>
        </w:rPr>
        <w:t xml:space="preserve"> Heartbeat, reconnect, backoff, timeout, ordering, message identity completion.</w:t>
      </w:r>
    </w:p>
    <w:p>
      <w:pPr>
        <w:pStyle w:val="ListParagraph"/>
        <w:numPr>
          <w:ilvl w:val="0"/>
          <w:numId w:val="2"/>
        </w:numPr>
        <w:spacing w:after="100"/>
      </w:pPr>
      <w:r>
        <w:rPr>
          <w:rFonts w:ascii="Calibri" w:cs="Calibri" w:eastAsia="Calibri" w:hAnsi="Calibri"/>
          <w:b/>
          <w:bCs/>
          <w:color w:val="B7791F"/>
          <w:sz w:val="21"/>
          <w:szCs w:val="21"/>
        </w:rPr>
        <w:t xml:space="preserve">[PARTIAL→DONE] </w:t>
      </w:r>
      <w:r>
        <w:rPr>
          <w:rFonts w:ascii="Calibri" w:cs="Calibri" w:eastAsia="Calibri" w:hAnsi="Calibri"/>
          <w:b/>
          <w:bCs/>
          <w:sz w:val="21"/>
          <w:szCs w:val="21"/>
        </w:rPr>
        <w:t xml:space="preserve">UX-01 / UX-02</w:t>
      </w:r>
      <w:r>
        <w:rPr>
          <w:rFonts w:ascii="Calibri" w:cs="Calibri" w:eastAsia="Calibri" w:hAnsi="Calibri"/>
          <w:sz w:val="21"/>
          <w:szCs w:val="21"/>
        </w:rPr>
        <w:t xml:space="preserve"> First-run onboarding and loading/empty/error/success/degraded state coverage across the real UI.</w:t>
      </w:r>
    </w:p>
    <w:p>
      <w:pPr>
        <w:pStyle w:val="ListParagraph"/>
        <w:numPr>
          <w:ilvl w:val="0"/>
          <w:numId w:val="2"/>
        </w:numPr>
        <w:spacing w:after="100"/>
      </w:pPr>
      <w:r>
        <w:rPr>
          <w:rFonts w:ascii="Calibri" w:cs="Calibri" w:eastAsia="Calibri" w:hAnsi="Calibri"/>
          <w:b/>
          <w:bCs/>
          <w:color w:val="B7791F"/>
          <w:sz w:val="21"/>
          <w:szCs w:val="21"/>
        </w:rPr>
        <w:t xml:space="preserve">[PARTIAL→DONE] </w:t>
      </w:r>
      <w:r>
        <w:rPr>
          <w:rFonts w:ascii="Calibri" w:cs="Calibri" w:eastAsia="Calibri" w:hAnsi="Calibri"/>
          <w:b/>
          <w:bCs/>
          <w:sz w:val="21"/>
          <w:szCs w:val="21"/>
        </w:rPr>
        <w:t xml:space="preserve">OPS-01 / OPS-02</w:t>
      </w:r>
      <w:r>
        <w:rPr>
          <w:rFonts w:ascii="Calibri" w:cs="Calibri" w:eastAsia="Calibri" w:hAnsi="Calibri"/>
          <w:sz w:val="21"/>
          <w:szCs w:val="21"/>
        </w:rPr>
        <w:t xml:space="preserve"> Metrics/logs/traces/alerting and real agent-health telemetry completion.</w:t>
      </w:r>
    </w:p>
    <w:p>
      <w:pPr>
        <w:pStyle w:val="Heading2"/>
        <w:spacing w:after="120" w:before="320"/>
      </w:pPr>
      <w:r>
        <w:rPr>
          <w:rFonts w:ascii="Calibri" w:cs="Calibri" w:eastAsia="Calibri" w:hAnsi="Calibri"/>
          <w:b/>
          <w:bCs/>
          <w:color w:val="1F3864"/>
          <w:sz w:val="24"/>
          <w:szCs w:val="24"/>
        </w:rPr>
        <w:t xml:space="preserve">Week 5 (Days 29–35) — Test suite, CI/CD, reliability ops</w:t>
      </w:r>
    </w:p>
    <w:p>
      <w:pPr>
        <w:pStyle w:val="ListParagraph"/>
        <w:numPr>
          <w:ilvl w:val="0"/>
          <w:numId w:val="2"/>
        </w:numPr>
        <w:spacing w:after="100"/>
      </w:pPr>
      <w:r>
        <w:rPr>
          <w:rFonts w:ascii="Calibri" w:cs="Calibri" w:eastAsia="Calibri" w:hAnsi="Calibri"/>
          <w:b/>
          <w:bCs/>
          <w:color w:val="B7791F"/>
          <w:sz w:val="21"/>
          <w:szCs w:val="21"/>
        </w:rPr>
        <w:t xml:space="preserve">[PARTIAL→DONE] </w:t>
      </w:r>
      <w:r>
        <w:rPr>
          <w:rFonts w:ascii="Calibri" w:cs="Calibri" w:eastAsia="Calibri" w:hAnsi="Calibri"/>
          <w:b/>
          <w:bCs/>
          <w:sz w:val="21"/>
          <w:szCs w:val="21"/>
        </w:rPr>
        <w:t xml:space="preserve">QA-01</w:t>
      </w:r>
      <w:r>
        <w:rPr>
          <w:rFonts w:ascii="Calibri" w:cs="Calibri" w:eastAsia="Calibri" w:hAnsi="Calibri"/>
          <w:sz w:val="21"/>
          <w:szCs w:val="21"/>
        </w:rPr>
        <w:t xml:space="preserve"> Full unit/integration/E2E suite hardening across everything shipped so far.</w:t>
      </w:r>
    </w:p>
    <w:p>
      <w:pPr>
        <w:pStyle w:val="ListParagraph"/>
        <w:numPr>
          <w:ilvl w:val="0"/>
          <w:numId w:val="2"/>
        </w:numPr>
        <w:spacing w:after="100"/>
      </w:pPr>
      <w:r>
        <w:rPr>
          <w:rFonts w:ascii="Calibri" w:cs="Calibri" w:eastAsia="Calibri" w:hAnsi="Calibri"/>
          <w:b/>
          <w:bCs/>
          <w:color w:val="8A8A8A"/>
          <w:sz w:val="21"/>
          <w:szCs w:val="21"/>
        </w:rPr>
        <w:t xml:space="preserve">[NOT ADDRESSED→DONE] </w:t>
      </w:r>
      <w:r>
        <w:rPr>
          <w:rFonts w:ascii="Calibri" w:cs="Calibri" w:eastAsia="Calibri" w:hAnsi="Calibri"/>
          <w:b/>
          <w:bCs/>
          <w:sz w:val="21"/>
          <w:szCs w:val="21"/>
        </w:rPr>
        <w:t xml:space="preserve">QA-02</w:t>
      </w:r>
      <w:r>
        <w:rPr>
          <w:rFonts w:ascii="Calibri" w:cs="Calibri" w:eastAsia="Calibri" w:hAnsi="Calibri"/>
          <w:sz w:val="21"/>
          <w:szCs w:val="21"/>
        </w:rPr>
        <w:t xml:space="preserve"> Security and authorization regression suite — a real, repeatable check that every role/tenant boundary still holds.</w:t>
      </w:r>
    </w:p>
    <w:p>
      <w:pPr>
        <w:pStyle w:val="ListParagraph"/>
        <w:numPr>
          <w:ilvl w:val="0"/>
          <w:numId w:val="2"/>
        </w:numPr>
        <w:spacing w:after="100"/>
      </w:pPr>
      <w:r>
        <w:rPr>
          <w:rFonts w:ascii="Calibri" w:cs="Calibri" w:eastAsia="Calibri" w:hAnsi="Calibri"/>
          <w:b/>
          <w:bCs/>
          <w:color w:val="B7791F"/>
          <w:sz w:val="21"/>
          <w:szCs w:val="21"/>
        </w:rPr>
        <w:t xml:space="preserve">[PARTIAL→DONE] </w:t>
      </w:r>
      <w:r>
        <w:rPr>
          <w:rFonts w:ascii="Calibri" w:cs="Calibri" w:eastAsia="Calibri" w:hAnsi="Calibri"/>
          <w:b/>
          <w:bCs/>
          <w:sz w:val="21"/>
          <w:szCs w:val="21"/>
        </w:rPr>
        <w:t xml:space="preserve">CICD-01</w:t>
      </w:r>
      <w:r>
        <w:rPr>
          <w:rFonts w:ascii="Calibri" w:cs="Calibri" w:eastAsia="Calibri" w:hAnsi="Calibri"/>
          <w:sz w:val="21"/>
          <w:szCs w:val="21"/>
        </w:rPr>
        <w:t xml:space="preserve"> Complete lint/test/security-scan/build/container-scan-on-merge pipeline.</w:t>
      </w:r>
    </w:p>
    <w:p>
      <w:pPr>
        <w:pStyle w:val="ListParagraph"/>
        <w:numPr>
          <w:ilvl w:val="0"/>
          <w:numId w:val="2"/>
        </w:numPr>
        <w:spacing w:after="100"/>
      </w:pPr>
      <w:r>
        <w:rPr>
          <w:rFonts w:ascii="Calibri" w:cs="Calibri" w:eastAsia="Calibri" w:hAnsi="Calibri"/>
          <w:b/>
          <w:bCs/>
          <w:color w:val="8A8A8A"/>
          <w:sz w:val="21"/>
          <w:szCs w:val="21"/>
        </w:rPr>
        <w:t xml:space="preserve">[NOT ADDRESSED→READY] </w:t>
      </w:r>
      <w:r>
        <w:rPr>
          <w:rFonts w:ascii="Calibri" w:cs="Calibri" w:eastAsia="Calibri" w:hAnsi="Calibri"/>
          <w:b/>
          <w:bCs/>
          <w:sz w:val="21"/>
          <w:szCs w:val="21"/>
        </w:rPr>
        <w:t xml:space="preserve">CICD-02 / CICD-03 / CICD-04</w:t>
      </w:r>
      <w:r>
        <w:rPr>
          <w:rFonts w:ascii="Calibri" w:cs="Calibri" w:eastAsia="Calibri" w:hAnsi="Calibri"/>
          <w:sz w:val="21"/>
          <w:szCs w:val="21"/>
        </w:rPr>
        <w:t xml:space="preserve"> Staging promotion gate, DB migration/rollback strategy, version tagging and release notes — pipeline and runbook fully built and ready; the actual production cutover happens once a hosting decision is made (Founder Track).</w:t>
      </w:r>
    </w:p>
    <w:p>
      <w:pPr>
        <w:pStyle w:val="ListParagraph"/>
        <w:numPr>
          <w:ilvl w:val="0"/>
          <w:numId w:val="2"/>
        </w:numPr>
        <w:spacing w:after="100"/>
      </w:pPr>
      <w:r>
        <w:rPr>
          <w:rFonts w:ascii="Calibri" w:cs="Calibri" w:eastAsia="Calibri" w:hAnsi="Calibri"/>
          <w:b/>
          <w:bCs/>
          <w:color w:val="8A8A8A"/>
          <w:sz w:val="21"/>
          <w:szCs w:val="21"/>
        </w:rPr>
        <w:t xml:space="preserve">[NOT ADDRESSED→DONE] </w:t>
      </w:r>
      <w:r>
        <w:rPr>
          <w:rFonts w:ascii="Calibri" w:cs="Calibri" w:eastAsia="Calibri" w:hAnsi="Calibri"/>
          <w:b/>
          <w:bCs/>
          <w:sz w:val="21"/>
          <w:szCs w:val="21"/>
        </w:rPr>
        <w:t xml:space="preserve">OPS-03 / OPS-04 / OPS-05</w:t>
      </w:r>
      <w:r>
        <w:rPr>
          <w:rFonts w:ascii="Calibri" w:cs="Calibri" w:eastAsia="Calibri" w:hAnsi="Calibri"/>
          <w:sz w:val="21"/>
          <w:szCs w:val="21"/>
        </w:rPr>
        <w:t xml:space="preserve"> Backup/retention/restore tests, RPO/RTO disaster-recovery runbook, and a status-page/incident-communication process.</w:t>
      </w:r>
    </w:p>
    <w:p>
      <w:pPr>
        <w:pStyle w:val="ListParagraph"/>
        <w:numPr>
          <w:ilvl w:val="0"/>
          <w:numId w:val="2"/>
        </w:numPr>
        <w:spacing w:after="100"/>
      </w:pPr>
      <w:r>
        <w:rPr>
          <w:rFonts w:ascii="Calibri" w:cs="Calibri" w:eastAsia="Calibri" w:hAnsi="Calibri"/>
          <w:b/>
          <w:bCs/>
          <w:color w:val="8A8A8A"/>
          <w:sz w:val="21"/>
          <w:szCs w:val="21"/>
        </w:rPr>
        <w:t xml:space="preserve">[NOT ADDRESSED→DONE] </w:t>
      </w:r>
      <w:r>
        <w:rPr>
          <w:rFonts w:ascii="Calibri" w:cs="Calibri" w:eastAsia="Calibri" w:hAnsi="Calibri"/>
          <w:b/>
          <w:bCs/>
          <w:sz w:val="21"/>
          <w:szCs w:val="21"/>
        </w:rPr>
        <w:t xml:space="preserve">OPS-08 / OPS-09</w:t>
      </w:r>
      <w:r>
        <w:rPr>
          <w:rFonts w:ascii="Calibri" w:cs="Calibri" w:eastAsia="Calibri" w:hAnsi="Calibri"/>
          <w:sz w:val="21"/>
          <w:szCs w:val="21"/>
        </w:rPr>
        <w:t xml:space="preserve"> Quick cleanup: consolidate duplicate Python virtual environments; migrate backend/metrics.py off the deprecated FastAPI startup event.</w:t>
      </w:r>
    </w:p>
    <w:p>
      <w:pPr>
        <w:pStyle w:val="Heading2"/>
        <w:spacing w:after="120" w:before="320"/>
      </w:pPr>
      <w:r>
        <w:rPr>
          <w:rFonts w:ascii="Calibri" w:cs="Calibri" w:eastAsia="Calibri" w:hAnsi="Calibri"/>
          <w:b/>
          <w:bCs/>
          <w:color w:val="1F3864"/>
          <w:sz w:val="24"/>
          <w:szCs w:val="24"/>
        </w:rPr>
        <w:t xml:space="preserve">Week 6 (Days 36–42) — Reporting, enterprise scoping, billing/email pre-integration</w:t>
      </w:r>
    </w:p>
    <w:p>
      <w:pPr>
        <w:pStyle w:val="ListParagraph"/>
        <w:numPr>
          <w:ilvl w:val="0"/>
          <w:numId w:val="2"/>
        </w:numPr>
        <w:spacing w:after="100"/>
      </w:pPr>
      <w:r>
        <w:rPr>
          <w:rFonts w:ascii="Calibri" w:cs="Calibri" w:eastAsia="Calibri" w:hAnsi="Calibri"/>
          <w:b/>
          <w:bCs/>
          <w:color w:val="8A8A8A"/>
          <w:sz w:val="21"/>
          <w:szCs w:val="21"/>
        </w:rPr>
        <w:t xml:space="preserve">[NOT ADDRESSED→DONE] </w:t>
      </w:r>
      <w:r>
        <w:rPr>
          <w:rFonts w:ascii="Calibri" w:cs="Calibri" w:eastAsia="Calibri" w:hAnsi="Calibri"/>
          <w:b/>
          <w:bCs/>
          <w:sz w:val="21"/>
          <w:szCs w:val="21"/>
        </w:rPr>
        <w:t xml:space="preserve">REP-01 / REP-02</w:t>
      </w:r>
      <w:r>
        <w:rPr>
          <w:rFonts w:ascii="Calibri" w:cs="Calibri" w:eastAsia="Calibri" w:hAnsi="Calibri"/>
          <w:sz w:val="21"/>
          <w:szCs w:val="21"/>
        </w:rPr>
        <w:t xml:space="preserve"> CSV/PDF exports with permissions, secure sharing and expiration, plus report/audit export logging.</w:t>
      </w:r>
    </w:p>
    <w:p>
      <w:pPr>
        <w:pStyle w:val="ListParagraph"/>
        <w:numPr>
          <w:ilvl w:val="0"/>
          <w:numId w:val="2"/>
        </w:numPr>
        <w:spacing w:after="100"/>
      </w:pPr>
      <w:r>
        <w:rPr>
          <w:rFonts w:ascii="Calibri" w:cs="Calibri" w:eastAsia="Calibri" w:hAnsi="Calibri"/>
          <w:b/>
          <w:bCs/>
          <w:color w:val="8A8A8A"/>
          <w:sz w:val="21"/>
          <w:szCs w:val="21"/>
        </w:rPr>
        <w:t xml:space="preserve">[NOT ADDRESSED→DONE] </w:t>
      </w:r>
      <w:r>
        <w:rPr>
          <w:rFonts w:ascii="Calibri" w:cs="Calibri" w:eastAsia="Calibri" w:hAnsi="Calibri"/>
          <w:b/>
          <w:bCs/>
          <w:sz w:val="21"/>
          <w:szCs w:val="21"/>
        </w:rPr>
        <w:t xml:space="preserve">SEC-02</w:t>
      </w:r>
      <w:r>
        <w:rPr>
          <w:rFonts w:ascii="Calibri" w:cs="Calibri" w:eastAsia="Calibri" w:hAnsi="Calibri"/>
          <w:sz w:val="21"/>
          <w:szCs w:val="21"/>
        </w:rPr>
        <w:t xml:space="preserve"> Security incident detection, containment, and credential-rotation workflow — everything codeable without a live incident-comms account.</w:t>
      </w:r>
    </w:p>
    <w:p>
      <w:pPr>
        <w:pStyle w:val="ListParagraph"/>
        <w:numPr>
          <w:ilvl w:val="0"/>
          <w:numId w:val="2"/>
        </w:numPr>
        <w:spacing w:after="100"/>
      </w:pPr>
      <w:r>
        <w:rPr>
          <w:rFonts w:ascii="Calibri" w:cs="Calibri" w:eastAsia="Calibri" w:hAnsi="Calibri"/>
          <w:b/>
          <w:bCs/>
          <w:color w:val="8A8A8A"/>
          <w:sz w:val="21"/>
          <w:szCs w:val="21"/>
        </w:rPr>
        <w:t xml:space="preserve">[NOT ADDRESSED→ROADMAP] </w:t>
      </w:r>
      <w:r>
        <w:rPr>
          <w:rFonts w:ascii="Calibri" w:cs="Calibri" w:eastAsia="Calibri" w:hAnsi="Calibri"/>
          <w:b/>
          <w:bCs/>
          <w:sz w:val="21"/>
          <w:szCs w:val="21"/>
        </w:rPr>
        <w:t xml:space="preserve">ENT-02</w:t>
      </w:r>
      <w:r>
        <w:rPr>
          <w:rFonts w:ascii="Calibri" w:cs="Calibri" w:eastAsia="Calibri" w:hAnsi="Calibri"/>
          <w:sz w:val="21"/>
          <w:szCs w:val="21"/>
        </w:rPr>
        <w:t xml:space="preserve"> SSO/SAML/OIDC: written roadmap and integration plan this window (a full implementation is bigger than a week on its own — flagged for a dedicated pass once there's real enterprise demand).</w:t>
      </w:r>
    </w:p>
    <w:p>
      <w:pPr>
        <w:pStyle w:val="ListParagraph"/>
        <w:numPr>
          <w:ilvl w:val="0"/>
          <w:numId w:val="2"/>
        </w:numPr>
        <w:spacing w:after="100"/>
      </w:pPr>
      <w:r>
        <w:rPr>
          <w:rFonts w:ascii="Calibri" w:cs="Calibri" w:eastAsia="Calibri" w:hAnsi="Calibri"/>
          <w:b/>
          <w:bCs/>
          <w:color w:val="8A8A8A"/>
          <w:sz w:val="21"/>
          <w:szCs w:val="21"/>
        </w:rPr>
        <w:t xml:space="preserve">[NOT ADDRESSED→ROADMAP] </w:t>
      </w:r>
      <w:r>
        <w:rPr>
          <w:rFonts w:ascii="Calibri" w:cs="Calibri" w:eastAsia="Calibri" w:hAnsi="Calibri"/>
          <w:b/>
          <w:bCs/>
          <w:sz w:val="21"/>
          <w:szCs w:val="21"/>
        </w:rPr>
        <w:t xml:space="preserve">INT-02</w:t>
      </w:r>
      <w:r>
        <w:rPr>
          <w:rFonts w:ascii="Calibri" w:cs="Calibri" w:eastAsia="Calibri" w:hAnsi="Calibri"/>
          <w:sz w:val="21"/>
          <w:szCs w:val="21"/>
        </w:rPr>
        <w:t xml:space="preserve"> Accounting/CRM connector framework: design pattern and scaffold. A real OAuth connector needs a target developer account (QuickBooks, HubSpot, etc.) — similar external dependency to billing, so full build waits for that account to exist.</w:t>
      </w:r>
    </w:p>
    <w:p>
      <w:pPr>
        <w:pStyle w:val="ListParagraph"/>
        <w:numPr>
          <w:ilvl w:val="0"/>
          <w:numId w:val="2"/>
        </w:numPr>
        <w:spacing w:after="100"/>
      </w:pPr>
      <w:r>
        <w:rPr>
          <w:rFonts w:ascii="Calibri" w:cs="Calibri" w:eastAsia="Calibri" w:hAnsi="Calibri"/>
          <w:b/>
          <w:bCs/>
          <w:color w:val="B7791F"/>
          <w:sz w:val="21"/>
          <w:szCs w:val="21"/>
        </w:rPr>
        <w:t xml:space="preserve">[PRE-BUILT, SANDBOXED] </w:t>
      </w:r>
      <w:r>
        <w:rPr>
          <w:rFonts w:ascii="Calibri" w:cs="Calibri" w:eastAsia="Calibri" w:hAnsi="Calibri"/>
          <w:b/>
          <w:bCs/>
          <w:sz w:val="21"/>
          <w:szCs w:val="21"/>
        </w:rPr>
        <w:t xml:space="preserve">BILL-01 – BILL-05</w:t>
      </w:r>
      <w:r>
        <w:rPr>
          <w:rFonts w:ascii="Calibri" w:cs="Calibri" w:eastAsia="Calibri" w:hAnsi="Calibri"/>
          <w:sz w:val="21"/>
          <w:szCs w:val="21"/>
        </w:rPr>
        <w:t xml:space="preserve"> Checkout, subscription lifecycle, payment-failure/grace/suspension, invoicing, and webhook validation — built and tested end-to-end against Stripe's own test-mode credentials. Cutover to your live Stripe account is a key-swap plus one verification pass, not a new build.</w:t>
      </w:r>
    </w:p>
    <w:p>
      <w:pPr>
        <w:pStyle w:val="ListParagraph"/>
        <w:numPr>
          <w:ilvl w:val="0"/>
          <w:numId w:val="2"/>
        </w:numPr>
        <w:spacing w:after="100"/>
      </w:pPr>
      <w:r>
        <w:rPr>
          <w:rFonts w:ascii="Calibri" w:cs="Calibri" w:eastAsia="Calibri" w:hAnsi="Calibri"/>
          <w:b/>
          <w:bCs/>
          <w:color w:val="B7791F"/>
          <w:sz w:val="21"/>
          <w:szCs w:val="21"/>
        </w:rPr>
        <w:t xml:space="preserve">[PRE-BUILT, SANDBOXED] </w:t>
      </w:r>
      <w:r>
        <w:rPr>
          <w:rFonts w:ascii="Calibri" w:cs="Calibri" w:eastAsia="Calibri" w:hAnsi="Calibri"/>
          <w:b/>
          <w:bCs/>
          <w:sz w:val="21"/>
          <w:szCs w:val="21"/>
        </w:rPr>
        <w:t xml:space="preserve">Email-dependent features</w:t>
      </w:r>
      <w:r>
        <w:rPr>
          <w:rFonts w:ascii="Calibri" w:cs="Calibri" w:eastAsia="Calibri" w:hAnsi="Calibri"/>
          <w:sz w:val="21"/>
          <w:szCs w:val="21"/>
        </w:rPr>
        <w:t xml:space="preserve"> Any item currently blocked on Resend (e.g. invite emails, notifications) built and tested against a sandbox/test sender. Same key-swap cutover once your account exists.</w:t>
      </w:r>
    </w:p>
    <w:p>
      <w:pPr>
        <w:pStyle w:val="Heading2"/>
        <w:spacing w:after="120" w:before="320"/>
      </w:pPr>
      <w:r>
        <w:rPr>
          <w:rFonts w:ascii="Calibri" w:cs="Calibri" w:eastAsia="Calibri" w:hAnsi="Calibri"/>
          <w:b/>
          <w:bCs/>
          <w:color w:val="1F3864"/>
          <w:sz w:val="24"/>
          <w:szCs w:val="24"/>
        </w:rPr>
        <w:t xml:space="preserve">Days 43–45+ — Convergence &amp; buffer</w:t>
      </w:r>
    </w:p>
    <w:p>
      <w:pPr>
        <w:spacing w:after="140"/>
      </w:pPr>
      <w:r>
        <w:rPr>
          <w:rFonts w:ascii="Calibri" w:cs="Calibri" w:eastAsia="Calibri" w:hAnsi="Calibri"/>
          <w:i w:val="false"/>
          <w:iCs w:val="false"/>
          <w:sz w:val="21"/>
          <w:szCs w:val="21"/>
        </w:rPr>
        <w:t xml:space="preserve">Buffer for anything still open from Weeks 1–6, plus integration work as each Founder Track item actually lands:</w:t>
      </w:r>
    </w:p>
    <w:p>
      <w:pPr>
        <w:pStyle w:val="ListParagraph"/>
        <w:numPr>
          <w:ilvl w:val="0"/>
          <w:numId w:val="2"/>
        </w:numPr>
        <w:spacing w:after="90"/>
      </w:pPr>
      <w:r>
        <w:rPr>
          <w:rFonts w:ascii="Calibri" w:cs="Calibri" w:eastAsia="Calibri" w:hAnsi="Calibri"/>
          <w:sz w:val="21"/>
          <w:szCs w:val="21"/>
        </w:rPr>
        <w:t xml:space="preserve">LLC + business bank account exist → no direct engineering dependency, but unblocks Stripe/Resend account approval, which often requires them.</w:t>
      </w:r>
    </w:p>
    <w:p>
      <w:pPr>
        <w:pStyle w:val="ListParagraph"/>
        <w:numPr>
          <w:ilvl w:val="0"/>
          <w:numId w:val="2"/>
        </w:numPr>
        <w:spacing w:after="90"/>
      </w:pPr>
      <w:r>
        <w:rPr>
          <w:rFonts w:ascii="Calibri" w:cs="Calibri" w:eastAsia="Calibri" w:hAnsi="Calibri"/>
          <w:sz w:val="21"/>
          <w:szCs w:val="21"/>
        </w:rPr>
        <w:t xml:space="preserve">Stripe account approved → swap BILL-01–05 from test to live keys, re-run the full billing test suite against live-mode webhooks, then flip billing on.</w:t>
      </w:r>
    </w:p>
    <w:p>
      <w:pPr>
        <w:pStyle w:val="ListParagraph"/>
        <w:numPr>
          <w:ilvl w:val="0"/>
          <w:numId w:val="2"/>
        </w:numPr>
        <w:spacing w:after="90"/>
      </w:pPr>
      <w:r>
        <w:rPr>
          <w:rFonts w:ascii="Calibri" w:cs="Calibri" w:eastAsia="Calibri" w:hAnsi="Calibri"/>
          <w:sz w:val="21"/>
          <w:szCs w:val="21"/>
        </w:rPr>
        <w:t xml:space="preserve">Resend (or equivalent) account approved → same cutover for every email-dependent feature.</w:t>
      </w:r>
    </w:p>
    <w:p>
      <w:pPr>
        <w:pStyle w:val="ListParagraph"/>
        <w:numPr>
          <w:ilvl w:val="0"/>
          <w:numId w:val="2"/>
        </w:numPr>
        <w:spacing w:after="90"/>
      </w:pPr>
      <w:r>
        <w:rPr>
          <w:rFonts w:ascii="Calibri" w:cs="Calibri" w:eastAsia="Calibri" w:hAnsi="Calibri"/>
          <w:sz w:val="21"/>
          <w:szCs w:val="21"/>
        </w:rPr>
        <w:t xml:space="preserve">Production hosting decision made → execute CICD-02–04 for a real cutover, run REL-01's release checklist, go live.</w:t>
      </w:r>
    </w:p>
    <w:p>
      <w:pPr>
        <w:pStyle w:val="ListParagraph"/>
        <w:numPr>
          <w:ilvl w:val="0"/>
          <w:numId w:val="2"/>
        </w:numPr>
        <w:spacing w:after="90"/>
      </w:pPr>
      <w:r>
        <w:rPr>
          <w:rFonts w:ascii="Calibri" w:cs="Calibri" w:eastAsia="Calibri" w:hAnsi="Calibri"/>
          <w:sz w:val="21"/>
          <w:szCs w:val="21"/>
        </w:rPr>
        <w:t xml:space="preserve">Pen test scheduled/executed → remediate findings as the report arrives; SEC-03 closes out against real findings, not a guess at what a pen tester might find.</w:t>
      </w:r>
    </w:p>
    <w:p>
      <w:pPr>
        <w:pStyle w:val="Heading2"/>
        <w:spacing w:after="120" w:before="320"/>
      </w:pPr>
      <w:r>
        <w:rPr>
          <w:rFonts w:ascii="Calibri" w:cs="Calibri" w:eastAsia="Calibri" w:hAnsi="Calibri"/>
          <w:b/>
          <w:bCs/>
          <w:color w:val="1F3864"/>
          <w:sz w:val="24"/>
          <w:szCs w:val="24"/>
        </w:rPr>
        <w:t xml:space="preserve">Decisions I need from you (5 minutes, whenever you're up)</w:t>
      </w:r>
    </w:p>
    <w:p>
      <w:pPr>
        <w:spacing w:after="140"/>
      </w:pPr>
      <w:r>
        <w:rPr>
          <w:rFonts w:ascii="Calibri" w:cs="Calibri" w:eastAsia="Calibri" w:hAnsi="Calibri"/>
          <w:i w:val="false"/>
          <w:iCs w:val="false"/>
          <w:sz w:val="21"/>
          <w:szCs w:val="21"/>
        </w:rPr>
        <w:t xml:space="preserve">Three open decisions and four unconfirmed items are blocking a small amount of downstream work. I'll proceed with the stated default if I don't hear otherwise, and revisit if you'd rather go a different way:</w:t>
      </w:r>
    </w:p>
    <w:p>
      <w:pPr>
        <w:pStyle w:val="ListParagraph"/>
        <w:numPr>
          <w:ilvl w:val="0"/>
          <w:numId w:val="2"/>
        </w:numPr>
        <w:spacing w:after="100"/>
      </w:pPr>
      <w:r>
        <w:rPr>
          <w:rFonts w:ascii="Calibri" w:cs="Calibri" w:eastAsia="Calibri" w:hAnsi="Calibri"/>
          <w:b/>
          <w:bCs/>
          <w:color w:val="1E7B34"/>
          <w:sz w:val="21"/>
          <w:szCs w:val="21"/>
        </w:rPr>
        <w:t xml:space="preserve">[DEFAULT] </w:t>
      </w:r>
      <w:r>
        <w:rPr>
          <w:rFonts w:ascii="Calibri" w:cs="Calibri" w:eastAsia="Calibri" w:hAnsi="Calibri"/>
          <w:b/>
          <w:bCs/>
          <w:sz w:val="21"/>
          <w:szCs w:val="21"/>
        </w:rPr>
        <w:t xml:space="preserve">AI-07</w:t>
      </w:r>
      <w:r>
        <w:rPr>
          <w:rFonts w:ascii="Calibri" w:cs="Calibri" w:eastAsia="Calibri" w:hAnsi="Calibri"/>
          <w:sz w:val="21"/>
          <w:szCs w:val="21"/>
        </w:rPr>
        <w:t xml:space="preserve"> Confidence score — I'll implement a real statistical confidence measure (calibrated against backtested accuracy) rather than the current binary flag, unless you want it simpler.</w:t>
      </w:r>
    </w:p>
    <w:p>
      <w:pPr>
        <w:pStyle w:val="ListParagraph"/>
        <w:numPr>
          <w:ilvl w:val="0"/>
          <w:numId w:val="2"/>
        </w:numPr>
        <w:spacing w:after="100"/>
      </w:pPr>
      <w:r>
        <w:rPr>
          <w:rFonts w:ascii="Calibri" w:cs="Calibri" w:eastAsia="Calibri" w:hAnsi="Calibri"/>
          <w:b/>
          <w:bCs/>
          <w:color w:val="1E7B34"/>
          <w:sz w:val="21"/>
          <w:szCs w:val="21"/>
        </w:rPr>
        <w:t xml:space="preserve">[DEFAULT] </w:t>
      </w:r>
      <w:r>
        <w:rPr>
          <w:rFonts w:ascii="Calibri" w:cs="Calibri" w:eastAsia="Calibri" w:hAnsi="Calibri"/>
          <w:b/>
          <w:bCs/>
          <w:sz w:val="21"/>
          <w:szCs w:val="21"/>
        </w:rPr>
        <w:t xml:space="preserve">OPS-06</w:t>
      </w:r>
      <w:r>
        <w:rPr>
          <w:rFonts w:ascii="Calibri" w:cs="Calibri" w:eastAsia="Calibri" w:hAnsi="Calibri"/>
          <w:sz w:val="21"/>
          <w:szCs w:val="21"/>
        </w:rPr>
        <w:t xml:space="preserve"> Seeded/bootstrap telemetry rows — I'll tag them explicitly and exclude them from real success-rate metrics by default, so early demo data never inflates a real number.</w:t>
      </w:r>
    </w:p>
    <w:p>
      <w:pPr>
        <w:pStyle w:val="ListParagraph"/>
        <w:numPr>
          <w:ilvl w:val="0"/>
          <w:numId w:val="2"/>
        </w:numPr>
        <w:spacing w:after="100"/>
      </w:pPr>
      <w:r>
        <w:rPr>
          <w:rFonts w:ascii="Calibri" w:cs="Calibri" w:eastAsia="Calibri" w:hAnsi="Calibri"/>
          <w:b/>
          <w:bCs/>
          <w:color w:val="1E7B34"/>
          <w:sz w:val="21"/>
          <w:szCs w:val="21"/>
        </w:rPr>
        <w:t xml:space="preserve">[DEFAULT] </w:t>
      </w:r>
      <w:r>
        <w:rPr>
          <w:rFonts w:ascii="Calibri" w:cs="Calibri" w:eastAsia="Calibri" w:hAnsi="Calibri"/>
          <w:b/>
          <w:bCs/>
          <w:sz w:val="21"/>
          <w:szCs w:val="21"/>
        </w:rPr>
        <w:t xml:space="preserve">OPS-07</w:t>
      </w:r>
      <w:r>
        <w:rPr>
          <w:rFonts w:ascii="Calibri" w:cs="Calibri" w:eastAsia="Calibri" w:hAnsi="Calibri"/>
          <w:sz w:val="21"/>
          <w:szCs w:val="21"/>
        </w:rPr>
        <w:t xml:space="preserve"> /api/v1/metrics/* — I'll keep this admin/ops-only for now (not tenant-scoped) since nothing today needs a tenant to see platform-wide metrics.</w:t>
      </w:r>
    </w:p>
    <w:p>
      <w:pPr>
        <w:pStyle w:val="ListParagraph"/>
        <w:numPr>
          <w:ilvl w:val="0"/>
          <w:numId w:val="2"/>
        </w:numPr>
        <w:spacing w:after="100"/>
      </w:pPr>
      <w:r>
        <w:rPr>
          <w:rFonts w:ascii="Calibri" w:cs="Calibri" w:eastAsia="Calibri" w:hAnsi="Calibri"/>
          <w:b/>
          <w:bCs/>
          <w:color w:val="B7791F"/>
          <w:sz w:val="21"/>
          <w:szCs w:val="21"/>
        </w:rPr>
        <w:t xml:space="preserve">[NEEDS A LOOK] </w:t>
      </w:r>
      <w:r>
        <w:rPr>
          <w:rFonts w:ascii="Calibri" w:cs="Calibri" w:eastAsia="Calibri" w:hAnsi="Calibri"/>
          <w:b/>
          <w:bCs/>
          <w:sz w:val="21"/>
          <w:szCs w:val="21"/>
        </w:rPr>
        <w:t xml:space="preserve">UX-03 / UX-04 / UX-05 / ARCH-03</w:t>
      </w:r>
      <w:r>
        <w:rPr>
          <w:rFonts w:ascii="Calibri" w:cs="Calibri" w:eastAsia="Calibri" w:hAnsi="Calibri"/>
          <w:sz w:val="21"/>
          <w:szCs w:val="21"/>
        </w:rPr>
        <w:t xml:space="preserve"> Four items still marked unconfirmed from an earlier audit — I'll re-verify each against the current codebase this window and report real status rather than guessing.</w:t>
      </w:r>
    </w:p>
    <w:p>
      <w:pPr>
        <w:pStyle w:val="Heading2"/>
        <w:spacing w:after="120" w:before="320"/>
      </w:pPr>
      <w:r>
        <w:rPr>
          <w:rFonts w:ascii="Calibri" w:cs="Calibri" w:eastAsia="Calibri" w:hAnsi="Calibri"/>
          <w:b/>
          <w:bCs/>
          <w:color w:val="1F3864"/>
          <w:sz w:val="24"/>
          <w:szCs w:val="24"/>
        </w:rPr>
        <w:t xml:space="preserve">What "Day 45" looks like if the accounts land on schedule</w:t>
      </w:r>
    </w:p>
    <w:p>
      <w:pPr>
        <w:spacing w:after="140"/>
      </w:pPr>
      <w:r>
        <w:rPr>
          <w:rFonts w:ascii="Calibri" w:cs="Calibri" w:eastAsia="Calibri" w:hAnsi="Calibri"/>
          <w:i w:val="false"/>
          <w:iCs w:val="false"/>
          <w:sz w:val="21"/>
          <w:szCs w:val="21"/>
        </w:rPr>
        <w:t xml:space="preserve">Every security, data, AI/SQL, API, UX, test-suite, and observability item in Weeks 1–6 at real DONE, verified the same way every feature has been this engagement: real tests, no mocking of the thing under test, syntax/type-checked, delivered and committed. Billing and email fully built and tested against sandbox credentials, one key-swap away from live. A production deployment pipeline built and rehearsed, waiting on your hosting call. The one thing genuinely NOT done by Day 45: the pen test report and its remediation, because that's on your vendor's calendar, not mine — but the app will be in its strongest-ever state to hand to them.</w:t>
      </w:r>
    </w:p>
    <w:p>
      <w:pPr>
        <w:spacing w:after="0"/>
      </w:pPr>
      <w:r>
        <w:rPr>
          <w:rFonts w:ascii="Calibri" w:cs="Calibri" w:eastAsia="Calibri" w:hAnsi="Calibri"/>
          <w:i w:val="false"/>
          <w:iCs w:val="false"/>
          <w:sz w:val="21"/>
          <w:szCs w:val="21"/>
        </w:rPr>
        <w:t xml:space="preserve">I'll keep working straight down this list without stopping to check in, the same way I have been — you'll see each feature land here as it's finished.</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2026-08-27T06:28:28.590Z</dcterms:created>
  <dcterms:modified xsi:type="dcterms:W3CDTF">2026-08-27T06:28:28.604Z</dcterms:modified>
</cp:coreProperties>
</file>

<file path=docProps/custom.xml><?xml version="1.0" encoding="utf-8"?>
<Properties xmlns="http://schemas.openxmlformats.org/officeDocument/2006/custom-properties" xmlns:vt="http://schemas.openxmlformats.org/officeDocument/2006/docPropsVTypes"/>
</file>