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NexusFlow Analytics (Eivanta)</w:t>
      </w:r>
    </w:p>
    <w:p>
      <w:pPr>
        <w:spacing w:after="60"/>
      </w:pPr>
      <w:r>
        <w:rPr>
          <w:b/>
          <w:bCs/>
          <w:sz w:val="30"/>
          <w:szCs w:val="30"/>
        </w:rPr>
        <w:t xml:space="preserve">Competitive Analysis &amp; Feature Roadmap</w:t>
      </w:r>
    </w:p>
    <w:p>
      <w:pPr>
        <w:spacing w:after="140"/>
      </w:pPr>
      <w:r>
        <w:rPr>
          <w:i/>
          <w:iCs/>
          <w:sz w:val="20"/>
          <w:szCs w:val="20"/>
        </w:rPr>
        <w:t xml:space="preserve">Version 1.0  |  26 August 2026  |  Prepared from live market research and cross-referenced against Executive Summary v1.1, SRS v2.1, and the Infrastructure Architecture Map v2.</w:t>
      </w:r>
    </w:p>
    <w:p>
      <w:pPr>
        <w:pStyle w:val="Heading1"/>
        <w:spacing w:after="160" w:before="360"/>
      </w:pPr>
      <w:r>
        <w:t xml:space="preserve">1. Purpose</w:t>
      </w:r>
    </w:p>
    <w:p>
      <w:pPr>
        <w:spacing w:after="140"/>
      </w:pPr>
      <w:r>
        <w:t xml:space="preserve">This document consolidates a real competitive review of three named comparable products — Fathom (self-serve BI/reporting for accountants), Jirav (FP&amp;A/budgeting platform), and Zeni (AI bookkeeping + fractional CFO) — against Eivanta's current, real feature set. Every pricing figure and stated weakness below came from a live web search and page fetch performed this session, not from memory; sources are listed in Section 6. The goal is a concrete, buildable feature backlog that turns named competitor gaps into Eivanta roadmap items, not generic “add AI” suggestions.</w:t>
      </w:r>
    </w:p>
    <w:p>
      <w:pPr>
        <w:pStyle w:val="Heading1"/>
        <w:spacing w:after="160" w:before="360"/>
      </w:pPr>
      <w:r>
        <w:t xml:space="preserve">2. Market Pricing Landscape</w:t>
      </w:r>
    </w:p>
    <w:p>
      <w:pPr>
        <w:spacing w:after="140"/>
      </w:pPr>
      <w:r>
        <w:t xml:space="preserve">Real, current pricing pulled directly from each vendor's own pricing page or a reputable pricing aggregator (see Section 6 for exact sources).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40"/>
      </w:tblGrid>
      <w:tr>
        <w:trPr>
          <w:tblHeader/>
        </w:trPr>
        <w:tc>
          <w:tcPr>
            <w:tcW w:type="dxa" w:w="2400"/>
            <w:shd w:fill="D9E2F3" w:val="clear"/>
            <w:tcMar>
              <w:top w:type="dxa" w:w="80"/>
              <w:left w:type="dxa" w:w="100"/>
              <w:bottom w:type="dxa" w:w="80"/>
              <w:right w:type="dxa" w:w="100"/>
            </w:tcMar>
          </w:tcPr>
          <w:p>
            <w:pPr>
              <w:jc w:val="left"/>
            </w:pPr>
            <w:r>
              <w:rPr>
                <w:b/>
                <w:bCs/>
                <w:sz w:val="20"/>
                <w:szCs w:val="20"/>
              </w:rPr>
              <w:t xml:space="preserve">Product</w:t>
            </w:r>
          </w:p>
        </w:tc>
        <w:tc>
          <w:tcPr>
            <w:tcW w:type="dxa" w:w="2400"/>
            <w:shd w:fill="D9E2F3" w:val="clear"/>
            <w:tcMar>
              <w:top w:type="dxa" w:w="80"/>
              <w:left w:type="dxa" w:w="100"/>
              <w:bottom w:type="dxa" w:w="80"/>
              <w:right w:type="dxa" w:w="100"/>
            </w:tcMar>
          </w:tcPr>
          <w:p>
            <w:pPr>
              <w:jc w:val="left"/>
            </w:pPr>
            <w:r>
              <w:rPr>
                <w:b/>
                <w:bCs/>
                <w:sz w:val="20"/>
                <w:szCs w:val="20"/>
              </w:rPr>
              <w:t xml:space="preserve">Real monthly price</w:t>
            </w:r>
          </w:p>
        </w:tc>
        <w:tc>
          <w:tcPr>
            <w:tcW w:type="dxa" w:w="4740"/>
            <w:shd w:fill="D9E2F3" w:val="clear"/>
            <w:tcMar>
              <w:top w:type="dxa" w:w="80"/>
              <w:left w:type="dxa" w:w="100"/>
              <w:bottom w:type="dxa" w:w="80"/>
              <w:right w:type="dxa" w:w="100"/>
            </w:tcMar>
          </w:tcPr>
          <w:p>
            <w:pPr>
              <w:jc w:val="left"/>
            </w:pPr>
            <w:r>
              <w:rPr>
                <w:b/>
                <w:bCs/>
                <w:sz w:val="20"/>
                <w:szCs w:val="20"/>
              </w:rPr>
              <w:t xml:space="preserve">Model</w:t>
            </w:r>
          </w:p>
        </w:tc>
      </w:tr>
      <w:tr>
        <w:tc>
          <w:tcPr>
            <w:tcW w:type="dxa" w:w="2400"/>
            <w:tcMar>
              <w:top w:type="dxa" w:w="80"/>
              <w:left w:type="dxa" w:w="100"/>
              <w:bottom w:type="dxa" w:w="80"/>
              <w:right w:type="dxa" w:w="100"/>
            </w:tcMar>
          </w:tcPr>
          <w:p>
            <w:pPr>
              <w:jc w:val="left"/>
            </w:pPr>
            <w:r>
              <w:rPr>
                <w:b w:val="false"/>
                <w:bCs w:val="false"/>
                <w:sz w:val="20"/>
                <w:szCs w:val="20"/>
              </w:rPr>
              <w:t xml:space="preserve">Fathom (fathomhq.com)</w:t>
            </w:r>
          </w:p>
        </w:tc>
        <w:tc>
          <w:tcPr>
            <w:tcW w:type="dxa" w:w="2400"/>
            <w:tcMar>
              <w:top w:type="dxa" w:w="80"/>
              <w:left w:type="dxa" w:w="100"/>
              <w:bottom w:type="dxa" w:w="80"/>
              <w:right w:type="dxa" w:w="100"/>
            </w:tcMar>
          </w:tcPr>
          <w:p>
            <w:pPr>
              <w:jc w:val="left"/>
            </w:pPr>
            <w:r>
              <w:rPr>
                <w:b w:val="false"/>
                <w:bCs w:val="false"/>
                <w:sz w:val="20"/>
                <w:szCs w:val="20"/>
              </w:rPr>
              <w:t xml:space="preserve">$59–$805/mo (AUD)</w:t>
            </w:r>
          </w:p>
        </w:tc>
        <w:tc>
          <w:tcPr>
            <w:tcW w:type="dxa" w:w="4740"/>
            <w:tcMar>
              <w:top w:type="dxa" w:w="80"/>
              <w:left w:type="dxa" w:w="100"/>
              <w:bottom w:type="dxa" w:w="80"/>
              <w:right w:type="dxa" w:w="100"/>
            </w:tcMar>
          </w:tcPr>
          <w:p>
            <w:pPr>
              <w:jc w:val="left"/>
            </w:pPr>
            <w:r>
              <w:rPr>
                <w:b w:val="false"/>
                <w:bCs w:val="false"/>
                <w:sz w:val="20"/>
                <w:szCs w:val="20"/>
              </w:rPr>
              <w:t xml:space="preserve">Priced by number of connected companies; 1 company to 50+. No human advisory included.</w:t>
            </w:r>
          </w:p>
        </w:tc>
      </w:tr>
      <w:tr>
        <w:tc>
          <w:tcPr>
            <w:tcW w:type="dxa" w:w="2400"/>
            <w:tcMar>
              <w:top w:type="dxa" w:w="80"/>
              <w:left w:type="dxa" w:w="100"/>
              <w:bottom w:type="dxa" w:w="80"/>
              <w:right w:type="dxa" w:w="100"/>
            </w:tcMar>
          </w:tcPr>
          <w:p>
            <w:pPr>
              <w:jc w:val="left"/>
            </w:pPr>
            <w:r>
              <w:rPr>
                <w:b w:val="false"/>
                <w:bCs w:val="false"/>
                <w:sz w:val="20"/>
                <w:szCs w:val="20"/>
              </w:rPr>
              <w:t xml:space="preserve">Jirav</w:t>
            </w:r>
          </w:p>
        </w:tc>
        <w:tc>
          <w:tcPr>
            <w:tcW w:type="dxa" w:w="2400"/>
            <w:tcMar>
              <w:top w:type="dxa" w:w="80"/>
              <w:left w:type="dxa" w:w="100"/>
              <w:bottom w:type="dxa" w:w="80"/>
              <w:right w:type="dxa" w:w="100"/>
            </w:tcMar>
          </w:tcPr>
          <w:p>
            <w:pPr>
              <w:jc w:val="left"/>
            </w:pPr>
            <w:r>
              <w:rPr>
                <w:b w:val="false"/>
                <w:bCs w:val="false"/>
                <w:sz w:val="20"/>
                <w:szCs w:val="20"/>
              </w:rPr>
              <w:t xml:space="preserve">~$833–$1,250/mo (billed annually: $10k–$15k/yr)</w:t>
            </w:r>
          </w:p>
        </w:tc>
        <w:tc>
          <w:tcPr>
            <w:tcW w:type="dxa" w:w="4740"/>
            <w:tcMar>
              <w:top w:type="dxa" w:w="80"/>
              <w:left w:type="dxa" w:w="100"/>
              <w:bottom w:type="dxa" w:w="80"/>
              <w:right w:type="dxa" w:w="100"/>
            </w:tcMar>
          </w:tcPr>
          <w:p>
            <w:pPr>
              <w:jc w:val="left"/>
            </w:pPr>
            <w:r>
              <w:rPr>
                <w:b w:val="false"/>
                <w:bCs w:val="false"/>
                <w:sz w:val="20"/>
                <w:szCs w:val="20"/>
              </w:rPr>
              <w:t xml:space="preserve">FP&amp;A/budgeting platform, sold via annual contract, enterprise tier custom.</w:t>
            </w:r>
          </w:p>
        </w:tc>
      </w:tr>
      <w:tr>
        <w:tc>
          <w:tcPr>
            <w:tcW w:type="dxa" w:w="2400"/>
            <w:tcMar>
              <w:top w:type="dxa" w:w="80"/>
              <w:left w:type="dxa" w:w="100"/>
              <w:bottom w:type="dxa" w:w="80"/>
              <w:right w:type="dxa" w:w="100"/>
            </w:tcMar>
          </w:tcPr>
          <w:p>
            <w:pPr>
              <w:jc w:val="left"/>
            </w:pPr>
            <w:r>
              <w:rPr>
                <w:b w:val="false"/>
                <w:bCs w:val="false"/>
                <w:sz w:val="20"/>
                <w:szCs w:val="20"/>
              </w:rPr>
              <w:t xml:space="preserve">Zeni — AI Bookkeeping only</w:t>
            </w:r>
          </w:p>
        </w:tc>
        <w:tc>
          <w:tcPr>
            <w:tcW w:type="dxa" w:w="2400"/>
            <w:tcMar>
              <w:top w:type="dxa" w:w="80"/>
              <w:left w:type="dxa" w:w="100"/>
              <w:bottom w:type="dxa" w:w="80"/>
              <w:right w:type="dxa" w:w="100"/>
            </w:tcMar>
          </w:tcPr>
          <w:p>
            <w:pPr>
              <w:jc w:val="left"/>
            </w:pPr>
            <w:r>
              <w:rPr>
                <w:b w:val="false"/>
                <w:bCs w:val="false"/>
                <w:sz w:val="20"/>
                <w:szCs w:val="20"/>
              </w:rPr>
              <w:t xml:space="preserve">$494–$719/mo (annual)</w:t>
            </w:r>
          </w:p>
        </w:tc>
        <w:tc>
          <w:tcPr>
            <w:tcW w:type="dxa" w:w="4740"/>
            <w:tcMar>
              <w:top w:type="dxa" w:w="80"/>
              <w:left w:type="dxa" w:w="100"/>
              <w:bottom w:type="dxa" w:w="80"/>
              <w:right w:type="dxa" w:w="100"/>
            </w:tcMar>
          </w:tcPr>
          <w:p>
            <w:pPr>
              <w:jc w:val="left"/>
            </w:pPr>
            <w:r>
              <w:rPr>
                <w:b w:val="false"/>
                <w:bCs w:val="false"/>
                <w:sz w:val="20"/>
                <w:szCs w:val="20"/>
              </w:rPr>
              <w:t xml:space="preserve">AI-only tier, no human CFO.</w:t>
            </w:r>
          </w:p>
        </w:tc>
      </w:tr>
      <w:tr>
        <w:tc>
          <w:tcPr>
            <w:tcW w:type="dxa" w:w="2400"/>
            <w:tcMar>
              <w:top w:type="dxa" w:w="80"/>
              <w:left w:type="dxa" w:w="100"/>
              <w:bottom w:type="dxa" w:w="80"/>
              <w:right w:type="dxa" w:w="100"/>
            </w:tcMar>
          </w:tcPr>
          <w:p>
            <w:pPr>
              <w:jc w:val="left"/>
            </w:pPr>
            <w:r>
              <w:rPr>
                <w:b w:val="false"/>
                <w:bCs w:val="false"/>
                <w:sz w:val="20"/>
                <w:szCs w:val="20"/>
              </w:rPr>
              <w:t xml:space="preserve">Zeni — AI + Fractional Human CFO</w:t>
            </w:r>
          </w:p>
        </w:tc>
        <w:tc>
          <w:tcPr>
            <w:tcW w:type="dxa" w:w="2400"/>
            <w:tcMar>
              <w:top w:type="dxa" w:w="80"/>
              <w:left w:type="dxa" w:w="100"/>
              <w:bottom w:type="dxa" w:w="80"/>
              <w:right w:type="dxa" w:w="100"/>
            </w:tcMar>
          </w:tcPr>
          <w:p>
            <w:pPr>
              <w:jc w:val="left"/>
            </w:pPr>
            <w:r>
              <w:rPr>
                <w:b w:val="false"/>
                <w:bCs w:val="false"/>
                <w:sz w:val="20"/>
                <w:szCs w:val="20"/>
              </w:rPr>
              <w:t xml:space="preserve">$1,350–$2,610/mo + $2k–$6k setup</w:t>
            </w:r>
          </w:p>
        </w:tc>
        <w:tc>
          <w:tcPr>
            <w:tcW w:type="dxa" w:w="4740"/>
            <w:tcMar>
              <w:top w:type="dxa" w:w="80"/>
              <w:left w:type="dxa" w:w="100"/>
              <w:bottom w:type="dxa" w:w="80"/>
              <w:right w:type="dxa" w:w="100"/>
            </w:tcMar>
          </w:tcPr>
          <w:p>
            <w:pPr>
              <w:jc w:val="left"/>
            </w:pPr>
            <w:r>
              <w:rPr>
                <w:b w:val="false"/>
                <w:bCs w:val="false"/>
                <w:sz w:val="20"/>
                <w:szCs w:val="20"/>
              </w:rPr>
              <w:t xml:space="preserve">Bundles real human advisory hours; the price premium over the AI-only tier is entirely the human labor cost.</w:t>
            </w:r>
          </w:p>
        </w:tc>
      </w:tr>
      <w:tr>
        <w:tc>
          <w:tcPr>
            <w:tcW w:type="dxa" w:w="2400"/>
            <w:tcMar>
              <w:top w:type="dxa" w:w="80"/>
              <w:left w:type="dxa" w:w="100"/>
              <w:bottom w:type="dxa" w:w="80"/>
              <w:right w:type="dxa" w:w="100"/>
            </w:tcMar>
          </w:tcPr>
          <w:p>
            <w:pPr>
              <w:jc w:val="left"/>
            </w:pPr>
            <w:r>
              <w:rPr>
                <w:b w:val="false"/>
                <w:bCs w:val="false"/>
                <w:sz w:val="20"/>
                <w:szCs w:val="20"/>
              </w:rPr>
              <w:t xml:space="preserve">Eivanta — Core Operations (documented)</w:t>
            </w:r>
          </w:p>
        </w:tc>
        <w:tc>
          <w:tcPr>
            <w:tcW w:type="dxa" w:w="2400"/>
            <w:tcMar>
              <w:top w:type="dxa" w:w="80"/>
              <w:left w:type="dxa" w:w="100"/>
              <w:bottom w:type="dxa" w:w="80"/>
              <w:right w:type="dxa" w:w="100"/>
            </w:tcMar>
          </w:tcPr>
          <w:p>
            <w:pPr>
              <w:jc w:val="left"/>
            </w:pPr>
            <w:r>
              <w:rPr>
                <w:b w:val="false"/>
                <w:bCs w:val="false"/>
                <w:sz w:val="20"/>
                <w:szCs w:val="20"/>
              </w:rPr>
              <w:t xml:space="preserve">$95–$299/mo</w:t>
            </w:r>
          </w:p>
        </w:tc>
        <w:tc>
          <w:tcPr>
            <w:tcW w:type="dxa" w:w="4740"/>
            <w:tcMar>
              <w:top w:type="dxa" w:w="80"/>
              <w:left w:type="dxa" w:w="100"/>
              <w:bottom w:type="dxa" w:w="80"/>
              <w:right w:type="dxa" w:w="100"/>
            </w:tcMar>
          </w:tcPr>
          <w:p>
            <w:pPr>
              <w:jc w:val="left"/>
            </w:pPr>
            <w:r>
              <w:rPr>
                <w:b w:val="false"/>
                <w:bCs w:val="false"/>
                <w:sz w:val="20"/>
                <w:szCs w:val="20"/>
              </w:rPr>
              <w:t xml:space="preserve">Dashboard, upload, natural-language search, visualization. Micro-SMBs / early teams.</w:t>
            </w:r>
          </w:p>
        </w:tc>
      </w:tr>
      <w:tr>
        <w:tc>
          <w:tcPr>
            <w:tcW w:type="dxa" w:w="2400"/>
            <w:tcMar>
              <w:top w:type="dxa" w:w="80"/>
              <w:left w:type="dxa" w:w="100"/>
              <w:bottom w:type="dxa" w:w="80"/>
              <w:right w:type="dxa" w:w="100"/>
            </w:tcMar>
          </w:tcPr>
          <w:p>
            <w:pPr>
              <w:jc w:val="left"/>
            </w:pPr>
            <w:r>
              <w:rPr>
                <w:b w:val="false"/>
                <w:bCs w:val="false"/>
                <w:sz w:val="20"/>
                <w:szCs w:val="20"/>
              </w:rPr>
              <w:t xml:space="preserve">Eivanta — Growth Intelligence (documented)</w:t>
            </w:r>
          </w:p>
        </w:tc>
        <w:tc>
          <w:tcPr>
            <w:tcW w:type="dxa" w:w="2400"/>
            <w:tcMar>
              <w:top w:type="dxa" w:w="80"/>
              <w:left w:type="dxa" w:w="100"/>
              <w:bottom w:type="dxa" w:w="80"/>
              <w:right w:type="dxa" w:w="100"/>
            </w:tcMar>
          </w:tcPr>
          <w:p>
            <w:pPr>
              <w:jc w:val="left"/>
            </w:pPr>
            <w:r>
              <w:rPr>
                <w:b w:val="false"/>
                <w:bCs w:val="false"/>
                <w:sz w:val="20"/>
                <w:szCs w:val="20"/>
              </w:rPr>
              <w:t xml:space="preserve">$500–$2,000/mo</w:t>
            </w:r>
          </w:p>
        </w:tc>
        <w:tc>
          <w:tcPr>
            <w:tcW w:type="dxa" w:w="4740"/>
            <w:tcMar>
              <w:top w:type="dxa" w:w="80"/>
              <w:left w:type="dxa" w:w="100"/>
              <w:bottom w:type="dxa" w:w="80"/>
              <w:right w:type="dxa" w:w="100"/>
            </w:tcMar>
          </w:tcPr>
          <w:p>
            <w:pPr>
              <w:jc w:val="left"/>
            </w:pPr>
            <w:r>
              <w:rPr>
                <w:b w:val="false"/>
                <w:bCs w:val="false"/>
                <w:sz w:val="20"/>
                <w:szCs w:val="20"/>
              </w:rPr>
              <w:t xml:space="preserve">Self-healing ingestion, forecasting, churn scoring, CFO briefings. Mid-sized SMBs / scaleups.</w:t>
            </w:r>
          </w:p>
        </w:tc>
      </w:tr>
      <w:tr>
        <w:tc>
          <w:tcPr>
            <w:tcW w:type="dxa" w:w="2400"/>
            <w:tcMar>
              <w:top w:type="dxa" w:w="80"/>
              <w:left w:type="dxa" w:w="100"/>
              <w:bottom w:type="dxa" w:w="80"/>
              <w:right w:type="dxa" w:w="100"/>
            </w:tcMar>
          </w:tcPr>
          <w:p>
            <w:pPr>
              <w:jc w:val="left"/>
            </w:pPr>
            <w:r>
              <w:rPr>
                <w:b w:val="false"/>
                <w:bCs w:val="false"/>
                <w:sz w:val="20"/>
                <w:szCs w:val="20"/>
              </w:rPr>
              <w:t xml:space="preserve">Eivanta — Enterprise Governance (documented)</w:t>
            </w:r>
          </w:p>
        </w:tc>
        <w:tc>
          <w:tcPr>
            <w:tcW w:type="dxa" w:w="2400"/>
            <w:tcMar>
              <w:top w:type="dxa" w:w="80"/>
              <w:left w:type="dxa" w:w="100"/>
              <w:bottom w:type="dxa" w:w="80"/>
              <w:right w:type="dxa" w:w="100"/>
            </w:tcMar>
          </w:tcPr>
          <w:p>
            <w:pPr>
              <w:jc w:val="left"/>
            </w:pPr>
            <w:r>
              <w:rPr>
                <w:b w:val="false"/>
                <w:bCs w:val="false"/>
                <w:sz w:val="20"/>
                <w:szCs w:val="20"/>
              </w:rPr>
              <w:t xml:space="preserve">$2,000–$4,000+/mo</w:t>
            </w:r>
          </w:p>
        </w:tc>
        <w:tc>
          <w:tcPr>
            <w:tcW w:type="dxa" w:w="4740"/>
            <w:tcMar>
              <w:top w:type="dxa" w:w="80"/>
              <w:left w:type="dxa" w:w="100"/>
              <w:bottom w:type="dxa" w:w="80"/>
              <w:right w:type="dxa" w:w="100"/>
            </w:tcMar>
          </w:tcPr>
          <w:p>
            <w:pPr>
              <w:jc w:val="left"/>
            </w:pPr>
            <w:r>
              <w:rPr>
                <w:b w:val="false"/>
                <w:bCs w:val="false"/>
                <w:sz w:val="20"/>
                <w:szCs w:val="20"/>
              </w:rPr>
              <w:t xml:space="preserve">BYOK, MCP, FinOps controls, audit lineage. Mature/regulated orgs.</w:t>
            </w:r>
          </w:p>
        </w:tc>
      </w:tr>
    </w:tbl>
    <w:p>
      <w:pPr>
        <w:spacing w:after="140"/>
      </w:pPr>
      <w:r>
        <w:t xml:space="preserve"/>
      </w:r>
    </w:p>
    <w:p>
      <w:pPr>
        <w:spacing w:after="140"/>
      </w:pPr>
      <w:r>
        <w:rPr>
          <w:i/>
          <w:iCs/>
        </w:rPr>
        <w:t xml:space="preserve">Read-through: Eivanta's own documented tiers already bracket both Fathom (dashboard-only, no AI agents) on the low end and Zeni's human-CFO tier on the high end — without a human in the loop anywhere in the price. Every feature below is chosen to make that gap (same or lower price, more real capability, no human labor cost) larger and more defensible, not to justify a price change on its own.</w:t>
      </w:r>
    </w:p>
    <w:p>
      <w:pPr>
        <w:pStyle w:val="Heading1"/>
        <w:spacing w:after="160" w:before="360"/>
      </w:pPr>
      <w:r>
        <w:t xml:space="preserve">3. Named Competitor Weaknesses (from real reviews)</w:t>
      </w:r>
    </w:p>
    <w:p>
      <w:pPr>
        <w:pStyle w:val="Heading2"/>
        <w:spacing w:after="120" w:before="280"/>
      </w:pPr>
      <w:r>
        <w:t xml:space="preserve">3.1 Fathom</w:t>
      </w:r>
    </w:p>
    <w:p>
      <w:pPr>
        <w:pStyle w:val="ListParagraph"/>
        <w:numPr>
          <w:ilvl w:val="0"/>
          <w:numId w:val="2"/>
        </w:numPr>
        <w:spacing w:after="80"/>
      </w:pPr>
      <w:r>
        <w:t xml:space="preserve">Rigid customization — users cannot easily modify chart details; custom P&amp;L construction is described as “hard,” not easily editable.</w:t>
      </w:r>
    </w:p>
    <w:p>
      <w:pPr>
        <w:pStyle w:val="ListParagraph"/>
        <w:numPr>
          <w:ilvl w:val="0"/>
          <w:numId w:val="2"/>
        </w:numPr>
        <w:spacing w:after="80"/>
      </w:pPr>
      <w:r>
        <w:t xml:space="preserve">Integration ceiling — connects only to Xero, QuickBooks, and MYOB; everything else is a manual, “clunky” Excel import.</w:t>
      </w:r>
    </w:p>
    <w:p>
      <w:pPr>
        <w:pStyle w:val="ListParagraph"/>
        <w:numPr>
          <w:ilvl w:val="0"/>
          <w:numId w:val="2"/>
        </w:numPr>
        <w:spacing w:after="80"/>
      </w:pPr>
      <w:r>
        <w:t xml:space="preserve">Cannot blend non-financial data — no way to pull in Google Analytics, CRM, or ERP data alongside financials for a combined KPI view.</w:t>
      </w:r>
    </w:p>
    <w:p>
      <w:pPr>
        <w:pStyle w:val="ListParagraph"/>
        <w:numPr>
          <w:ilvl w:val="0"/>
          <w:numId w:val="2"/>
        </w:numPr>
        <w:spacing w:after="80"/>
      </w:pPr>
      <w:r>
        <w:t xml:space="preserve">Performance — reported slowness with large datasets or multiple concurrent users.</w:t>
      </w:r>
    </w:p>
    <w:p>
      <w:pPr>
        <w:pStyle w:val="ListParagraph"/>
        <w:numPr>
          <w:ilvl w:val="0"/>
          <w:numId w:val="2"/>
        </w:numPr>
        <w:spacing w:after="80"/>
      </w:pPr>
      <w:r>
        <w:t xml:space="preserve">Steep initial setup / learning curve, despite being easier after mastery.</w:t>
      </w:r>
    </w:p>
    <w:p>
      <w:pPr>
        <w:pStyle w:val="ListParagraph"/>
        <w:numPr>
          <w:ilvl w:val="0"/>
          <w:numId w:val="2"/>
        </w:numPr>
        <w:spacing w:after="80"/>
      </w:pPr>
      <w:r>
        <w:t xml:space="preserve">Pricing friction — multiple reviewers directly asked for lower monthly pricing or annual discounts.</w:t>
      </w:r>
    </w:p>
    <w:p>
      <w:pPr>
        <w:pStyle w:val="Heading2"/>
        <w:spacing w:after="120" w:before="280"/>
      </w:pPr>
      <w:r>
        <w:t xml:space="preserve">3.2 Jirav</w:t>
      </w:r>
    </w:p>
    <w:p>
      <w:pPr>
        <w:pStyle w:val="ListParagraph"/>
        <w:numPr>
          <w:ilvl w:val="0"/>
          <w:numId w:val="2"/>
        </w:numPr>
        <w:spacing w:after="80"/>
      </w:pPr>
      <w:r>
        <w:t xml:space="preserve">Reporting ceiling — users hit real limits building complex, highly customized reports.</w:t>
      </w:r>
    </w:p>
    <w:p>
      <w:pPr>
        <w:pStyle w:val="ListParagraph"/>
        <w:numPr>
          <w:ilvl w:val="0"/>
          <w:numId w:val="2"/>
        </w:numPr>
        <w:spacing w:after="80"/>
      </w:pPr>
      <w:r>
        <w:t xml:space="preserve">Steep learning curve for teams coming from spreadsheet-based workflows.</w:t>
      </w:r>
    </w:p>
    <w:p>
      <w:pPr>
        <w:pStyle w:val="ListParagraph"/>
        <w:numPr>
          <w:ilvl w:val="0"/>
          <w:numId w:val="2"/>
        </w:numPr>
        <w:spacing w:after="80"/>
      </w:pPr>
      <w:r>
        <w:t xml:space="preserve">Integration gaps outside its core accounting connectors.</w:t>
      </w:r>
    </w:p>
    <w:p>
      <w:pPr>
        <w:pStyle w:val="ListParagraph"/>
        <w:numPr>
          <w:ilvl w:val="0"/>
          <w:numId w:val="2"/>
        </w:numPr>
        <w:spacing w:after="80"/>
      </w:pPr>
      <w:r>
        <w:t xml:space="preserve">No real workforce/headcount planning depth — no skills tracking or succession planning, despite FP&amp;A positioning implying it.</w:t>
      </w:r>
    </w:p>
    <w:p>
      <w:pPr>
        <w:pStyle w:val="ListParagraph"/>
        <w:numPr>
          <w:ilvl w:val="0"/>
          <w:numId w:val="2"/>
        </w:numPr>
        <w:spacing w:after="80"/>
      </w:pPr>
      <w:r>
        <w:t xml:space="preserve">Vague, inconsistent error messages that create troubleshooting friction.</w:t>
      </w:r>
    </w:p>
    <w:p>
      <w:pPr>
        <w:pStyle w:val="ListParagraph"/>
        <w:numPr>
          <w:ilvl w:val="0"/>
          <w:numId w:val="2"/>
        </w:numPr>
        <w:spacing w:after="80"/>
      </w:pPr>
      <w:r>
        <w:t xml:space="preserve">Occasional sluggishness in day-to-day use.</w:t>
      </w:r>
    </w:p>
    <w:p>
      <w:pPr>
        <w:pStyle w:val="Heading2"/>
        <w:spacing w:after="120" w:before="280"/>
      </w:pPr>
      <w:r>
        <w:t xml:space="preserve">3.3 Zeni</w:t>
      </w:r>
    </w:p>
    <w:p>
      <w:pPr>
        <w:pStyle w:val="ListParagraph"/>
        <w:numPr>
          <w:ilvl w:val="0"/>
          <w:numId w:val="2"/>
        </w:numPr>
        <w:spacing w:after="80"/>
      </w:pPr>
      <w:r>
        <w:t xml:space="preserve">Forced bundling — customers pay for banking/card products they never use just to access the AI bookkeeping.</w:t>
      </w:r>
    </w:p>
    <w:p>
      <w:pPr>
        <w:pStyle w:val="ListParagraph"/>
        <w:numPr>
          <w:ilvl w:val="0"/>
          <w:numId w:val="2"/>
        </w:numPr>
        <w:spacing w:after="80"/>
      </w:pPr>
      <w:r>
        <w:t xml:space="preserve">Slow onboarding — 1–2 weeks before the platform is operational.</w:t>
      </w:r>
    </w:p>
    <w:p>
      <w:pPr>
        <w:pStyle w:val="ListParagraph"/>
        <w:numPr>
          <w:ilvl w:val="0"/>
          <w:numId w:val="2"/>
        </w:numPr>
        <w:spacing w:after="80"/>
      </w:pPr>
      <w:r>
        <w:t xml:space="preserve">English-only document processing — no support for invoices/documents in other languages.</w:t>
      </w:r>
    </w:p>
    <w:p>
      <w:pPr>
        <w:pStyle w:val="ListParagraph"/>
        <w:numPr>
          <w:ilvl w:val="0"/>
          <w:numId w:val="2"/>
        </w:numPr>
        <w:spacing w:after="80"/>
      </w:pPr>
      <w:r>
        <w:t xml:space="preserve">Startup-only positioning — features and messaging assume a venture-backed company, not an established SMB.</w:t>
      </w:r>
    </w:p>
    <w:p>
      <w:pPr>
        <w:pStyle w:val="ListParagraph"/>
        <w:numPr>
          <w:ilvl w:val="0"/>
          <w:numId w:val="2"/>
        </w:numPr>
        <w:spacing w:after="80"/>
      </w:pPr>
      <w:r>
        <w:t xml:space="preserve">Shallow invoice extraction — captures totals, not line items, quantities, or unit prices.</w:t>
      </w:r>
    </w:p>
    <w:p>
      <w:pPr>
        <w:pStyle w:val="ListParagraph"/>
        <w:numPr>
          <w:ilvl w:val="0"/>
          <w:numId w:val="2"/>
        </w:numPr>
        <w:spacing w:after="80"/>
      </w:pPr>
      <w:r>
        <w:t xml:space="preserve">No handwritten-document support and no automatic bulk PDF splitting.</w:t>
      </w:r>
    </w:p>
    <w:p>
      <w:pPr>
        <w:pStyle w:val="ListParagraph"/>
        <w:numPr>
          <w:ilvl w:val="0"/>
          <w:numId w:val="2"/>
        </w:numPr>
        <w:spacing w:after="80"/>
      </w:pPr>
      <w:r>
        <w:t xml:space="preserve">Vendor lock-in risk — consolidating bookkeeping, banking, and cards into one vendor raises real switching costs if quality slips.</w:t>
      </w:r>
    </w:p>
    <w:p>
      <w:pPr>
        <w:pStyle w:val="Heading1"/>
        <w:spacing w:after="160" w:before="360"/>
      </w:pPr>
      <w:r>
        <w:t xml:space="preserve">4. What Eivanta Already Has That None of the Three Have</w:t>
      </w:r>
    </w:p>
    <w:p>
      <w:pPr>
        <w:spacing w:after="140"/>
      </w:pPr>
      <w:r>
        <w:t xml:space="preserve">Before adding anything new, it's worth naming the real, already-shipped advantage plainly — this is the argument for the roadmap below, not just context.</w:t>
      </w:r>
    </w:p>
    <w:p>
      <w:pPr>
        <w:pStyle w:val="ListParagraph"/>
        <w:numPr>
          <w:ilvl w:val="0"/>
          <w:numId w:val="2"/>
        </w:numPr>
        <w:spacing w:after="80"/>
      </w:pPr>
      <w:r>
        <w:t xml:space="preserve">Evidence-trail drill-down (FR-10.1) — any category/month total traces back to its exact source ledger rows. This is the single capability the FP&amp;A market research names as the line between a “legitimate” AI finance tool and a superficial one: “can you click from the variance through to the underlying transaction, or must you trust an unverified summary.” Fathom, Jirav, and Zeni's own reviewers describe the opposite experience (vague errors, rigid black-box reports).</w:t>
      </w:r>
    </w:p>
    <w:p>
      <w:pPr>
        <w:pStyle w:val="ListParagraph"/>
        <w:numPr>
          <w:ilvl w:val="0"/>
          <w:numId w:val="2"/>
        </w:numPr>
        <w:spacing w:after="80"/>
      </w:pPr>
      <w:r>
        <w:t xml:space="preserve">Assumption ledger (FR-10.2) — every numeric assumption behind a calculation is disclosed, read live from the same source values the calculation itself uses.</w:t>
      </w:r>
    </w:p>
    <w:p>
      <w:pPr>
        <w:pStyle w:val="ListParagraph"/>
        <w:numPr>
          <w:ilvl w:val="0"/>
          <w:numId w:val="2"/>
        </w:numPr>
        <w:spacing w:after="80"/>
      </w:pPr>
      <w:r>
        <w:t xml:space="preserve">Known-gaps panel (FR-10.3) — honestly discloses what can't be analyzed yet for a given tenant, computed from real signals, never invented.</w:t>
      </w:r>
    </w:p>
    <w:p>
      <w:pPr>
        <w:pStyle w:val="ListParagraph"/>
        <w:numPr>
          <w:ilvl w:val="0"/>
          <w:numId w:val="2"/>
        </w:numPr>
        <w:spacing w:after="80"/>
      </w:pPr>
      <w:r>
        <w:t xml:space="preserve">Deterministic category suggestions (FR-10.4) with a real confidence score — explainable, never auto-applied without a confirmed action.</w:t>
      </w:r>
    </w:p>
    <w:p>
      <w:pPr>
        <w:pStyle w:val="ListParagraph"/>
        <w:numPr>
          <w:ilvl w:val="0"/>
          <w:numId w:val="2"/>
        </w:numPr>
        <w:spacing w:after="80"/>
      </w:pPr>
      <w:r>
        <w:t xml:space="preserve">Real-state onboarding checklist (FR-10.5) — tracks actual data-state progress, not a scripted tour.</w:t>
      </w:r>
    </w:p>
    <w:p>
      <w:pPr>
        <w:pStyle w:val="ListParagraph"/>
        <w:numPr>
          <w:ilvl w:val="0"/>
          <w:numId w:val="2"/>
        </w:numPr>
        <w:spacing w:after="80"/>
      </w:pPr>
      <w:r>
        <w:t xml:space="preserve">BYOK support and per-tenant AI budget gating — gives Eivanta a cost lever none of the three competitors expose to customers directly.</w:t>
      </w:r>
    </w:p>
    <w:p>
      <w:pPr>
        <w:pStyle w:val="ListParagraph"/>
        <w:numPr>
          <w:ilvl w:val="0"/>
          <w:numId w:val="2"/>
        </w:numPr>
        <w:spacing w:after="80"/>
      </w:pPr>
      <w:r>
        <w:t xml:space="preserve">A genuine 13-agent architecture (routing, forecasting, anomaly-shaped analysis, reporting) versus Fathom's static report templates or Zeni's single bookkeeping-plus-chat model.</w:t>
      </w:r>
    </w:p>
    <w:p>
      <w:pPr>
        <w:pStyle w:val="Heading1"/>
        <w:spacing w:after="160" w:before="360"/>
      </w:pPr>
      <w:r>
        <w:t xml:space="preserve">5. Recommended Feature Roadmap</w:t>
      </w:r>
    </w:p>
    <w:p>
      <w:pPr>
        <w:spacing w:after="140"/>
      </w:pPr>
      <w:r>
        <w:t xml:space="preserve">Every item below is scoped to a named competitor gap or a named research finding above. IDs continue the project's existing backlog convention (see Master Build List) using a new COMP- prefix reserved for this competitive-differentiation track, so numbering never collides with existing FIN-/AI-/ARCH-/DIFF-/DATA- IDs.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400"/>
        <w:gridCol w:w="1500"/>
        <w:gridCol w:w="1440"/>
      </w:tblGrid>
      <w:tr>
        <w:trPr>
          <w:tblHeader/>
        </w:trPr>
        <w:tc>
          <w:tcPr>
            <w:tcW w:type="dxa" w:w="900"/>
            <w:shd w:fill="D9E2F3" w:val="clear"/>
            <w:tcMar>
              <w:top w:type="dxa" w:w="80"/>
              <w:left w:type="dxa" w:w="100"/>
              <w:bottom w:type="dxa" w:w="80"/>
              <w:right w:type="dxa" w:w="100"/>
            </w:tcMar>
          </w:tcPr>
          <w:p>
            <w:pPr>
              <w:jc w:val="left"/>
            </w:pPr>
            <w:r>
              <w:rPr>
                <w:b/>
                <w:bCs/>
                <w:sz w:val="20"/>
                <w:szCs w:val="20"/>
              </w:rPr>
              <w:t xml:space="preserve">ID</w:t>
            </w:r>
          </w:p>
        </w:tc>
        <w:tc>
          <w:tcPr>
            <w:tcW w:type="dxa" w:w="2600"/>
            <w:shd w:fill="D9E2F3" w:val="clear"/>
            <w:tcMar>
              <w:top w:type="dxa" w:w="80"/>
              <w:left w:type="dxa" w:w="100"/>
              <w:bottom w:type="dxa" w:w="80"/>
              <w:right w:type="dxa" w:w="100"/>
            </w:tcMar>
          </w:tcPr>
          <w:p>
            <w:pPr>
              <w:jc w:val="left"/>
            </w:pPr>
            <w:r>
              <w:rPr>
                <w:b/>
                <w:bCs/>
                <w:sz w:val="20"/>
                <w:szCs w:val="20"/>
              </w:rPr>
              <w:t xml:space="preserve">Feature</w:t>
            </w:r>
          </w:p>
        </w:tc>
        <w:tc>
          <w:tcPr>
            <w:tcW w:type="dxa" w:w="3400"/>
            <w:shd w:fill="D9E2F3" w:val="clear"/>
            <w:tcMar>
              <w:top w:type="dxa" w:w="80"/>
              <w:left w:type="dxa" w:w="100"/>
              <w:bottom w:type="dxa" w:w="80"/>
              <w:right w:type="dxa" w:w="100"/>
            </w:tcMar>
          </w:tcPr>
          <w:p>
            <w:pPr>
              <w:jc w:val="left"/>
            </w:pPr>
            <w:r>
              <w:rPr>
                <w:b/>
                <w:bCs/>
                <w:sz w:val="20"/>
                <w:szCs w:val="20"/>
              </w:rPr>
              <w:t xml:space="preserve">Directly addresses</w:t>
            </w:r>
          </w:p>
        </w:tc>
        <w:tc>
          <w:tcPr>
            <w:tcW w:type="dxa" w:w="1500"/>
            <w:shd w:fill="D9E2F3" w:val="clear"/>
            <w:tcMar>
              <w:top w:type="dxa" w:w="80"/>
              <w:left w:type="dxa" w:w="100"/>
              <w:bottom w:type="dxa" w:w="80"/>
              <w:right w:type="dxa" w:w="100"/>
            </w:tcMar>
          </w:tcPr>
          <w:p>
            <w:pPr>
              <w:jc w:val="left"/>
            </w:pPr>
            <w:r>
              <w:rPr>
                <w:b/>
                <w:bCs/>
                <w:sz w:val="20"/>
                <w:szCs w:val="20"/>
              </w:rPr>
              <w:t xml:space="preserve">Target tier</w:t>
            </w:r>
          </w:p>
        </w:tc>
        <w:tc>
          <w:tcPr>
            <w:tcW w:type="dxa" w:w="1440"/>
            <w:shd w:fill="D9E2F3" w:val="clear"/>
            <w:tcMar>
              <w:top w:type="dxa" w:w="80"/>
              <w:left w:type="dxa" w:w="100"/>
              <w:bottom w:type="dxa" w:w="80"/>
              <w:right w:type="dxa" w:w="100"/>
            </w:tcMar>
          </w:tcPr>
          <w:p>
            <w:pPr>
              <w:jc w:val="left"/>
            </w:pPr>
            <w:r>
              <w:rPr>
                <w:b/>
                <w:bCs/>
                <w:sz w:val="20"/>
                <w:szCs w:val="20"/>
              </w:rPr>
              <w:t xml:space="preserve">Status</w:t>
            </w:r>
          </w:p>
        </w:tc>
      </w:tr>
      <w:tr>
        <w:tc>
          <w:tcPr>
            <w:tcW w:type="dxa" w:w="900"/>
            <w:tcMar>
              <w:top w:type="dxa" w:w="80"/>
              <w:left w:type="dxa" w:w="100"/>
              <w:bottom w:type="dxa" w:w="80"/>
              <w:right w:type="dxa" w:w="100"/>
            </w:tcMar>
          </w:tcPr>
          <w:p>
            <w:pPr>
              <w:jc w:val="left"/>
            </w:pPr>
            <w:r>
              <w:rPr>
                <w:b w:val="false"/>
                <w:bCs w:val="false"/>
                <w:sz w:val="20"/>
                <w:szCs w:val="20"/>
              </w:rPr>
              <w:t xml:space="preserve">COMP-01</w:t>
            </w:r>
          </w:p>
        </w:tc>
        <w:tc>
          <w:tcPr>
            <w:tcW w:type="dxa" w:w="2600"/>
            <w:tcMar>
              <w:top w:type="dxa" w:w="80"/>
              <w:left w:type="dxa" w:w="100"/>
              <w:bottom w:type="dxa" w:w="80"/>
              <w:right w:type="dxa" w:w="100"/>
            </w:tcMar>
          </w:tcPr>
          <w:p>
            <w:pPr>
              <w:jc w:val="left"/>
            </w:pPr>
            <w:r>
              <w:rPr>
                <w:b w:val="false"/>
                <w:bCs w:val="false"/>
                <w:sz w:val="20"/>
                <w:szCs w:val="20"/>
              </w:rPr>
              <w:t xml:space="preserve">Inline evidence citations in LLM narrative sentences -- closes SRS gap FR-4.4. SHIPPED as a deterministic, code-computed evidence field (real row_ids/date/category/amount per revenue/COGS/OPEX bucket) attached alongside the existing free-text narrative, NOT embedded inline in the LLM's own prose as this row originally described -- see the Master Build List's v2.2 → v2.3 Change Log entry (DIFF-09) for why that literal reading was rejected.</w:t>
            </w:r>
          </w:p>
        </w:tc>
        <w:tc>
          <w:tcPr>
            <w:tcW w:type="dxa" w:w="3400"/>
            <w:tcMar>
              <w:top w:type="dxa" w:w="80"/>
              <w:left w:type="dxa" w:w="100"/>
              <w:bottom w:type="dxa" w:w="80"/>
              <w:right w:type="dxa" w:w="100"/>
            </w:tcMar>
          </w:tcPr>
          <w:p>
            <w:pPr>
              <w:jc w:val="left"/>
            </w:pPr>
            <w:r>
              <w:rPr>
                <w:b w:val="false"/>
                <w:bCs w:val="false"/>
                <w:sz w:val="20"/>
                <w:szCs w:val="20"/>
              </w:rPr>
              <w:t xml:space="preserve">Completes Eivanta's own evidence-trail story; no competitor has this at all</w:t>
            </w:r>
          </w:p>
        </w:tc>
        <w:tc>
          <w:tcPr>
            <w:tcW w:type="dxa" w:w="1500"/>
            <w:tcMar>
              <w:top w:type="dxa" w:w="80"/>
              <w:left w:type="dxa" w:w="100"/>
              <w:bottom w:type="dxa" w:w="80"/>
              <w:right w:type="dxa" w:w="100"/>
            </w:tcMar>
          </w:tcPr>
          <w:p>
            <w:pPr>
              <w:jc w:val="left"/>
            </w:pPr>
            <w:r>
              <w:rPr>
                <w:b w:val="false"/>
                <w:bCs w:val="false"/>
                <w:sz w:val="20"/>
                <w:szCs w:val="20"/>
              </w:rPr>
              <w:t xml:space="preserve">Growth Intelligence</w:t>
            </w:r>
          </w:p>
        </w:tc>
        <w:tc>
          <w:tcPr>
            <w:tcW w:type="dxa" w:w="1440"/>
            <w:tcMar>
              <w:top w:type="dxa" w:w="80"/>
              <w:left w:type="dxa" w:w="100"/>
              <w:bottom w:type="dxa" w:w="80"/>
              <w:right w:type="dxa" w:w="100"/>
            </w:tcMar>
          </w:tcPr>
          <w:p>
            <w:pPr>
              <w:jc w:val="left"/>
            </w:pPr>
            <w:r>
              <w:rPr>
                <w:b w:val="false"/>
                <w:bCs w:val="false"/>
                <w:sz w:val="20"/>
                <w:szCs w:val="20"/>
              </w:rPr>
              <w:t xml:space="preserve">SHIPPED 27 Aug 2026 -- see DIFF-09 in the Master Build List (v2.2 → v2.3 Change Log) for the real implementation and the correction to this row's original scope.</w:t>
            </w:r>
          </w:p>
        </w:tc>
      </w:tr>
      <w:tr>
        <w:tc>
          <w:tcPr>
            <w:tcW w:type="dxa" w:w="900"/>
            <w:tcMar>
              <w:top w:type="dxa" w:w="80"/>
              <w:left w:type="dxa" w:w="100"/>
              <w:bottom w:type="dxa" w:w="80"/>
              <w:right w:type="dxa" w:w="100"/>
            </w:tcMar>
          </w:tcPr>
          <w:p>
            <w:pPr>
              <w:jc w:val="left"/>
            </w:pPr>
            <w:r>
              <w:rPr>
                <w:b w:val="false"/>
                <w:bCs w:val="false"/>
                <w:sz w:val="20"/>
                <w:szCs w:val="20"/>
              </w:rPr>
              <w:t xml:space="preserve">COMP-02</w:t>
            </w:r>
          </w:p>
        </w:tc>
        <w:tc>
          <w:tcPr>
            <w:tcW w:type="dxa" w:w="2600"/>
            <w:tcMar>
              <w:top w:type="dxa" w:w="80"/>
              <w:left w:type="dxa" w:w="100"/>
              <w:bottom w:type="dxa" w:w="80"/>
              <w:right w:type="dxa" w:w="100"/>
            </w:tcMar>
          </w:tcPr>
          <w:p>
            <w:pPr>
              <w:jc w:val="left"/>
            </w:pPr>
            <w:r>
              <w:rPr>
                <w:b w:val="false"/>
                <w:bCs w:val="false"/>
                <w:sz w:val="20"/>
                <w:szCs w:val="20"/>
              </w:rPr>
              <w:t xml:space="preserve">Driver-level variance attribution — name the vendor/department/account behind a metric movement instead of “G&amp;A up 12%”</w:t>
            </w:r>
          </w:p>
        </w:tc>
        <w:tc>
          <w:tcPr>
            <w:tcW w:type="dxa" w:w="3400"/>
            <w:tcMar>
              <w:top w:type="dxa" w:w="80"/>
              <w:left w:type="dxa" w:w="100"/>
              <w:bottom w:type="dxa" w:w="80"/>
              <w:right w:type="dxa" w:w="100"/>
            </w:tcMar>
          </w:tcPr>
          <w:p>
            <w:pPr>
              <w:jc w:val="left"/>
            </w:pPr>
            <w:r>
              <w:rPr>
                <w:b w:val="false"/>
                <w:bCs w:val="false"/>
                <w:sz w:val="20"/>
                <w:szCs w:val="20"/>
              </w:rPr>
              <w:t xml:space="preserve">The exact gap named in 2026 AI-FP&amp;A research as separating real tools from alert-only ones</w:t>
            </w:r>
          </w:p>
        </w:tc>
        <w:tc>
          <w:tcPr>
            <w:tcW w:type="dxa" w:w="1500"/>
            <w:tcMar>
              <w:top w:type="dxa" w:w="80"/>
              <w:left w:type="dxa" w:w="100"/>
              <w:bottom w:type="dxa" w:w="80"/>
              <w:right w:type="dxa" w:w="100"/>
            </w:tcMar>
          </w:tcPr>
          <w:p>
            <w:pPr>
              <w:jc w:val="left"/>
            </w:pPr>
            <w:r>
              <w:rPr>
                <w:b w:val="false"/>
                <w:bCs w:val="false"/>
                <w:sz w:val="20"/>
                <w:szCs w:val="20"/>
              </w:rPr>
              <w:t xml:space="preserve">Growth Intelligence</w:t>
            </w:r>
          </w:p>
        </w:tc>
        <w:tc>
          <w:tcPr>
            <w:tcW w:type="dxa" w:w="1440"/>
            <w:tcMar>
              <w:top w:type="dxa" w:w="80"/>
              <w:left w:type="dxa" w:w="100"/>
              <w:bottom w:type="dxa" w:w="80"/>
              <w:right w:type="dxa" w:w="100"/>
            </w:tcMar>
          </w:tcPr>
          <w:p>
            <w:pPr>
              <w:jc w:val="left"/>
            </w:pPr>
            <w:r>
              <w:rPr>
                <w:b w:val="false"/>
                <w:bCs w:val="false"/>
                <w:sz w:val="20"/>
                <w:szCs w:val="20"/>
              </w:rPr>
              <w:t xml:space="preserve">NOT STARTED</w:t>
            </w:r>
          </w:p>
        </w:tc>
      </w:tr>
      <w:tr>
        <w:tc>
          <w:tcPr>
            <w:tcW w:type="dxa" w:w="900"/>
            <w:tcMar>
              <w:top w:type="dxa" w:w="80"/>
              <w:left w:type="dxa" w:w="100"/>
              <w:bottom w:type="dxa" w:w="80"/>
              <w:right w:type="dxa" w:w="100"/>
            </w:tcMar>
          </w:tcPr>
          <w:p>
            <w:pPr>
              <w:jc w:val="left"/>
            </w:pPr>
            <w:r>
              <w:rPr>
                <w:b w:val="false"/>
                <w:bCs w:val="false"/>
                <w:sz w:val="20"/>
                <w:szCs w:val="20"/>
              </w:rPr>
              <w:t xml:space="preserve">COMP-03</w:t>
            </w:r>
          </w:p>
        </w:tc>
        <w:tc>
          <w:tcPr>
            <w:tcW w:type="dxa" w:w="2600"/>
            <w:tcMar>
              <w:top w:type="dxa" w:w="80"/>
              <w:left w:type="dxa" w:w="100"/>
              <w:bottom w:type="dxa" w:w="80"/>
              <w:right w:type="dxa" w:w="100"/>
            </w:tcMar>
          </w:tcPr>
          <w:p>
            <w:pPr>
              <w:jc w:val="left"/>
            </w:pPr>
            <w:r>
              <w:rPr>
                <w:b w:val="false"/>
                <w:bCs w:val="false"/>
                <w:sz w:val="20"/>
                <w:szCs w:val="20"/>
              </w:rPr>
              <w:t xml:space="preserve">Real what-if simulator on runway/cashflow (price change, new hire, churned account) -- POST /api/v1/predictive/scenario, live UI card on the Analytics tab</w:t>
            </w:r>
          </w:p>
        </w:tc>
        <w:tc>
          <w:tcPr>
            <w:tcW w:type="dxa" w:w="3400"/>
            <w:tcMar>
              <w:top w:type="dxa" w:w="80"/>
              <w:left w:type="dxa" w:w="100"/>
              <w:bottom w:type="dxa" w:w="80"/>
              <w:right w:type="dxa" w:w="100"/>
            </w:tcMar>
          </w:tcPr>
          <w:p>
            <w:pPr>
              <w:jc w:val="left"/>
            </w:pPr>
            <w:r>
              <w:rPr>
                <w:b w:val="false"/>
                <w:bCs w:val="false"/>
                <w:sz w:val="20"/>
                <w:szCs w:val="20"/>
              </w:rPr>
              <w:t xml:space="preserve">A feature normally reserved for the tier above Fathom/Jirav/Zeni (Cube, Pigment, Mosaic). CORRECTED 26 Aug 2026: this row previously claimed the underlying code was “already half-built and unwired” -- on direct inspection that was wrong, scenario_modeler.py was a 15-line hardcoded stub returning fixed fake output for every input, not partially-built real logic. It has since been rebuilt for real, from scratch, not wired up.</w:t>
            </w:r>
          </w:p>
        </w:tc>
        <w:tc>
          <w:tcPr>
            <w:tcW w:type="dxa" w:w="1500"/>
            <w:tcMar>
              <w:top w:type="dxa" w:w="80"/>
              <w:left w:type="dxa" w:w="100"/>
              <w:bottom w:type="dxa" w:w="80"/>
              <w:right w:type="dxa" w:w="100"/>
            </w:tcMar>
          </w:tcPr>
          <w:p>
            <w:pPr>
              <w:jc w:val="left"/>
            </w:pPr>
            <w:r>
              <w:rPr>
                <w:b w:val="false"/>
                <w:bCs w:val="false"/>
                <w:sz w:val="20"/>
                <w:szCs w:val="20"/>
              </w:rPr>
              <w:t xml:space="preserve">Enterprise Governance (initial), Growth Intelligence (later)</w:t>
            </w:r>
          </w:p>
        </w:tc>
        <w:tc>
          <w:tcPr>
            <w:tcW w:type="dxa" w:w="1440"/>
            <w:tcMar>
              <w:top w:type="dxa" w:w="80"/>
              <w:left w:type="dxa" w:w="100"/>
              <w:bottom w:type="dxa" w:w="80"/>
              <w:right w:type="dxa" w:w="100"/>
            </w:tcMar>
          </w:tcPr>
          <w:p>
            <w:pPr>
              <w:jc w:val="left"/>
            </w:pPr>
            <w:r>
              <w:rPr>
                <w:b w:val="false"/>
                <w:bCs w:val="false"/>
                <w:sz w:val="20"/>
                <w:szCs w:val="20"/>
              </w:rPr>
              <w:t xml:space="preserve">SHIPPED 26 Aug 2026, INDUCTED 27 Aug 2026 as Agent #14 (founder decision) -- real endpoint + tests + UI card, now a named specialist in agent_registry.py and AgentDirectory.tsx. Operating model is 14 agents, up from 13.</w:t>
            </w:r>
          </w:p>
        </w:tc>
      </w:tr>
      <w:tr>
        <w:tc>
          <w:tcPr>
            <w:tcW w:type="dxa" w:w="900"/>
            <w:tcMar>
              <w:top w:type="dxa" w:w="80"/>
              <w:left w:type="dxa" w:w="100"/>
              <w:bottom w:type="dxa" w:w="80"/>
              <w:right w:type="dxa" w:w="100"/>
            </w:tcMar>
          </w:tcPr>
          <w:p>
            <w:pPr>
              <w:jc w:val="left"/>
            </w:pPr>
            <w:r>
              <w:rPr>
                <w:b w:val="false"/>
                <w:bCs w:val="false"/>
                <w:sz w:val="20"/>
                <w:szCs w:val="20"/>
              </w:rPr>
              <w:t xml:space="preserve">COMP-04</w:t>
            </w:r>
          </w:p>
        </w:tc>
        <w:tc>
          <w:tcPr>
            <w:tcW w:type="dxa" w:w="2600"/>
            <w:tcMar>
              <w:top w:type="dxa" w:w="80"/>
              <w:left w:type="dxa" w:w="100"/>
              <w:bottom w:type="dxa" w:w="80"/>
              <w:right w:type="dxa" w:w="100"/>
            </w:tcMar>
          </w:tcPr>
          <w:p>
            <w:pPr>
              <w:jc w:val="left"/>
            </w:pPr>
            <w:r>
              <w:rPr>
                <w:b w:val="false"/>
                <w:bCs w:val="false"/>
                <w:sz w:val="20"/>
                <w:szCs w:val="20"/>
              </w:rPr>
              <w:t xml:space="preserve">Proactive anomaly alerts pushed to email/Slack, built on COMP-02's attribution logic, instead of requiring a login to notice a problem</w:t>
            </w:r>
          </w:p>
        </w:tc>
        <w:tc>
          <w:tcPr>
            <w:tcW w:type="dxa" w:w="3400"/>
            <w:tcMar>
              <w:top w:type="dxa" w:w="80"/>
              <w:left w:type="dxa" w:w="100"/>
              <w:bottom w:type="dxa" w:w="80"/>
              <w:right w:type="dxa" w:w="100"/>
            </w:tcMar>
          </w:tcPr>
          <w:p>
            <w:pPr>
              <w:jc w:val="left"/>
            </w:pPr>
            <w:r>
              <w:rPr>
                <w:b w:val="false"/>
                <w:bCs w:val="false"/>
                <w:sz w:val="20"/>
                <w:szCs w:val="20"/>
              </w:rPr>
              <w:t xml:space="preserve">Every competitor here is pull-based/dashboard-only; push-based monitoring is the current AI-native FP&amp;A trend</w:t>
            </w:r>
          </w:p>
        </w:tc>
        <w:tc>
          <w:tcPr>
            <w:tcW w:type="dxa" w:w="1500"/>
            <w:tcMar>
              <w:top w:type="dxa" w:w="80"/>
              <w:left w:type="dxa" w:w="100"/>
              <w:bottom w:type="dxa" w:w="80"/>
              <w:right w:type="dxa" w:w="100"/>
            </w:tcMar>
          </w:tcPr>
          <w:p>
            <w:pPr>
              <w:jc w:val="left"/>
            </w:pPr>
            <w:r>
              <w:rPr>
                <w:b w:val="false"/>
                <w:bCs w:val="false"/>
                <w:sz w:val="20"/>
                <w:szCs w:val="20"/>
              </w:rPr>
              <w:t xml:space="preserve">Growth Intelligence</w:t>
            </w:r>
          </w:p>
        </w:tc>
        <w:tc>
          <w:tcPr>
            <w:tcW w:type="dxa" w:w="1440"/>
            <w:tcMar>
              <w:top w:type="dxa" w:w="80"/>
              <w:left w:type="dxa" w:w="100"/>
              <w:bottom w:type="dxa" w:w="80"/>
              <w:right w:type="dxa" w:w="100"/>
            </w:tcMar>
          </w:tcPr>
          <w:p>
            <w:pPr>
              <w:jc w:val="left"/>
            </w:pPr>
            <w:r>
              <w:rPr>
                <w:b w:val="false"/>
                <w:bCs w:val="false"/>
                <w:sz w:val="20"/>
                <w:szCs w:val="20"/>
              </w:rPr>
              <w:t xml:space="preserve">NOT STARTED</w:t>
            </w:r>
          </w:p>
        </w:tc>
      </w:tr>
      <w:tr>
        <w:tc>
          <w:tcPr>
            <w:tcW w:type="dxa" w:w="900"/>
            <w:tcMar>
              <w:top w:type="dxa" w:w="80"/>
              <w:left w:type="dxa" w:w="100"/>
              <w:bottom w:type="dxa" w:w="80"/>
              <w:right w:type="dxa" w:w="100"/>
            </w:tcMar>
          </w:tcPr>
          <w:p>
            <w:pPr>
              <w:jc w:val="left"/>
            </w:pPr>
            <w:r>
              <w:rPr>
                <w:b w:val="false"/>
                <w:bCs w:val="false"/>
                <w:sz w:val="20"/>
                <w:szCs w:val="20"/>
              </w:rPr>
              <w:t xml:space="preserve">COMP-05</w:t>
            </w:r>
          </w:p>
        </w:tc>
        <w:tc>
          <w:tcPr>
            <w:tcW w:type="dxa" w:w="2600"/>
            <w:tcMar>
              <w:top w:type="dxa" w:w="80"/>
              <w:left w:type="dxa" w:w="100"/>
              <w:bottom w:type="dxa" w:w="80"/>
              <w:right w:type="dxa" w:w="100"/>
            </w:tcMar>
          </w:tcPr>
          <w:p>
            <w:pPr>
              <w:jc w:val="left"/>
            </w:pPr>
            <w:r>
              <w:rPr>
                <w:b w:val="false"/>
                <w:bCs w:val="false"/>
                <w:sz w:val="20"/>
                <w:szCs w:val="20"/>
              </w:rPr>
              <w:t xml:space="preserve">Native Stripe connector (revenue/subscription data, no CSV export step)</w:t>
            </w:r>
          </w:p>
        </w:tc>
        <w:tc>
          <w:tcPr>
            <w:tcW w:type="dxa" w:w="3400"/>
            <w:tcMar>
              <w:top w:type="dxa" w:w="80"/>
              <w:left w:type="dxa" w:w="100"/>
              <w:bottom w:type="dxa" w:w="80"/>
              <w:right w:type="dxa" w:w="100"/>
            </w:tcMar>
          </w:tcPr>
          <w:p>
            <w:pPr>
              <w:jc w:val="left"/>
            </w:pPr>
            <w:r>
              <w:rPr>
                <w:b w:val="false"/>
                <w:bCs w:val="false"/>
                <w:sz w:val="20"/>
                <w:szCs w:val="20"/>
              </w:rPr>
              <w:t xml:space="preserve">Fathom's #1 named complaint: only Xero/QuickBooks/MYOB, everything else is a manual import</w:t>
            </w:r>
          </w:p>
        </w:tc>
        <w:tc>
          <w:tcPr>
            <w:tcW w:type="dxa" w:w="1500"/>
            <w:tcMar>
              <w:top w:type="dxa" w:w="80"/>
              <w:left w:type="dxa" w:w="100"/>
              <w:bottom w:type="dxa" w:w="80"/>
              <w:right w:type="dxa" w:w="100"/>
            </w:tcMar>
          </w:tcPr>
          <w:p>
            <w:pPr>
              <w:jc w:val="left"/>
            </w:pPr>
            <w:r>
              <w:rPr>
                <w:b w:val="false"/>
                <w:bCs w:val="false"/>
                <w:sz w:val="20"/>
                <w:szCs w:val="20"/>
              </w:rPr>
              <w:t xml:space="preserve">Core Operations</w:t>
            </w:r>
          </w:p>
        </w:tc>
        <w:tc>
          <w:tcPr>
            <w:tcW w:type="dxa" w:w="1440"/>
            <w:tcMar>
              <w:top w:type="dxa" w:w="80"/>
              <w:left w:type="dxa" w:w="100"/>
              <w:bottom w:type="dxa" w:w="80"/>
              <w:right w:type="dxa" w:w="100"/>
            </w:tcMar>
          </w:tcPr>
          <w:p>
            <w:pPr>
              <w:jc w:val="left"/>
            </w:pPr>
            <w:r>
              <w:rPr>
                <w:b w:val="false"/>
                <w:bCs w:val="false"/>
                <w:sz w:val="20"/>
                <w:szCs w:val="20"/>
              </w:rPr>
              <w:t xml:space="preserve">NOT STARTED</w:t>
            </w:r>
          </w:p>
        </w:tc>
      </w:tr>
      <w:tr>
        <w:tc>
          <w:tcPr>
            <w:tcW w:type="dxa" w:w="900"/>
            <w:tcMar>
              <w:top w:type="dxa" w:w="80"/>
              <w:left w:type="dxa" w:w="100"/>
              <w:bottom w:type="dxa" w:w="80"/>
              <w:right w:type="dxa" w:w="100"/>
            </w:tcMar>
          </w:tcPr>
          <w:p>
            <w:pPr>
              <w:jc w:val="left"/>
            </w:pPr>
            <w:r>
              <w:rPr>
                <w:b w:val="false"/>
                <w:bCs w:val="false"/>
                <w:sz w:val="20"/>
                <w:szCs w:val="20"/>
              </w:rPr>
              <w:t xml:space="preserve">COMP-06</w:t>
            </w:r>
          </w:p>
        </w:tc>
        <w:tc>
          <w:tcPr>
            <w:tcW w:type="dxa" w:w="2600"/>
            <w:tcMar>
              <w:top w:type="dxa" w:w="80"/>
              <w:left w:type="dxa" w:w="100"/>
              <w:bottom w:type="dxa" w:w="80"/>
              <w:right w:type="dxa" w:w="100"/>
            </w:tcMar>
          </w:tcPr>
          <w:p>
            <w:pPr>
              <w:jc w:val="left"/>
            </w:pPr>
            <w:r>
              <w:rPr>
                <w:b w:val="false"/>
                <w:bCs w:val="false"/>
                <w:sz w:val="20"/>
                <w:szCs w:val="20"/>
              </w:rPr>
              <w:t xml:space="preserve">Native Shopify connector (e-commerce revenue/order data)</w:t>
            </w:r>
          </w:p>
        </w:tc>
        <w:tc>
          <w:tcPr>
            <w:tcW w:type="dxa" w:w="3400"/>
            <w:tcMar>
              <w:top w:type="dxa" w:w="80"/>
              <w:left w:type="dxa" w:w="100"/>
              <w:bottom w:type="dxa" w:w="80"/>
              <w:right w:type="dxa" w:w="100"/>
            </w:tcMar>
          </w:tcPr>
          <w:p>
            <w:pPr>
              <w:jc w:val="left"/>
            </w:pPr>
            <w:r>
              <w:rPr>
                <w:b w:val="false"/>
                <w:bCs w:val="false"/>
                <w:sz w:val="20"/>
                <w:szCs w:val="20"/>
              </w:rPr>
              <w:t xml:space="preserve">Same integration-ceiling gap as COMP-05</w:t>
            </w:r>
          </w:p>
        </w:tc>
        <w:tc>
          <w:tcPr>
            <w:tcW w:type="dxa" w:w="1500"/>
            <w:tcMar>
              <w:top w:type="dxa" w:w="80"/>
              <w:left w:type="dxa" w:w="100"/>
              <w:bottom w:type="dxa" w:w="80"/>
              <w:right w:type="dxa" w:w="100"/>
            </w:tcMar>
          </w:tcPr>
          <w:p>
            <w:pPr>
              <w:jc w:val="left"/>
            </w:pPr>
            <w:r>
              <w:rPr>
                <w:b w:val="false"/>
                <w:bCs w:val="false"/>
                <w:sz w:val="20"/>
                <w:szCs w:val="20"/>
              </w:rPr>
              <w:t xml:space="preserve">Core Operations</w:t>
            </w:r>
          </w:p>
        </w:tc>
        <w:tc>
          <w:tcPr>
            <w:tcW w:type="dxa" w:w="1440"/>
            <w:tcMar>
              <w:top w:type="dxa" w:w="80"/>
              <w:left w:type="dxa" w:w="100"/>
              <w:bottom w:type="dxa" w:w="80"/>
              <w:right w:type="dxa" w:w="100"/>
            </w:tcMar>
          </w:tcPr>
          <w:p>
            <w:pPr>
              <w:jc w:val="left"/>
            </w:pPr>
            <w:r>
              <w:rPr>
                <w:b w:val="false"/>
                <w:bCs w:val="false"/>
                <w:sz w:val="20"/>
                <w:szCs w:val="20"/>
              </w:rPr>
              <w:t xml:space="preserve">NOT STARTED</w:t>
            </w:r>
          </w:p>
        </w:tc>
      </w:tr>
      <w:tr>
        <w:tc>
          <w:tcPr>
            <w:tcW w:type="dxa" w:w="900"/>
            <w:tcMar>
              <w:top w:type="dxa" w:w="80"/>
              <w:left w:type="dxa" w:w="100"/>
              <w:bottom w:type="dxa" w:w="80"/>
              <w:right w:type="dxa" w:w="100"/>
            </w:tcMar>
          </w:tcPr>
          <w:p>
            <w:pPr>
              <w:jc w:val="left"/>
            </w:pPr>
            <w:r>
              <w:rPr>
                <w:b w:val="false"/>
                <w:bCs w:val="false"/>
                <w:sz w:val="20"/>
                <w:szCs w:val="20"/>
              </w:rPr>
              <w:t xml:space="preserve">COMP-07</w:t>
            </w:r>
          </w:p>
        </w:tc>
        <w:tc>
          <w:tcPr>
            <w:tcW w:type="dxa" w:w="2600"/>
            <w:tcMar>
              <w:top w:type="dxa" w:w="80"/>
              <w:left w:type="dxa" w:w="100"/>
              <w:bottom w:type="dxa" w:w="80"/>
              <w:right w:type="dxa" w:w="100"/>
            </w:tcMar>
          </w:tcPr>
          <w:p>
            <w:pPr>
              <w:jc w:val="left"/>
            </w:pPr>
            <w:r>
              <w:rPr>
                <w:b w:val="false"/>
                <w:bCs w:val="false"/>
                <w:sz w:val="20"/>
                <w:szCs w:val="20"/>
              </w:rPr>
              <w:t xml:space="preserve">Native CRM connector (HubSpot or Salesforce) so pipeline/CRM data blends into KPIs alongside financials</w:t>
            </w:r>
          </w:p>
        </w:tc>
        <w:tc>
          <w:tcPr>
            <w:tcW w:type="dxa" w:w="3400"/>
            <w:tcMar>
              <w:top w:type="dxa" w:w="80"/>
              <w:left w:type="dxa" w:w="100"/>
              <w:bottom w:type="dxa" w:w="80"/>
              <w:right w:type="dxa" w:w="100"/>
            </w:tcMar>
          </w:tcPr>
          <w:p>
            <w:pPr>
              <w:jc w:val="left"/>
            </w:pPr>
            <w:r>
              <w:rPr>
                <w:b w:val="false"/>
                <w:bCs w:val="false"/>
                <w:sz w:val="20"/>
                <w:szCs w:val="20"/>
              </w:rPr>
              <w:t xml:space="preserve">Fathom explicitly cannot blend non-financial data into its KPI view — named reviewer complaint</w:t>
            </w:r>
          </w:p>
        </w:tc>
        <w:tc>
          <w:tcPr>
            <w:tcW w:type="dxa" w:w="1500"/>
            <w:tcMar>
              <w:top w:type="dxa" w:w="80"/>
              <w:left w:type="dxa" w:w="100"/>
              <w:bottom w:type="dxa" w:w="80"/>
              <w:right w:type="dxa" w:w="100"/>
            </w:tcMar>
          </w:tcPr>
          <w:p>
            <w:pPr>
              <w:jc w:val="left"/>
            </w:pPr>
            <w:r>
              <w:rPr>
                <w:b w:val="false"/>
                <w:bCs w:val="false"/>
                <w:sz w:val="20"/>
                <w:szCs w:val="20"/>
              </w:rPr>
              <w:t xml:space="preserve">Growth Intelligence</w:t>
            </w:r>
          </w:p>
        </w:tc>
        <w:tc>
          <w:tcPr>
            <w:tcW w:type="dxa" w:w="1440"/>
            <w:tcMar>
              <w:top w:type="dxa" w:w="80"/>
              <w:left w:type="dxa" w:w="100"/>
              <w:bottom w:type="dxa" w:w="80"/>
              <w:right w:type="dxa" w:w="100"/>
            </w:tcMar>
          </w:tcPr>
          <w:p>
            <w:pPr>
              <w:jc w:val="left"/>
            </w:pPr>
            <w:r>
              <w:rPr>
                <w:b w:val="false"/>
                <w:bCs w:val="false"/>
                <w:sz w:val="20"/>
                <w:szCs w:val="20"/>
              </w:rPr>
              <w:t xml:space="preserve">NOT STARTED</w:t>
            </w:r>
          </w:p>
        </w:tc>
      </w:tr>
      <w:tr>
        <w:tc>
          <w:tcPr>
            <w:tcW w:type="dxa" w:w="900"/>
            <w:tcMar>
              <w:top w:type="dxa" w:w="80"/>
              <w:left w:type="dxa" w:w="100"/>
              <w:bottom w:type="dxa" w:w="80"/>
              <w:right w:type="dxa" w:w="100"/>
            </w:tcMar>
          </w:tcPr>
          <w:p>
            <w:pPr>
              <w:jc w:val="left"/>
            </w:pPr>
            <w:r>
              <w:rPr>
                <w:b w:val="false"/>
                <w:bCs w:val="false"/>
                <w:sz w:val="20"/>
                <w:szCs w:val="20"/>
              </w:rPr>
              <w:t xml:space="preserve">COMP-08</w:t>
            </w:r>
          </w:p>
        </w:tc>
        <w:tc>
          <w:tcPr>
            <w:tcW w:type="dxa" w:w="2600"/>
            <w:tcMar>
              <w:top w:type="dxa" w:w="80"/>
              <w:left w:type="dxa" w:w="100"/>
              <w:bottom w:type="dxa" w:w="80"/>
              <w:right w:type="dxa" w:w="100"/>
            </w:tcMar>
          </w:tcPr>
          <w:p>
            <w:pPr>
              <w:jc w:val="left"/>
            </w:pPr>
            <w:r>
              <w:rPr>
                <w:b w:val="false"/>
                <w:bCs w:val="false"/>
                <w:sz w:val="20"/>
                <w:szCs w:val="20"/>
              </w:rPr>
              <w:t xml:space="preserve">Native payroll connector (Gusto or Rippling) feeding headcount cost directly into burn/runway</w:t>
            </w:r>
          </w:p>
        </w:tc>
        <w:tc>
          <w:tcPr>
            <w:tcW w:type="dxa" w:w="3400"/>
            <w:tcMar>
              <w:top w:type="dxa" w:w="80"/>
              <w:left w:type="dxa" w:w="100"/>
              <w:bottom w:type="dxa" w:w="80"/>
              <w:right w:type="dxa" w:w="100"/>
            </w:tcMar>
          </w:tcPr>
          <w:p>
            <w:pPr>
              <w:jc w:val="left"/>
            </w:pPr>
            <w:r>
              <w:rPr>
                <w:b w:val="false"/>
                <w:bCs w:val="false"/>
                <w:sz w:val="20"/>
                <w:szCs w:val="20"/>
              </w:rPr>
              <w:t xml:space="preserve">Removes a manual data-entry step none of the three fully solve</w:t>
            </w:r>
          </w:p>
        </w:tc>
        <w:tc>
          <w:tcPr>
            <w:tcW w:type="dxa" w:w="1500"/>
            <w:tcMar>
              <w:top w:type="dxa" w:w="80"/>
              <w:left w:type="dxa" w:w="100"/>
              <w:bottom w:type="dxa" w:w="80"/>
              <w:right w:type="dxa" w:w="100"/>
            </w:tcMar>
          </w:tcPr>
          <w:p>
            <w:pPr>
              <w:jc w:val="left"/>
            </w:pPr>
            <w:r>
              <w:rPr>
                <w:b w:val="false"/>
                <w:bCs w:val="false"/>
                <w:sz w:val="20"/>
                <w:szCs w:val="20"/>
              </w:rPr>
              <w:t xml:space="preserve">Growth Intelligence</w:t>
            </w:r>
          </w:p>
        </w:tc>
        <w:tc>
          <w:tcPr>
            <w:tcW w:type="dxa" w:w="1440"/>
            <w:tcMar>
              <w:top w:type="dxa" w:w="80"/>
              <w:left w:type="dxa" w:w="100"/>
              <w:bottom w:type="dxa" w:w="80"/>
              <w:right w:type="dxa" w:w="100"/>
            </w:tcMar>
          </w:tcPr>
          <w:p>
            <w:pPr>
              <w:jc w:val="left"/>
            </w:pPr>
            <w:r>
              <w:rPr>
                <w:b w:val="false"/>
                <w:bCs w:val="false"/>
                <w:sz w:val="20"/>
                <w:szCs w:val="20"/>
              </w:rPr>
              <w:t xml:space="preserve">NOT STARTED</w:t>
            </w:r>
          </w:p>
        </w:tc>
      </w:tr>
      <w:tr>
        <w:tc>
          <w:tcPr>
            <w:tcW w:type="dxa" w:w="900"/>
            <w:tcMar>
              <w:top w:type="dxa" w:w="80"/>
              <w:left w:type="dxa" w:w="100"/>
              <w:bottom w:type="dxa" w:w="80"/>
              <w:right w:type="dxa" w:w="100"/>
            </w:tcMar>
          </w:tcPr>
          <w:p>
            <w:pPr>
              <w:jc w:val="left"/>
            </w:pPr>
            <w:r>
              <w:rPr>
                <w:b w:val="false"/>
                <w:bCs w:val="false"/>
                <w:sz w:val="20"/>
                <w:szCs w:val="20"/>
              </w:rPr>
              <w:t xml:space="preserve">COMP-09</w:t>
            </w:r>
          </w:p>
        </w:tc>
        <w:tc>
          <w:tcPr>
            <w:tcW w:type="dxa" w:w="2600"/>
            <w:tcMar>
              <w:top w:type="dxa" w:w="80"/>
              <w:left w:type="dxa" w:w="100"/>
              <w:bottom w:type="dxa" w:w="80"/>
              <w:right w:type="dxa" w:w="100"/>
            </w:tcMar>
          </w:tcPr>
          <w:p>
            <w:pPr>
              <w:jc w:val="left"/>
            </w:pPr>
            <w:r>
              <w:rPr>
                <w:b w:val="false"/>
                <w:bCs w:val="false"/>
                <w:sz w:val="20"/>
                <w:szCs w:val="20"/>
              </w:rPr>
              <w:t xml:space="preserve">Multi-tenant “portfolio view” — one accountant/bookkeeper login sees many client tenants at once, reusing existing multi-tenant DuckDB + RBAC roles</w:t>
            </w:r>
          </w:p>
        </w:tc>
        <w:tc>
          <w:tcPr>
            <w:tcW w:type="dxa" w:w="3400"/>
            <w:tcMar>
              <w:top w:type="dxa" w:w="80"/>
              <w:left w:type="dxa" w:w="100"/>
              <w:bottom w:type="dxa" w:w="80"/>
              <w:right w:type="dxa" w:w="100"/>
            </w:tcMar>
          </w:tcPr>
          <w:p>
            <w:pPr>
              <w:jc w:val="left"/>
            </w:pPr>
            <w:r>
              <w:rPr>
                <w:b w:val="false"/>
                <w:bCs w:val="false"/>
                <w:sz w:val="20"/>
                <w:szCs w:val="20"/>
              </w:rPr>
              <w:t xml:space="preserve">Directly targets Fathom's accounting-firm reseller channel (its dedicated “Portfolio” plan exists solely for this); no analog planned elsewhere in Eivanta today</w:t>
            </w:r>
          </w:p>
        </w:tc>
        <w:tc>
          <w:tcPr>
            <w:tcW w:type="dxa" w:w="1500"/>
            <w:tcMar>
              <w:top w:type="dxa" w:w="80"/>
              <w:left w:type="dxa" w:w="100"/>
              <w:bottom w:type="dxa" w:w="80"/>
              <w:right w:type="dxa" w:w="100"/>
            </w:tcMar>
          </w:tcPr>
          <w:p>
            <w:pPr>
              <w:jc w:val="left"/>
            </w:pPr>
            <w:r>
              <w:rPr>
                <w:b w:val="false"/>
                <w:bCs w:val="false"/>
                <w:sz w:val="20"/>
                <w:szCs w:val="20"/>
              </w:rPr>
              <w:t xml:space="preserve">New tier / add-on</w:t>
            </w:r>
          </w:p>
        </w:tc>
        <w:tc>
          <w:tcPr>
            <w:tcW w:type="dxa" w:w="1440"/>
            <w:tcMar>
              <w:top w:type="dxa" w:w="80"/>
              <w:left w:type="dxa" w:w="100"/>
              <w:bottom w:type="dxa" w:w="80"/>
              <w:right w:type="dxa" w:w="100"/>
            </w:tcMar>
          </w:tcPr>
          <w:p>
            <w:pPr>
              <w:jc w:val="left"/>
            </w:pPr>
            <w:r>
              <w:rPr>
                <w:b w:val="false"/>
                <w:bCs w:val="false"/>
                <w:sz w:val="20"/>
                <w:szCs w:val="20"/>
              </w:rPr>
              <w:t xml:space="preserve">NOT STARTED</w:t>
            </w:r>
          </w:p>
        </w:tc>
      </w:tr>
      <w:tr>
        <w:tc>
          <w:tcPr>
            <w:tcW w:type="dxa" w:w="900"/>
            <w:tcMar>
              <w:top w:type="dxa" w:w="80"/>
              <w:left w:type="dxa" w:w="100"/>
              <w:bottom w:type="dxa" w:w="80"/>
              <w:right w:type="dxa" w:w="100"/>
            </w:tcMar>
          </w:tcPr>
          <w:p>
            <w:pPr>
              <w:jc w:val="left"/>
            </w:pPr>
            <w:r>
              <w:rPr>
                <w:b w:val="false"/>
                <w:bCs w:val="false"/>
                <w:sz w:val="20"/>
                <w:szCs w:val="20"/>
              </w:rPr>
              <w:t xml:space="preserve">COMP-10</w:t>
            </w:r>
          </w:p>
        </w:tc>
        <w:tc>
          <w:tcPr>
            <w:tcW w:type="dxa" w:w="2600"/>
            <w:tcMar>
              <w:top w:type="dxa" w:w="80"/>
              <w:left w:type="dxa" w:w="100"/>
              <w:bottom w:type="dxa" w:w="80"/>
              <w:right w:type="dxa" w:w="100"/>
            </w:tcMar>
          </w:tcPr>
          <w:p>
            <w:pPr>
              <w:jc w:val="left"/>
            </w:pPr>
            <w:r>
              <w:rPr>
                <w:b w:val="false"/>
                <w:bCs w:val="false"/>
                <w:sz w:val="20"/>
                <w:szCs w:val="20"/>
              </w:rPr>
              <w:t xml:space="preserve">Multi-language ingestion — non-English CSV headers, dates, and currency formats detected and normalized</w:t>
            </w:r>
          </w:p>
        </w:tc>
        <w:tc>
          <w:tcPr>
            <w:tcW w:type="dxa" w:w="3400"/>
            <w:tcMar>
              <w:top w:type="dxa" w:w="80"/>
              <w:left w:type="dxa" w:w="100"/>
              <w:bottom w:type="dxa" w:w="80"/>
              <w:right w:type="dxa" w:w="100"/>
            </w:tcMar>
          </w:tcPr>
          <w:p>
            <w:pPr>
              <w:jc w:val="left"/>
            </w:pPr>
            <w:r>
              <w:rPr>
                <w:b w:val="false"/>
                <w:bCs w:val="false"/>
                <w:sz w:val="20"/>
                <w:szCs w:val="20"/>
              </w:rPr>
              <w:t xml:space="preserve">Named Zeni gap: English-only document processing</w:t>
            </w:r>
          </w:p>
        </w:tc>
        <w:tc>
          <w:tcPr>
            <w:tcW w:type="dxa" w:w="1500"/>
            <w:tcMar>
              <w:top w:type="dxa" w:w="80"/>
              <w:left w:type="dxa" w:w="100"/>
              <w:bottom w:type="dxa" w:w="80"/>
              <w:right w:type="dxa" w:w="100"/>
            </w:tcMar>
          </w:tcPr>
          <w:p>
            <w:pPr>
              <w:jc w:val="left"/>
            </w:pPr>
            <w:r>
              <w:rPr>
                <w:b w:val="false"/>
                <w:bCs w:val="false"/>
                <w:sz w:val="20"/>
                <w:szCs w:val="20"/>
              </w:rPr>
              <w:t xml:space="preserve">Core Operations</w:t>
            </w:r>
          </w:p>
        </w:tc>
        <w:tc>
          <w:tcPr>
            <w:tcW w:type="dxa" w:w="1440"/>
            <w:tcMar>
              <w:top w:type="dxa" w:w="80"/>
              <w:left w:type="dxa" w:w="100"/>
              <w:bottom w:type="dxa" w:w="80"/>
              <w:right w:type="dxa" w:w="100"/>
            </w:tcMar>
          </w:tcPr>
          <w:p>
            <w:pPr>
              <w:jc w:val="left"/>
            </w:pPr>
            <w:r>
              <w:rPr>
                <w:b w:val="false"/>
                <w:bCs w:val="false"/>
                <w:sz w:val="20"/>
                <w:szCs w:val="20"/>
              </w:rPr>
              <w:t xml:space="preserve">NOT STARTED</w:t>
            </w:r>
          </w:p>
        </w:tc>
      </w:tr>
      <w:tr>
        <w:tc>
          <w:tcPr>
            <w:tcW w:type="dxa" w:w="900"/>
            <w:tcMar>
              <w:top w:type="dxa" w:w="80"/>
              <w:left w:type="dxa" w:w="100"/>
              <w:bottom w:type="dxa" w:w="80"/>
              <w:right w:type="dxa" w:w="100"/>
            </w:tcMar>
          </w:tcPr>
          <w:p>
            <w:pPr>
              <w:jc w:val="left"/>
            </w:pPr>
            <w:r>
              <w:rPr>
                <w:b w:val="false"/>
                <w:bCs w:val="false"/>
                <w:sz w:val="20"/>
                <w:szCs w:val="20"/>
              </w:rPr>
              <w:t xml:space="preserve">COMP-11</w:t>
            </w:r>
          </w:p>
        </w:tc>
        <w:tc>
          <w:tcPr>
            <w:tcW w:type="dxa" w:w="2600"/>
            <w:tcMar>
              <w:top w:type="dxa" w:w="80"/>
              <w:left w:type="dxa" w:w="100"/>
              <w:bottom w:type="dxa" w:w="80"/>
              <w:right w:type="dxa" w:w="100"/>
            </w:tcMar>
          </w:tcPr>
          <w:p>
            <w:pPr>
              <w:jc w:val="left"/>
            </w:pPr>
            <w:r>
              <w:rPr>
                <w:b w:val="false"/>
                <w:bCs w:val="false"/>
                <w:sz w:val="20"/>
                <w:szCs w:val="20"/>
              </w:rPr>
              <w:t xml:space="preserve">Lightweight headcount-driven runway module inside Virtual CFO (real burn/runway sensitivity to headcount changes, not a full HRIS)</w:t>
            </w:r>
          </w:p>
        </w:tc>
        <w:tc>
          <w:tcPr>
            <w:tcW w:type="dxa" w:w="3400"/>
            <w:tcMar>
              <w:top w:type="dxa" w:w="80"/>
              <w:left w:type="dxa" w:w="100"/>
              <w:bottom w:type="dxa" w:w="80"/>
              <w:right w:type="dxa" w:w="100"/>
            </w:tcMar>
          </w:tcPr>
          <w:p>
            <w:pPr>
              <w:jc w:val="left"/>
            </w:pPr>
            <w:r>
              <w:rPr>
                <w:b w:val="false"/>
                <w:bCs w:val="false"/>
                <w:sz w:val="20"/>
                <w:szCs w:val="20"/>
              </w:rPr>
              <w:t xml:space="preserve">Named Jirav gap: no workforce/headcount planning depth</w:t>
            </w:r>
          </w:p>
        </w:tc>
        <w:tc>
          <w:tcPr>
            <w:tcW w:type="dxa" w:w="1500"/>
            <w:tcMar>
              <w:top w:type="dxa" w:w="80"/>
              <w:left w:type="dxa" w:w="100"/>
              <w:bottom w:type="dxa" w:w="80"/>
              <w:right w:type="dxa" w:w="100"/>
            </w:tcMar>
          </w:tcPr>
          <w:p>
            <w:pPr>
              <w:jc w:val="left"/>
            </w:pPr>
            <w:r>
              <w:rPr>
                <w:b w:val="false"/>
                <w:bCs w:val="false"/>
                <w:sz w:val="20"/>
                <w:szCs w:val="20"/>
              </w:rPr>
              <w:t xml:space="preserve">Growth Intelligence</w:t>
            </w:r>
          </w:p>
        </w:tc>
        <w:tc>
          <w:tcPr>
            <w:tcW w:type="dxa" w:w="1440"/>
            <w:tcMar>
              <w:top w:type="dxa" w:w="80"/>
              <w:left w:type="dxa" w:w="100"/>
              <w:bottom w:type="dxa" w:w="80"/>
              <w:right w:type="dxa" w:w="100"/>
            </w:tcMar>
          </w:tcPr>
          <w:p>
            <w:pPr>
              <w:jc w:val="left"/>
            </w:pPr>
            <w:r>
              <w:rPr>
                <w:b w:val="false"/>
                <w:bCs w:val="false"/>
                <w:sz w:val="20"/>
                <w:szCs w:val="20"/>
              </w:rPr>
              <w:t xml:space="preserve">NOT STARTED</w:t>
            </w:r>
          </w:p>
        </w:tc>
      </w:tr>
      <w:tr>
        <w:tc>
          <w:tcPr>
            <w:tcW w:type="dxa" w:w="900"/>
            <w:tcMar>
              <w:top w:type="dxa" w:w="80"/>
              <w:left w:type="dxa" w:w="100"/>
              <w:bottom w:type="dxa" w:w="80"/>
              <w:right w:type="dxa" w:w="100"/>
            </w:tcMar>
          </w:tcPr>
          <w:p>
            <w:pPr>
              <w:jc w:val="left"/>
            </w:pPr>
            <w:r>
              <w:rPr>
                <w:b w:val="false"/>
                <w:bCs w:val="false"/>
                <w:sz w:val="20"/>
                <w:szCs w:val="20"/>
              </w:rPr>
              <w:t xml:space="preserve">COMP-12</w:t>
            </w:r>
          </w:p>
        </w:tc>
        <w:tc>
          <w:tcPr>
            <w:tcW w:type="dxa" w:w="2600"/>
            <w:tcMar>
              <w:top w:type="dxa" w:w="80"/>
              <w:left w:type="dxa" w:w="100"/>
              <w:bottom w:type="dxa" w:w="80"/>
              <w:right w:type="dxa" w:w="100"/>
            </w:tcMar>
          </w:tcPr>
          <w:p>
            <w:pPr>
              <w:jc w:val="left"/>
            </w:pPr>
            <w:r>
              <w:rPr>
                <w:b w:val="false"/>
                <w:bCs w:val="false"/>
                <w:sz w:val="20"/>
                <w:szCs w:val="20"/>
              </w:rPr>
              <w:t xml:space="preserve">“No bundling, no lock-in” positioning — explicit marketing/pricing-page language contrasting Eivanta's modular, BYOK-capable model against Zeni's forced banking/card bundle</w:t>
            </w:r>
          </w:p>
        </w:tc>
        <w:tc>
          <w:tcPr>
            <w:tcW w:type="dxa" w:w="3400"/>
            <w:tcMar>
              <w:top w:type="dxa" w:w="80"/>
              <w:left w:type="dxa" w:w="100"/>
              <w:bottom w:type="dxa" w:w="80"/>
              <w:right w:type="dxa" w:w="100"/>
            </w:tcMar>
          </w:tcPr>
          <w:p>
            <w:pPr>
              <w:jc w:val="left"/>
            </w:pPr>
            <w:r>
              <w:rPr>
                <w:b w:val="false"/>
                <w:bCs w:val="false"/>
                <w:sz w:val="20"/>
                <w:szCs w:val="20"/>
              </w:rPr>
              <w:t xml:space="preserve">Named Zeni gap: customers pay for unused bundled services</w:t>
            </w:r>
          </w:p>
        </w:tc>
        <w:tc>
          <w:tcPr>
            <w:tcW w:type="dxa" w:w="1500"/>
            <w:tcMar>
              <w:top w:type="dxa" w:w="80"/>
              <w:left w:type="dxa" w:w="100"/>
              <w:bottom w:type="dxa" w:w="80"/>
              <w:right w:type="dxa" w:w="100"/>
            </w:tcMar>
          </w:tcPr>
          <w:p>
            <w:pPr>
              <w:jc w:val="left"/>
            </w:pPr>
            <w:r>
              <w:rPr>
                <w:b w:val="false"/>
                <w:bCs w:val="false"/>
                <w:sz w:val="20"/>
                <w:szCs w:val="20"/>
              </w:rPr>
              <w:t xml:space="preserve">All tiers (positioning, not code)</w:t>
            </w:r>
          </w:p>
        </w:tc>
        <w:tc>
          <w:tcPr>
            <w:tcW w:type="dxa" w:w="1440"/>
            <w:tcMar>
              <w:top w:type="dxa" w:w="80"/>
              <w:left w:type="dxa" w:w="100"/>
              <w:bottom w:type="dxa" w:w="80"/>
              <w:right w:type="dxa" w:w="100"/>
            </w:tcMar>
          </w:tcPr>
          <w:p>
            <w:pPr>
              <w:jc w:val="left"/>
            </w:pPr>
            <w:r>
              <w:rPr>
                <w:b w:val="false"/>
                <w:bCs w:val="false"/>
                <w:sz w:val="20"/>
                <w:szCs w:val="20"/>
              </w:rPr>
              <w:t xml:space="preserve">NOT STARTED</w:t>
            </w:r>
          </w:p>
        </w:tc>
      </w:tr>
      <w:tr>
        <w:tc>
          <w:tcPr>
            <w:tcW w:type="dxa" w:w="900"/>
            <w:tcMar>
              <w:top w:type="dxa" w:w="80"/>
              <w:left w:type="dxa" w:w="100"/>
              <w:bottom w:type="dxa" w:w="80"/>
              <w:right w:type="dxa" w:w="100"/>
            </w:tcMar>
          </w:tcPr>
          <w:p>
            <w:pPr>
              <w:jc w:val="left"/>
            </w:pPr>
            <w:r>
              <w:rPr>
                <w:b w:val="false"/>
                <w:bCs w:val="false"/>
                <w:sz w:val="20"/>
                <w:szCs w:val="20"/>
              </w:rPr>
              <w:t xml:space="preserve">COMP-13</w:t>
            </w:r>
          </w:p>
        </w:tc>
        <w:tc>
          <w:tcPr>
            <w:tcW w:type="dxa" w:w="2600"/>
            <w:tcMar>
              <w:top w:type="dxa" w:w="80"/>
              <w:left w:type="dxa" w:w="100"/>
              <w:bottom w:type="dxa" w:w="80"/>
              <w:right w:type="dxa" w:w="100"/>
            </w:tcMar>
          </w:tcPr>
          <w:p>
            <w:pPr>
              <w:jc w:val="left"/>
            </w:pPr>
            <w:r>
              <w:rPr>
                <w:b w:val="false"/>
                <w:bCs w:val="false"/>
                <w:sz w:val="20"/>
                <w:szCs w:val="20"/>
              </w:rPr>
              <w:t xml:space="preserve">Fast-onboarding proof point — measure and publicly cite real time-to-first-insight (upload → first real number) as a metric, reusing the existing onboarding checklist's real data-state tracking</w:t>
            </w:r>
          </w:p>
        </w:tc>
        <w:tc>
          <w:tcPr>
            <w:tcW w:type="dxa" w:w="3400"/>
            <w:tcMar>
              <w:top w:type="dxa" w:w="80"/>
              <w:left w:type="dxa" w:w="100"/>
              <w:bottom w:type="dxa" w:w="80"/>
              <w:right w:type="dxa" w:w="100"/>
            </w:tcMar>
          </w:tcPr>
          <w:p>
            <w:pPr>
              <w:jc w:val="left"/>
            </w:pPr>
            <w:r>
              <w:rPr>
                <w:b w:val="false"/>
                <w:bCs w:val="false"/>
                <w:sz w:val="20"/>
                <w:szCs w:val="20"/>
              </w:rPr>
              <w:t xml:space="preserve">Named Zeni gap: 1–2 week onboarding lag before the platform is usable</w:t>
            </w:r>
          </w:p>
        </w:tc>
        <w:tc>
          <w:tcPr>
            <w:tcW w:type="dxa" w:w="1500"/>
            <w:tcMar>
              <w:top w:type="dxa" w:w="80"/>
              <w:left w:type="dxa" w:w="100"/>
              <w:bottom w:type="dxa" w:w="80"/>
              <w:right w:type="dxa" w:w="100"/>
            </w:tcMar>
          </w:tcPr>
          <w:p>
            <w:pPr>
              <w:jc w:val="left"/>
            </w:pPr>
            <w:r>
              <w:rPr>
                <w:b w:val="false"/>
                <w:bCs w:val="false"/>
                <w:sz w:val="20"/>
                <w:szCs w:val="20"/>
              </w:rPr>
              <w:t xml:space="preserve">All tiers (metric + marketing)</w:t>
            </w:r>
          </w:p>
        </w:tc>
        <w:tc>
          <w:tcPr>
            <w:tcW w:type="dxa" w:w="1440"/>
            <w:tcMar>
              <w:top w:type="dxa" w:w="80"/>
              <w:left w:type="dxa" w:w="100"/>
              <w:bottom w:type="dxa" w:w="80"/>
              <w:right w:type="dxa" w:w="100"/>
            </w:tcMar>
          </w:tcPr>
          <w:p>
            <w:pPr>
              <w:jc w:val="left"/>
            </w:pPr>
            <w:r>
              <w:rPr>
                <w:b w:val="false"/>
                <w:bCs w:val="false"/>
                <w:sz w:val="20"/>
                <w:szCs w:val="20"/>
              </w:rPr>
              <w:t xml:space="preserve">NOT STARTED</w:t>
            </w:r>
          </w:p>
        </w:tc>
      </w:tr>
    </w:tbl>
    <w:p>
      <w:pPr>
        <w:pStyle w:val="Heading1"/>
        <w:spacing w:after="160" w:before="360"/>
      </w:pPr>
      <w:r>
        <w:t xml:space="preserve">6. Suggested Build Priority</w:t>
      </w:r>
    </w:p>
    <w:p>
      <w:pPr>
        <w:spacing w:after="140"/>
      </w:pPr>
      <w:r>
        <w:t xml:space="preserve">Not a mandate — a starting order, open to revision:</w:t>
      </w:r>
    </w:p>
    <w:p>
      <w:pPr>
        <w:pStyle w:val="ListParagraph"/>
        <w:numPr>
          <w:ilvl w:val="0"/>
          <w:numId w:val="2"/>
        </w:numPr>
        <w:spacing w:after="80"/>
      </w:pPr>
      <w:r>
        <w:t xml:space="preserve">First: COMP-01 (evidence citations) has shipped -- see its row above for the correction to what this row originally claimed the finished feature would look like. COMP-03 (scenario modeler) has also since shipped -- see its row above for the correction to what was originally claimed about its starting state.</w:t>
      </w:r>
    </w:p>
    <w:p>
      <w:pPr>
        <w:pStyle w:val="ListParagraph"/>
        <w:numPr>
          <w:ilvl w:val="0"/>
          <w:numId w:val="2"/>
        </w:numPr>
        <w:spacing w:after="80"/>
      </w:pPr>
      <w:r>
        <w:t xml:space="preserve">Second: COMP-05 and COMP-06 (Stripe/Shopify connectors) — directly neutralize Fathom's single most-cited complaint and are self-contained integration work.</w:t>
      </w:r>
    </w:p>
    <w:p>
      <w:pPr>
        <w:pStyle w:val="ListParagraph"/>
        <w:numPr>
          <w:ilvl w:val="0"/>
          <w:numId w:val="2"/>
        </w:numPr>
        <w:spacing w:after="80"/>
      </w:pPr>
      <w:r>
        <w:t xml:space="preserve">Third: COMP-02 and COMP-04 (driver-level attribution and proactive alerts) — build on COMP-01's now-real citation plumbing, so sequencing after it is cheaper than building in parallel.</w:t>
      </w:r>
    </w:p>
    <w:p>
      <w:pPr>
        <w:pStyle w:val="ListParagraph"/>
        <w:numPr>
          <w:ilvl w:val="0"/>
          <w:numId w:val="2"/>
        </w:numPr>
        <w:spacing w:after="80"/>
      </w:pPr>
      <w:r>
        <w:t xml:space="preserve">Later / larger scope: COMP-07, COMP-08, COMP-09, COMP-11 — real value, but each is a bigger, more deliberate scope decision (new data model surfaces, a new reseller-facing tier) worth its own scoping pass rather than being silently sized here.</w:t>
      </w:r>
    </w:p>
    <w:p>
      <w:pPr>
        <w:pStyle w:val="ListParagraph"/>
        <w:numPr>
          <w:ilvl w:val="0"/>
          <w:numId w:val="2"/>
        </w:numPr>
        <w:spacing w:after="80"/>
      </w:pPr>
      <w:r>
        <w:t xml:space="preserve">Ongoing, no engineering dependency: COMP-10, COMP-12, COMP-13.</w:t>
      </w:r>
    </w:p>
    <w:p>
      <w:pPr>
        <w:spacing w:after="140"/>
      </w:pPr>
      <w:r>
        <w:rPr>
          <w:i/>
          <w:iCs/>
        </w:rPr>
        <w:t xml:space="preserve">As with every item in the existing backlog, RBAC/auth completion, billing, and production deployment remain deferred to the end of the build sequence per standing founder direction — nothing here is proposed ahead of that gate.</w:t>
      </w:r>
    </w:p>
    <w:p>
      <w:pPr>
        <w:pStyle w:val="Heading1"/>
        <w:spacing w:after="160" w:before="360"/>
      </w:pPr>
      <w:r>
        <w:t xml:space="preserve">7. Sources</w:t>
      </w:r>
    </w:p>
    <w:p>
      <w:pPr>
        <w:pStyle w:val="ListParagraph"/>
        <w:numPr>
          <w:ilvl w:val="0"/>
          <w:numId w:val="2"/>
        </w:numPr>
        <w:spacing w:after="80"/>
      </w:pPr>
      <w:r>
        <w:t xml:space="preserve">Fathom pricing — https://www.fathomhq.com/pricing</w:t>
      </w:r>
    </w:p>
    <w:p>
      <w:pPr>
        <w:pStyle w:val="ListParagraph"/>
        <w:numPr>
          <w:ilvl w:val="0"/>
          <w:numId w:val="2"/>
        </w:numPr>
        <w:spacing w:after="80"/>
      </w:pPr>
      <w:r>
        <w:t xml:space="preserve">Fathom reviews — https://www.capterra.com/p/136476/Fathom/reviews/</w:t>
      </w:r>
    </w:p>
    <w:p>
      <w:pPr>
        <w:pStyle w:val="ListParagraph"/>
        <w:numPr>
          <w:ilvl w:val="0"/>
          <w:numId w:val="2"/>
        </w:numPr>
        <w:spacing w:after="80"/>
      </w:pPr>
      <w:r>
        <w:t xml:space="preserve">Jirav pricing — https://www.trustradius.com/products/jirav/pricing</w:t>
      </w:r>
    </w:p>
    <w:p>
      <w:pPr>
        <w:pStyle w:val="ListParagraph"/>
        <w:numPr>
          <w:ilvl w:val="0"/>
          <w:numId w:val="2"/>
        </w:numPr>
        <w:spacing w:after="80"/>
      </w:pPr>
      <w:r>
        <w:t xml:space="preserve">Jirav review — https://www.selecthub.com/p/epm-software/jirav/</w:t>
      </w:r>
    </w:p>
    <w:p>
      <w:pPr>
        <w:pStyle w:val="ListParagraph"/>
        <w:numPr>
          <w:ilvl w:val="0"/>
          <w:numId w:val="2"/>
        </w:numPr>
        <w:spacing w:after="80"/>
      </w:pPr>
      <w:r>
        <w:t xml:space="preserve">Zeni pricing — https://www.zeni.ai/pricing/accounting-software-packages</w:t>
      </w:r>
    </w:p>
    <w:p>
      <w:pPr>
        <w:pStyle w:val="ListParagraph"/>
        <w:numPr>
          <w:ilvl w:val="0"/>
          <w:numId w:val="2"/>
        </w:numPr>
        <w:spacing w:after="80"/>
      </w:pPr>
      <w:r>
        <w:t xml:space="preserve">Zeni review — https://www.gotofu.com/blog/zeni-ai-review</w:t>
      </w:r>
    </w:p>
    <w:p>
      <w:pPr>
        <w:pStyle w:val="ListParagraph"/>
        <w:numPr>
          <w:ilvl w:val="0"/>
          <w:numId w:val="2"/>
        </w:numPr>
        <w:spacing w:after="80"/>
      </w:pPr>
      <w:r>
        <w:t xml:space="preserve">AI FP&amp;A variance-detection trends — https://www.getaleph.com/answers/ai-fpa-software-variance-detection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2026-08-26T19:04:26.059Z</dcterms:created>
  <dcterms:modified xsi:type="dcterms:W3CDTF">2026-08-26T19:04:26.086Z</dcterms:modified>
</cp:coreProperties>
</file>

<file path=docProps/custom.xml><?xml version="1.0" encoding="utf-8"?>
<Properties xmlns="http://schemas.openxmlformats.org/officeDocument/2006/custom-properties" xmlns:vt="http://schemas.openxmlformats.org/officeDocument/2006/docPropsVTypes"/>
</file>