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Eivanta — DuckDB Migration Trigger &amp; Runbook</w:t>
      </w:r>
    </w:p>
    <w:p>
      <w:pPr>
        <w:pBdr>
          <w:bottom w:val="single" w:color="1F3864" w:sz="6" w:space="6"/>
        </w:pBdr>
        <w:spacing w:after="240"/>
      </w:pPr>
      <w:r>
        <w:rPr>
          <w:rFonts w:ascii="Calibri" w:cs="Calibri" w:eastAsia="Calibri" w:hAnsi="Calibri"/>
          <w:i/>
          <w:iCs/>
          <w:color w:val="44546A"/>
          <w:sz w:val="24"/>
          <w:szCs w:val="24"/>
        </w:rPr>
        <w:t xml:space="preserve">DATA-11 | Version 1.0 | 27 August 2026 | First version of this document -- previously [NOT ADDRESSED]</w:t>
      </w:r>
    </w:p>
    <w:p>
      <w:pPr>
        <w:pStyle w:val="Heading1"/>
        <w:spacing w:after="160" w:before="320"/>
      </w:pPr>
      <w:r>
        <w:rPr>
          <w:rFonts w:ascii="Calibri" w:cs="Calibri" w:eastAsia="Calibri" w:hAnsi="Calibri"/>
          <w:b/>
          <w:bCs/>
          <w:color w:val="1F3864"/>
          <w:sz w:val="30"/>
          <w:szCs w:val="30"/>
        </w:rPr>
        <w:t xml:space="preserve">1. Purpose and Honest Scope</w:t>
      </w:r>
    </w:p>
    <w:p>
      <w:pPr>
        <w:spacing w:after="140"/>
      </w:pPr>
      <w:r>
        <w:rPr>
          <w:rFonts w:ascii="Calibri" w:cs="Calibri" w:eastAsia="Calibri" w:hAnsi="Calibri"/>
          <w:color w:val="000000"/>
          <w:sz w:val="21"/>
          <w:szCs w:val="21"/>
        </w:rPr>
        <w:t xml:space="preserve">This document defines what would actually tell us Eivanta has outgrown DuckDB as its primary datastore, and exactly how to move off it when that happens. It replaces guesswork ("we'll know it when queries feel slow") with specific, checkable conditions.</w:t>
      </w:r>
    </w:p>
    <w:p>
      <w:pPr>
        <w:spacing w:after="140"/>
      </w:pPr>
      <w:r>
        <w:rPr>
          <w:rFonts w:ascii="Calibri" w:cs="Calibri" w:eastAsia="Calibri" w:hAnsi="Calibri"/>
          <w:color w:val="000000"/>
          <w:sz w:val="21"/>
          <w:szCs w:val="21"/>
        </w:rPr>
        <w:t xml:space="preserve">Important disclosure, stated up front rather than glossed over: Eivanta is pre-launch, so there is no real production traffic to measure any of this against yet. Every trigger below is derived from reading the actual current implementation (backend/db_manager.py's concurrency model, schema, and ingestion caps), not from observed load. That makes the triggers genuinely grounded in this codebase's real architecture -- not generic "when your database gets big" advice -- but they are engineering judgment calibrated against known DuckDB/single-process limits, not empirically validated thresholds. Section 5 below is explicit about the instrumentation that needs to exist before some of these can be measured at all; that gap is itself a real, open action item, not assumed away.</w:t>
      </w:r>
    </w:p>
    <w:p>
      <w:pPr>
        <w:pStyle w:val="Heading1"/>
        <w:spacing w:after="160" w:before="320"/>
      </w:pPr>
      <w:r>
        <w:rPr>
          <w:rFonts w:ascii="Calibri" w:cs="Calibri" w:eastAsia="Calibri" w:hAnsi="Calibri"/>
          <w:b/>
          <w:bCs/>
          <w:color w:val="1F3864"/>
          <w:sz w:val="30"/>
          <w:szCs w:val="30"/>
        </w:rPr>
        <w:t xml:space="preserve">2. Current Architecture, As It Actually Is</w:t>
      </w:r>
    </w:p>
    <w:p>
      <w:pPr>
        <w:spacing w:after="140"/>
      </w:pPr>
      <w:r>
        <w:rPr>
          <w:rFonts w:ascii="Calibri" w:cs="Calibri" w:eastAsia="Calibri" w:hAnsi="Calibri"/>
          <w:color w:val="000000"/>
          <w:sz w:val="21"/>
          <w:szCs w:val="21"/>
        </w:rPr>
        <w:t xml:space="preserve">Eivanta's entire backend -- across main.py and every specialist agent module (virtual_cfo.py, data_engineer.py, bi_engineer.py, saas_strategist.py, report_generator.py, predictive_forecaster.py) -- talks to one single-file DuckDB database (backend/eivanta.duckdb) through one process-wide threading.Lock() (db_manager.get_db_lock(), _duckdb_mutex). Every DB operation anywhere in the app -- reads and writes alike -- acquires this same lock before opening a connection and releases it after. This was a deliberate, documented fix for a real production bug (an asyncio.Lock bound to one event loop was crashing multiple endpoints together), and it is correct for the single-process deployment Eivanta runs today. It is also the single most important fact for migration timing: it means Eivanta's practical concurrency ceiling today is one DB operation at a time, platform-wide, regardless of how many tenants or requests arrive concurrently.</w:t>
      </w:r>
    </w:p>
    <w:p>
      <w:pPr>
        <w:spacing w:after="140"/>
      </w:pPr>
      <w:r>
        <w:rPr>
          <w:rFonts w:ascii="Calibri" w:cs="Calibri" w:eastAsia="Calibri" w:hAnsi="Calibri"/>
          <w:color w:val="000000"/>
          <w:sz w:val="21"/>
          <w:szCs w:val="21"/>
        </w:rPr>
        <w:t xml:space="preserve">Ledger ingestion (backend/db_manager.py's ingest_csv_to_db) is a full delete-and-replace per tenant per upload (DELETE FROM ledgers WHERE client_id = ? followed by a fresh INSERT, wrapped in one transaction), with a 500,000-row and 200-column structural cap per upload (MAX_INGEST_ROWS, MAX_INGEST_COLUMNS -- DATA-06). Schema is created ad hoc: every table (ledgers, users, refresh_tokens, api_keys, ai_lineage_log, and others) is defined inline via CREATE TABLE IF NOT EXISTS blocks scattered through db_manager.py's various init/migration functions, evolved in place over time rather than through a formal migrations tool (e.g. Alembic). This has worked because DuckDB's schema is forgiving and the team is small, but it is itself a real gap this runbook flags for the Postgres transition (Section 6.2), independent of when that transition happens.</w:t>
      </w:r>
    </w:p>
    <w:p>
      <w:pPr>
        <w:pStyle w:val="Heading1"/>
        <w:spacing w:after="160" w:before="320"/>
      </w:pPr>
      <w:r>
        <w:rPr>
          <w:rFonts w:ascii="Calibri" w:cs="Calibri" w:eastAsia="Calibri" w:hAnsi="Calibri"/>
          <w:b/>
          <w:bCs/>
          <w:color w:val="1F3864"/>
          <w:sz w:val="30"/>
          <w:szCs w:val="30"/>
        </w:rPr>
        <w:t xml:space="preserve">3. Why This Matters for Migration Timing</w:t>
      </w:r>
    </w:p>
    <w:p>
      <w:pPr>
        <w:spacing w:after="140"/>
      </w:pPr>
      <w:r>
        <w:rPr>
          <w:rFonts w:ascii="Calibri" w:cs="Calibri" w:eastAsia="Calibri" w:hAnsi="Calibri"/>
          <w:color w:val="000000"/>
          <w:sz w:val="21"/>
          <w:szCs w:val="21"/>
        </w:rPr>
        <w:t xml:space="preserve">DuckDB itself, as an analytical query engine, comfortably handles far more data than Eivanta's current caps allow -- raw row count is not the real constraint here. The real constraint is the single global lock: every concurrent request, from every tenant, for every kind of operation (a dashboard read, a CSV upload, an AI agent's own read-only query), waits in the same queue. As tenant count and concurrent usage grow, the thing that degrades first will be request latency under concurrency -- not query execution time, and not disk space -- because requests start queueing behind each other for the lock rather than running in parallel. This reframes "when do we need to migrate" away from "how much data do we have" and toward "how much concurrent request volume are we serving."</w:t>
      </w:r>
    </w:p>
    <w:p>
      <w:pPr>
        <w:pStyle w:val="Heading1"/>
        <w:spacing w:after="160" w:before="320"/>
      </w:pPr>
      <w:r>
        <w:rPr>
          <w:rFonts w:ascii="Calibri" w:cs="Calibri" w:eastAsia="Calibri" w:hAnsi="Calibri"/>
          <w:b/>
          <w:bCs/>
          <w:color w:val="1F3864"/>
          <w:sz w:val="30"/>
          <w:szCs w:val="30"/>
        </w:rPr>
        <w:t xml:space="preserve">4. Concrete, Measurable Triggers</w:t>
      </w:r>
    </w:p>
    <w:p>
      <w:pPr>
        <w:spacing w:after="140"/>
      </w:pPr>
      <w:r>
        <w:rPr>
          <w:rFonts w:ascii="Calibri" w:cs="Calibri" w:eastAsia="Calibri" w:hAnsi="Calibri"/>
          <w:color w:val="000000"/>
          <w:sz w:val="21"/>
          <w:szCs w:val="21"/>
        </w:rPr>
        <w:t xml:space="preserve">Any ONE of these being true is sufficient to start the migration process in Section 6, not a requirement that all five occur together. They are ordered roughly by how likely each is to be the actual first trigger hit.</w:t>
      </w:r>
    </w:p>
    <w:p>
      <w:pPr>
        <w:spacing w:after="120"/>
        <w:ind w:left="360"/>
      </w:pPr>
      <w:r>
        <w:rPr>
          <w:rFonts w:ascii="Calibri" w:cs="Calibri" w:eastAsia="Calibri" w:hAnsi="Calibri"/>
          <w:b/>
          <w:bCs/>
          <w:color w:val="1F3864"/>
          <w:sz w:val="21"/>
          <w:szCs w:val="21"/>
        </w:rPr>
        <w:t xml:space="preserve">1. </w:t>
      </w:r>
      <w:r>
        <w:rPr>
          <w:rFonts w:ascii="Calibri" w:cs="Calibri" w:eastAsia="Calibri" w:hAnsi="Calibri"/>
          <w:sz w:val="21"/>
          <w:szCs w:val="21"/>
        </w:rPr>
        <w:t xml:space="preserve">Multi-process deployment becomes a requirement (hard trigger, not gradual). The day Eivanta needs more than one backend worker process -- for redundancy, zero-downtime deploys, or horizontal scaling -- is the day DuckDB-as-currently-used stops working correctly, full stop. _duckdb_mutex and the DATA-06 rate limiter's in-memory window (backend/rate_limit.py) are both process-local: a second worker process gets its own, independent copies, silently defeating both the write-serialization guarantee and the rate limit. This is very plausibly the FIRST trigger to fire in practice, likely before raw data volume ever becomes an issue, because production reliability (redundancy, rolling deploys) is usually needed before any single tenant's data volume gets large.</w:t>
      </w:r>
    </w:p>
    <w:p>
      <w:pPr>
        <w:spacing w:after="120"/>
        <w:ind w:left="360"/>
      </w:pPr>
      <w:r>
        <w:rPr>
          <w:rFonts w:ascii="Calibri" w:cs="Calibri" w:eastAsia="Calibri" w:hAnsi="Calibri"/>
          <w:b/>
          <w:bCs/>
          <w:color w:val="1F3864"/>
          <w:sz w:val="21"/>
          <w:szCs w:val="21"/>
        </w:rPr>
        <w:t xml:space="preserve">2. </w:t>
      </w:r>
      <w:r>
        <w:rPr>
          <w:rFonts w:ascii="Calibri" w:cs="Calibri" w:eastAsia="Calibri" w:hAnsi="Calibri"/>
          <w:sz w:val="21"/>
          <w:szCs w:val="21"/>
        </w:rPr>
        <w:t xml:space="preserve">Sustained lock-wait time exceeds query-execution time. Once instrumented (Section 5), if the time requests spend WAITING to acquire _duckdb_mutex regularly exceeds the time spent actually running their query -- sustained over a rolling hour of real traffic, not a momentary spike -- the lock itself, not the database engine, is the bottleneck.</w:t>
      </w:r>
    </w:p>
    <w:p>
      <w:pPr>
        <w:spacing w:after="120"/>
        <w:ind w:left="360"/>
      </w:pPr>
      <w:r>
        <w:rPr>
          <w:rFonts w:ascii="Calibri" w:cs="Calibri" w:eastAsia="Calibri" w:hAnsi="Calibri"/>
          <w:b/>
          <w:bCs/>
          <w:color w:val="1F3864"/>
          <w:sz w:val="21"/>
          <w:szCs w:val="21"/>
        </w:rPr>
        <w:t xml:space="preserve">3. </w:t>
      </w:r>
      <w:r>
        <w:rPr>
          <w:rFonts w:ascii="Calibri" w:cs="Calibri" w:eastAsia="Calibri" w:hAnsi="Calibri"/>
          <w:sz w:val="21"/>
          <w:szCs w:val="21"/>
        </w:rPr>
        <w:t xml:space="preserve">P95 latency on a read-heavy endpoint (ledger rows, analytics summary, KPI grid) exceeds 500ms under real concurrent load for more than 15 sustained minutes, with the slowdown attributable to lock queueing rather than the underlying SQL taking longer to run.</w:t>
      </w:r>
    </w:p>
    <w:p>
      <w:pPr>
        <w:spacing w:after="120"/>
        <w:ind w:left="360"/>
      </w:pPr>
      <w:r>
        <w:rPr>
          <w:rFonts w:ascii="Calibri" w:cs="Calibri" w:eastAsia="Calibri" w:hAnsi="Calibri"/>
          <w:b/>
          <w:bCs/>
          <w:color w:val="1F3864"/>
          <w:sz w:val="21"/>
          <w:szCs w:val="21"/>
        </w:rPr>
        <w:t xml:space="preserve">4. </w:t>
      </w:r>
      <w:r>
        <w:rPr>
          <w:rFonts w:ascii="Calibri" w:cs="Calibri" w:eastAsia="Calibri" w:hAnsi="Calibri"/>
          <w:sz w:val="21"/>
          <w:szCs w:val="21"/>
        </w:rPr>
        <w:t xml:space="preserve">The eivanta.duckdb file approaches roughly 10GB. DuckDB itself stays performant well past this on a single machine for analytical workloads -- this threshold is about operational friction (file-level backup/restore time, cold-start time after a restart, disk I/O headroom on typical cloud instance storage), not a query-performance cliff.</w:t>
      </w:r>
    </w:p>
    <w:p>
      <w:pPr>
        <w:spacing w:after="120"/>
        <w:ind w:left="360"/>
      </w:pPr>
      <w:r>
        <w:rPr>
          <w:rFonts w:ascii="Calibri" w:cs="Calibri" w:eastAsia="Calibri" w:hAnsi="Calibri"/>
          <w:b/>
          <w:bCs/>
          <w:color w:val="1F3864"/>
          <w:sz w:val="21"/>
          <w:szCs w:val="21"/>
        </w:rPr>
        <w:t xml:space="preserve">5. </w:t>
      </w:r>
      <w:r>
        <w:rPr>
          <w:rFonts w:ascii="Calibri" w:cs="Calibri" w:eastAsia="Calibri" w:hAnsi="Calibri"/>
          <w:sz w:val="21"/>
          <w:szCs w:val="21"/>
        </w:rPr>
        <w:t xml:space="preserve">Ledger data volume per tenant genuinely changes shape -- e.g. if a future product decision moves away from the current full delete-and-replace-per-upload model (DATA-09) toward retaining multiple historical periods per tenant indefinitely, MAX_INGEST_ROWS and the per-tenant table size assumptions this runbook is built around need re-evaluating; that would change the shape of this problem, not just its scale.</w:t>
      </w:r>
    </w:p>
    <w:p>
      <w:pPr>
        <w:pStyle w:val="Heading1"/>
        <w:spacing w:after="160" w:before="320"/>
      </w:pPr>
      <w:r>
        <w:rPr>
          <w:rFonts w:ascii="Calibri" w:cs="Calibri" w:eastAsia="Calibri" w:hAnsi="Calibri"/>
          <w:b/>
          <w:bCs/>
          <w:color w:val="1F3864"/>
          <w:sz w:val="30"/>
          <w:szCs w:val="30"/>
        </w:rPr>
        <w:t xml:space="preserve">5. Instrumentation Gap (What Needs to Exist Before These Can Be Measured)</w:t>
      </w:r>
    </w:p>
    <w:p>
      <w:pPr>
        <w:spacing w:after="140"/>
      </w:pPr>
      <w:r>
        <w:rPr>
          <w:rFonts w:ascii="Calibri" w:cs="Calibri" w:eastAsia="Calibri" w:hAnsi="Calibri"/>
          <w:color w:val="000000"/>
          <w:sz w:val="21"/>
          <w:szCs w:val="21"/>
        </w:rPr>
        <w:t xml:space="preserve">Confirmed by reading main.py, metrics.py, and db_manager.py directly: no request-latency or APM instrumentation exists anywhere in the backend today. metrics.py's endpoints report ingestion row counts and swarm/agent execution stats -- genuinely useful, but none of it measures HTTP request latency, and nothing measures time spent specifically waiting on _duckdb_mutex versus time spent inside the DB call itself. Triggers 2 and 3 in Section 4 cannot be checked against reality until this exists. The single highest-value addition, in priority order:</w:t>
      </w:r>
    </w:p>
    <w:p>
      <w:pPr>
        <w:spacing w:after="120"/>
        <w:ind w:left="360"/>
      </w:pPr>
      <w:r>
        <w:rPr>
          <w:rFonts w:ascii="Calibri" w:cs="Calibri" w:eastAsia="Calibri" w:hAnsi="Calibri"/>
          <w:b/>
          <w:bCs/>
          <w:color w:val="1F3864"/>
          <w:sz w:val="21"/>
          <w:szCs w:val="21"/>
        </w:rPr>
        <w:t xml:space="preserve">1. </w:t>
      </w:r>
      <w:r>
        <w:rPr>
          <w:rFonts w:ascii="Calibri" w:cs="Calibri" w:eastAsia="Calibri" w:hAnsi="Calibri"/>
          <w:sz w:val="21"/>
          <w:szCs w:val="21"/>
        </w:rPr>
        <w:t xml:space="preserve">Wrap get_db_lock()'s acquire/release in each of the DB-layer functions with timing that separately records (a) time spent waiting to acquire the lock and (b) time spent holding it, tagged by function name. This directly measures Trigger 2 and is the single most diagnostic metric this codebase could add for this specific question.</w:t>
      </w:r>
    </w:p>
    <w:p>
      <w:pPr>
        <w:spacing w:after="120"/>
        <w:ind w:left="360"/>
      </w:pPr>
      <w:r>
        <w:rPr>
          <w:rFonts w:ascii="Calibri" w:cs="Calibri" w:eastAsia="Calibri" w:hAnsi="Calibri"/>
          <w:b/>
          <w:bCs/>
          <w:color w:val="1F3864"/>
          <w:sz w:val="21"/>
          <w:szCs w:val="21"/>
        </w:rPr>
        <w:t xml:space="preserve">2. </w:t>
      </w:r>
      <w:r>
        <w:rPr>
          <w:rFonts w:ascii="Calibri" w:cs="Calibri" w:eastAsia="Calibri" w:hAnsi="Calibri"/>
          <w:sz w:val="21"/>
          <w:szCs w:val="21"/>
        </w:rPr>
        <w:t xml:space="preserve">Basic per-endpoint request-duration logging in main.py (a lightweight FastAPI middleware timing every request) -- this measures Trigger 3 and gives a baseline for "is this actually slow" independent of the lock question.</w:t>
      </w:r>
    </w:p>
    <w:p>
      <w:pPr>
        <w:spacing w:after="120"/>
        <w:ind w:left="360"/>
      </w:pPr>
      <w:r>
        <w:rPr>
          <w:rFonts w:ascii="Calibri" w:cs="Calibri" w:eastAsia="Calibri" w:hAnsi="Calibri"/>
          <w:b/>
          <w:bCs/>
          <w:color w:val="1F3864"/>
          <w:sz w:val="21"/>
          <w:szCs w:val="21"/>
        </w:rPr>
        <w:t xml:space="preserve">3. </w:t>
      </w:r>
      <w:r>
        <w:rPr>
          <w:rFonts w:ascii="Calibri" w:cs="Calibri" w:eastAsia="Calibri" w:hAnsi="Calibri"/>
          <w:sz w:val="21"/>
          <w:szCs w:val="21"/>
        </w:rPr>
        <w:t xml:space="preserve">A scheduled or on-demand report of eivanta.duckdb's file size (a one-line os.path.getsize check exposed through an existing owner/admin metrics endpoint) -- this directly measures Trigger 4 with near-zero effort.</w:t>
      </w:r>
    </w:p>
    <w:p>
      <w:pPr>
        <w:pStyle w:val="Heading1"/>
        <w:spacing w:after="160" w:before="320"/>
      </w:pPr>
      <w:r>
        <w:rPr>
          <w:rFonts w:ascii="Calibri" w:cs="Calibri" w:eastAsia="Calibri" w:hAnsi="Calibri"/>
          <w:b/>
          <w:bCs/>
          <w:color w:val="1F3864"/>
          <w:sz w:val="30"/>
          <w:szCs w:val="30"/>
        </w:rPr>
        <w:t xml:space="preserve">6. Migration Runbook</w:t>
      </w:r>
    </w:p>
    <w:p>
      <w:pPr>
        <w:pStyle w:val="Heading2"/>
        <w:spacing w:after="100" w:before="240"/>
      </w:pPr>
      <w:r>
        <w:rPr>
          <w:rFonts w:ascii="Calibri" w:cs="Calibri" w:eastAsia="Calibri" w:hAnsi="Calibri"/>
          <w:b/>
          <w:bCs/>
          <w:color w:val="1F3864"/>
          <w:sz w:val="24"/>
          <w:szCs w:val="24"/>
        </w:rPr>
        <w:t xml:space="preserve">6.1 Target and Rationale</w:t>
      </w:r>
    </w:p>
    <w:p>
      <w:pPr>
        <w:spacing w:after="140"/>
      </w:pPr>
      <w:r>
        <w:rPr>
          <w:rFonts w:ascii="Calibri" w:cs="Calibri" w:eastAsia="Calibri" w:hAnsi="Calibri"/>
          <w:color w:val="000000"/>
          <w:sz w:val="21"/>
          <w:szCs w:val="21"/>
        </w:rPr>
        <w:t xml:space="preserve">PostgreSQL is the natural target: mature, battle-tested concurrent multi-process read/write support (removing the need for _duckdb_mutex entirely), strong FastAPI ecosystem support (asyncpg or SQLAlchemy's async engine), and a SQL dialect close enough to DuckDB's that most of this codebase's existing queries port with small, mechanical syntax changes rather than a rewrite. DuckDB's TRY_CAST(x AS DATE) has a direct Postgres equivalent pattern (a cast wrapped in a scalar function, or NULLIF-style guarding); nextval('sequence_name') sequence usage (DIFF-01's row_id assignment) maps directly to Postgres's native SEQUENCE objects with no semantic change.</w:t>
      </w:r>
    </w:p>
    <w:p>
      <w:pPr>
        <w:pStyle w:val="Heading2"/>
        <w:spacing w:after="100" w:before="240"/>
      </w:pPr>
      <w:r>
        <w:rPr>
          <w:rFonts w:ascii="Calibri" w:cs="Calibri" w:eastAsia="Calibri" w:hAnsi="Calibri"/>
          <w:b/>
          <w:bCs/>
          <w:color w:val="1F3864"/>
          <w:sz w:val="24"/>
          <w:szCs w:val="24"/>
        </w:rPr>
        <w:t xml:space="preserve">6.2 Pre-Migration Preparation</w:t>
      </w:r>
    </w:p>
    <w:p>
      <w:pPr>
        <w:spacing w:after="120"/>
        <w:ind w:left="360"/>
      </w:pPr>
      <w:r>
        <w:rPr>
          <w:rFonts w:ascii="Calibri" w:cs="Calibri" w:eastAsia="Calibri" w:hAnsi="Calibri"/>
          <w:b/>
          <w:bCs/>
          <w:color w:val="1F3864"/>
          <w:sz w:val="21"/>
          <w:szCs w:val="21"/>
        </w:rPr>
        <w:t xml:space="preserve">1. </w:t>
      </w:r>
      <w:r>
        <w:rPr>
          <w:rFonts w:ascii="Calibri" w:cs="Calibri" w:eastAsia="Calibri" w:hAnsi="Calibri"/>
          <w:sz w:val="21"/>
          <w:szCs w:val="21"/>
        </w:rPr>
        <w:t xml:space="preserve">Schema inventory: enumerate every CREATE TABLE IF NOT EXISTS block currently scattered through db_manager.py's init/migration functions into one authoritative schema document, and introduce a real migrations tool (Alembic is the standard choice for a Postgres-backed FastAPI app) either immediately before or as the first concrete step of this migration -- continuing to evolve schema ad hoc against Postgres would reintroduce exactly the fragility this step exists to close out.</w:t>
      </w:r>
    </w:p>
    <w:p>
      <w:pPr>
        <w:spacing w:after="120"/>
        <w:ind w:left="360"/>
      </w:pPr>
      <w:r>
        <w:rPr>
          <w:rFonts w:ascii="Calibri" w:cs="Calibri" w:eastAsia="Calibri" w:hAnsi="Calibri"/>
          <w:b/>
          <w:bCs/>
          <w:color w:val="1F3864"/>
          <w:sz w:val="21"/>
          <w:szCs w:val="21"/>
        </w:rPr>
        <w:t xml:space="preserve">2. </w:t>
      </w:r>
      <w:r>
        <w:rPr>
          <w:rFonts w:ascii="Calibri" w:cs="Calibri" w:eastAsia="Calibri" w:hAnsi="Calibri"/>
          <w:sz w:val="21"/>
          <w:szCs w:val="21"/>
        </w:rPr>
        <w:t xml:space="preserve">Query audit: grep every DuckDB-specific SQL construct (TRY_CAST, nextval(...) inline sequence calls, DuckDB's strftime usage, DuckDB-specific date arithmetic) and confirm or rewrite its Postgres-safe equivalent before any data moves, so the query layer is proven compatible ahead of the cutover, not discovered broken during it.</w:t>
      </w:r>
    </w:p>
    <w:p>
      <w:pPr>
        <w:spacing w:after="120"/>
        <w:ind w:left="360"/>
      </w:pPr>
      <w:r>
        <w:rPr>
          <w:rFonts w:ascii="Calibri" w:cs="Calibri" w:eastAsia="Calibri" w:hAnsi="Calibri"/>
          <w:b/>
          <w:bCs/>
          <w:color w:val="1F3864"/>
          <w:sz w:val="21"/>
          <w:szCs w:val="21"/>
        </w:rPr>
        <w:t xml:space="preserve">3. </w:t>
      </w:r>
      <w:r>
        <w:rPr>
          <w:rFonts w:ascii="Calibri" w:cs="Calibri" w:eastAsia="Calibri" w:hAnsi="Calibri"/>
          <w:sz w:val="21"/>
          <w:szCs w:val="21"/>
        </w:rPr>
        <w:t xml:space="preserve">Remove _duckdb_mutex entirely in the Postgres-backed implementation -- do not port it forward. Postgres's own MVCC concurrency control is what removes the bottleneck described in Section 3; keeping an application-level global lock on top of it would silently recreate the same ceiling for no benefit.</w:t>
      </w:r>
    </w:p>
    <w:p>
      <w:pPr>
        <w:spacing w:after="120"/>
        <w:ind w:left="360"/>
      </w:pPr>
      <w:r>
        <w:rPr>
          <w:rFonts w:ascii="Calibri" w:cs="Calibri" w:eastAsia="Calibri" w:hAnsi="Calibri"/>
          <w:b/>
          <w:bCs/>
          <w:color w:val="1F3864"/>
          <w:sz w:val="21"/>
          <w:szCs w:val="21"/>
        </w:rPr>
        <w:t xml:space="preserve">4. </w:t>
      </w:r>
      <w:r>
        <w:rPr>
          <w:rFonts w:ascii="Calibri" w:cs="Calibri" w:eastAsia="Calibri" w:hAnsi="Calibri"/>
          <w:sz w:val="21"/>
          <w:szCs w:val="21"/>
        </w:rPr>
        <w:t xml:space="preserve">If a multi-process deployment is the trigger (Section 4, item 1), also complete the DATA-06 rate-limiter's already-documented upgrade path (an external shared store such as Redis) at the same time -- its current in-memory design has the identical multi-process gap as _duckdb_mutex, for the same underlying reason.</w:t>
      </w:r>
    </w:p>
    <w:p>
      <w:pPr>
        <w:pStyle w:val="Heading2"/>
        <w:spacing w:after="100" w:before="240"/>
      </w:pPr>
      <w:r>
        <w:rPr>
          <w:rFonts w:ascii="Calibri" w:cs="Calibri" w:eastAsia="Calibri" w:hAnsi="Calibri"/>
          <w:b/>
          <w:bCs/>
          <w:color w:val="1F3864"/>
          <w:sz w:val="24"/>
          <w:szCs w:val="24"/>
        </w:rPr>
        <w:t xml:space="preserve">6.3 Cutover Approach</w:t>
      </w:r>
    </w:p>
    <w:p>
      <w:pPr>
        <w:spacing w:after="140"/>
      </w:pPr>
      <w:r>
        <w:rPr>
          <w:rFonts w:ascii="Calibri" w:cs="Calibri" w:eastAsia="Calibri" w:hAnsi="Calibri"/>
          <w:color w:val="000000"/>
          <w:sz w:val="21"/>
          <w:szCs w:val="21"/>
        </w:rPr>
        <w:t xml:space="preserve">Two viable approaches, chosen by how much traffic exists at migration time:</w:t>
      </w:r>
    </w:p>
    <w:p>
      <w:pPr>
        <w:spacing w:after="100"/>
        <w:ind w:left="360"/>
      </w:pPr>
      <w:r>
        <w:rPr>
          <w:rFonts w:ascii="Calibri" w:cs="Calibri" w:eastAsia="Calibri" w:hAnsi="Calibri"/>
          <w:color w:val="1F3864"/>
          <w:sz w:val="21"/>
          <w:szCs w:val="21"/>
        </w:rPr>
        <w:t xml:space="preserve">— </w:t>
      </w:r>
      <w:r>
        <w:rPr>
          <w:rFonts w:ascii="Calibri" w:cs="Calibri" w:eastAsia="Calibri" w:hAnsi="Calibri"/>
          <w:sz w:val="21"/>
          <w:szCs w:val="21"/>
        </w:rPr>
        <w:t xml:space="preserve">Direct cutover (appropriate at low tenant/traffic count, the likely case if Trigger 1 -- multi-process necessity -- is what fires first, before real load exists): a scheduled maintenance window; a one-time per-table export from DuckDB (DuckDB can COPY its own tables to CSV/Parquet directly) followed by bulk COPY/INSERT into Postgres; an exact row-count and spot-check reconciliation per tenant per table before traffic is switched over; then repoint the connection string and redeploy.</w:t>
      </w:r>
    </w:p>
    <w:p>
      <w:pPr>
        <w:spacing w:after="100"/>
        <w:ind w:left="360"/>
      </w:pPr>
      <w:r>
        <w:rPr>
          <w:rFonts w:ascii="Calibri" w:cs="Calibri" w:eastAsia="Calibri" w:hAnsi="Calibri"/>
          <w:color w:val="1F3864"/>
          <w:sz w:val="21"/>
          <w:szCs w:val="21"/>
        </w:rPr>
        <w:t xml:space="preserve">— </w:t>
      </w:r>
      <w:r>
        <w:rPr>
          <w:rFonts w:ascii="Calibri" w:cs="Calibri" w:eastAsia="Calibri" w:hAnsi="Calibri"/>
          <w:sz w:val="21"/>
          <w:szCs w:val="21"/>
        </w:rPr>
        <w:t xml:space="preserve">Dual-write shadow period (appropriate if real tenant traffic exists by migration time): run Postgres alongside DuckDB for a bounded window, writing every mutation to both, continuing to read from DuckDB as the source of truth, and comparing Postgres's read results against DuckDB's on a sample of real requests before cutting reads over and then retiring DuckDB.</w:t>
      </w:r>
    </w:p>
    <w:p>
      <w:pPr>
        <w:pStyle w:val="Heading2"/>
        <w:spacing w:after="100" w:before="240"/>
      </w:pPr>
      <w:r>
        <w:rPr>
          <w:rFonts w:ascii="Calibri" w:cs="Calibri" w:eastAsia="Calibri" w:hAnsi="Calibri"/>
          <w:b/>
          <w:bCs/>
          <w:color w:val="1F3864"/>
          <w:sz w:val="24"/>
          <w:szCs w:val="24"/>
        </w:rPr>
        <w:t xml:space="preserve">6.4 Verification</w:t>
      </w:r>
    </w:p>
    <w:p>
      <w:pPr>
        <w:spacing w:after="140"/>
      </w:pPr>
      <w:r>
        <w:rPr>
          <w:rFonts w:ascii="Calibri" w:cs="Calibri" w:eastAsia="Calibri" w:hAnsi="Calibri"/>
          <w:color w:val="000000"/>
          <w:sz w:val="21"/>
          <w:szCs w:val="21"/>
        </w:rPr>
        <w:t xml:space="preserve">Before cutover in either approach: re-run the existing backend test suite (232 tests as of this writing) against the Postgres-backed implementation and require a clean pass -- this codebase already has real, substantial test coverage across ingestion, auth, sessions, tenant lifecycle, and rate limiting, and that suite is the correct mechanical gate for this migration, not a new one built from scratch. Additionally: an exact per-tenant row-count and checksum comparison between the DuckDB source and the Postgres copy for every table, not just a spot check.</w:t>
      </w:r>
    </w:p>
    <w:p>
      <w:pPr>
        <w:pStyle w:val="Heading2"/>
        <w:spacing w:after="100" w:before="240"/>
      </w:pPr>
      <w:r>
        <w:rPr>
          <w:rFonts w:ascii="Calibri" w:cs="Calibri" w:eastAsia="Calibri" w:hAnsi="Calibri"/>
          <w:b/>
          <w:bCs/>
          <w:color w:val="1F3864"/>
          <w:sz w:val="24"/>
          <w:szCs w:val="24"/>
        </w:rPr>
        <w:t xml:space="preserve">6.5 Rollback Plan</w:t>
      </w:r>
    </w:p>
    <w:p>
      <w:pPr>
        <w:spacing w:after="140"/>
      </w:pPr>
      <w:r>
        <w:rPr>
          <w:rFonts w:ascii="Calibri" w:cs="Calibri" w:eastAsia="Calibri" w:hAnsi="Calibri"/>
          <w:color w:val="000000"/>
          <w:sz w:val="21"/>
          <w:szCs w:val="21"/>
        </w:rPr>
        <w:t xml:space="preserve">Retain the DuckDB file, untouched, for a defined retention window post-cutover (30 days is a reasonable default absent a specific compliance requirement) rather than deleting or overwriting it immediately. If a data-fidelity issue surfaces post-migration, this preserves the ability to reconcile against the original source rather than only against backups of the new system. Do not delete it until a full post-cutover reconciliation pass has explicitly confirmed parity.</w:t>
      </w:r>
    </w:p>
    <w:p>
      <w:pPr>
        <w:pStyle w:val="Heading1"/>
        <w:spacing w:after="160" w:before="320"/>
      </w:pPr>
      <w:r>
        <w:rPr>
          <w:rFonts w:ascii="Calibri" w:cs="Calibri" w:eastAsia="Calibri" w:hAnsi="Calibri"/>
          <w:b/>
          <w:bCs/>
          <w:color w:val="1F3864"/>
          <w:sz w:val="30"/>
          <w:szCs w:val="30"/>
        </w:rPr>
        <w:t xml:space="preserve">7. Status</w:t>
      </w:r>
    </w:p>
    <w:p>
      <w:pPr>
        <w:spacing w:after="14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DATA-11 Measurable DuckDB migration trigger and migration runbook.</w:t>
      </w:r>
      <w:r>
        <w:rPr>
          <w:rFonts w:ascii="Calibri" w:cs="Calibri" w:eastAsia="Calibri" w:hAnsi="Calibri"/>
          <w:sz w:val="21"/>
          <w:szCs w:val="21"/>
        </w:rPr>
        <w:t xml:space="preserve"> — This document. Real, concrete triggers grounded in this codebase's actual concurrency model (the single process-wide lock, confirmed by reading db_manager.py directly), an honest disclosure that no production load exists yet to validate them against, the specific instrumentation gap that needs closing before some triggers can be measured at all, and a step-by-step runbook to Postgres. This is a documentation/analysis deliverable, not a code change -- no backend files were modified for this item.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2026-08-27T13:29:13.440Z</dcterms:created>
  <dcterms:modified xsi:type="dcterms:W3CDTF">2026-08-27T13:29:13.457Z</dcterms:modified>
</cp:coreProperties>
</file>

<file path=docProps/custom.xml><?xml version="1.0" encoding="utf-8"?>
<Properties xmlns="http://schemas.openxmlformats.org/officeDocument/2006/custom-properties" xmlns:vt="http://schemas.openxmlformats.org/officeDocument/2006/docPropsVTypes"/>
</file>