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2.0 | 26 August 2026 | Section 2 extended with 13 new competitive-response candidate features (DIFF-09–21), sourced from a live competitive review of Fathom, Jirav and Zeni</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13-agent architecture: Orchestrator plus 12 specialist agents covering ingestion, data engineering, schema/database management, analytics, reporting, forecasting, finance, security, strategy, visualization, and telemetry.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10 of 13 agents confirmed built, fixed, and live-routed; 2 confirmed folded into db_manager.py (Schema Mapper #03, Ingestion Engine #01); 1 retired (Data Analyst #04, duties absorbed by BI Engineer #05). 0 of 13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every CFO-briefing sentence carries a clickable row_id citation back to its source ledger rows, closing SRS gap FR-4.4 and completing the evidence-trail story DIFF-01 started.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10 DIFF-10 Wire the existing, unwired scenario_modeler.py into a real what-if simulator</w:t>
      </w:r>
      <w:r>
        <w:rPr>
          <w:rFonts w:ascii="Calibri" w:cs="Calibri" w:eastAsia="Calibri" w:hAnsi="Calibri"/>
          <w:sz w:val="21"/>
          <w:szCs w:val="21"/>
        </w:rPr>
        <w:t xml:space="preserve"> — price change / new hire / churned account vs. runway. The module already exists in the repo, off the 13-agent roster and currently unwired — cheapest-to-ship item in this tier since no new module is needed, just integration. Normally a tier-above feature (Cube/Pigment/Mosaic-class). See COMP-03.</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first (both extend code that already exists); DIFF-13 and DIFF-14 next (self-contained integrations neutralizing Fathom's single most-cited complaint); DIFF-11 and DIFF-12 after that (build on DIFF-09's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FIN-02/03/04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reviewed or built.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dedup/history/versioning still open. row_id now assigned per row (DIFF-01).</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formal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Logout is client-side token discard (JWT, no server-side session to invalidate).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Login/signup issuance is now real and reviewed. Access tokens are still long-lived JWTs with no refresh-token rotation or short-expiry/refresh pairing — that half of this item remains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AUTH-04 MFA capability; define tier/role policy.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AUTH-05 Login throttling, brute-force protection and suspicious-session controls.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WebSocket connection-overwrite race fixed; user-facing session/device management not reviewed.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now happens automatically and atomically on signup (one tenant + its owner per signup call). There is still no lifecycle beyond that — no suspend/reactivate/delete-tenant states or admin tooling for managing tenants after creation.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TEN-02 Tenant suspension/reactivation and subscription-driven access control.</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TEN-03 Tenant export and deletion workflows.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DATA-03 Reject ragged/multi-header/structurally invalid files without partial ingestion.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Current behavior is full delete-and-replace per upload — not row/file-level fingerprinting.</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DATA-08 Ingestion history, status, errors, retry and cancellation behavior.</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happens implicitly (delete + reinsert per upload); no explicit versioning or deletion API.</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Unchanged this update — the current revenue/COGS/OPEX split in virtual_cfo.py remains a simple sign+keyword heuristic, not a formally defined calculation.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previously silent, fabricated cash-reserve assumption is now an explicit, disclosed ASSUMED_CASH_RESERVES constant, and is now surfaced client-facing via DIFF-02's Assumption Ledger. The formal ground-truth definition itself is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next up, per founder direction this update — not started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cash runway remain FIN-02/FIN-03 open items).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now has a real ground-truth suite; FIN-02/FIN-03 still do not.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