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2.1 | 27 August 2026 | COMP-03 (scenario modeler) shipped and inducted as Agent #14 -- see new Change Log entry below</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every CFO-briefing sentence carries a clickable row_id citation back to its source ledger rows, closing SRS gap FR-4.4 and completing the evidence-trail story DIFF-01 started.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first (extends code that already exists) -- DIFF-10 has since shipped, see the v2.0 → v2.1 Change Log entry above; DIFF-13 and DIFF-14 next (self-contained integrations neutralizing Fathom's single most-cited complaint); DIFF-11 and DIFF-12 after that (build on DIFF-09's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FIN-02/03/04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reviewed or built.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formal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AUTH-05 Login throttling, brute-force protection and suspicious-session controls.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now happens automatically and atomically on signup (one tenant + its owner per signup call). There is still no lifecycle beyond that — no suspend/reactivate/delete-tenant states or admin tooling for managing tenants after creation.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TEN-02 Tenant suspension/reactivation and subscription-driven access control.</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TEN-03 Tenant export and deletion workflows.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Unchanged this update — the current revenue/COGS/OPEX split in virtual_cfo.py remains a simple sign+keyword heuristic, not a formally defined calculation.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previously silent, fabricated cash-reserve assumption is now an explicit, disclosed ASSUMED_CASH_RESERVES constant, and is now surfaced client-facing via DIFF-02's Assumption Ledger. The formal ground-truth definition itself is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cash runway remain FIN-02/FIN-03 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now has a real ground-truth suite; FIN-02/FIN-03 still do not.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