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2.14 | 27 August 2026 | DATA-06 correction -- row/column caps were already real and undocumented; see new Change Log entry below</w:t>
      </w:r>
    </w:p>
    <w:p>
      <w:pPr>
        <w:pStyle w:val="Heading2"/>
        <w:spacing w:after="100" w:before="240"/>
      </w:pPr>
      <w:r>
        <w:rPr>
          <w:rFonts w:ascii="Calibri" w:cs="Calibri" w:eastAsia="Calibri" w:hAnsi="Calibri"/>
          <w:b/>
          <w:bCs/>
          <w:color w:val="1F3864"/>
          <w:sz w:val="24"/>
          <w:szCs w:val="24"/>
        </w:rPr>
        <w:t xml:space="preserve">Change Log — v2.13 → v2.14 (this update)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CORRECTED 27 Aug 2026: row/column count limits were already real and enforced (MAX_INGEST_ROWS=500,000, MAX_INGEST_COLUMNS=200 in backend/db_manager.py) -- this row's own description simply hadn't been updated to say so. See the v2.13→v2.14 Change Log entry above. Byte-size and row/column caps are all real now; a per-tenant/per-time REQUEST rate limit on the ingestion endpoint itself is confirmed still genuinely open -- no throttling exists on upload frequency, only on any single upload's size.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