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2.5 | 27 August 2026 | TEN-01/TEN-02/TEN-03 (tenant suspend/reactivate/export/delete) shipped -- see new Change Log entry below</w:t>
      </w:r>
    </w:p>
    <w:p>
      <w:pPr>
        <w:pStyle w:val="Heading2"/>
        <w:spacing w:after="100" w:before="240"/>
      </w:pPr>
      <w:r>
        <w:rPr>
          <w:rFonts w:ascii="Calibri" w:cs="Calibri" w:eastAsia="Calibri" w:hAnsi="Calibri"/>
          <w:b/>
          <w:bCs/>
          <w:color w:val="1F3864"/>
          <w:sz w:val="24"/>
          <w:szCs w:val="24"/>
        </w:rPr>
        <w:t xml:space="preserve">Change Log — v2.4 → v2.5 (this update)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