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2.7 | 27 August 2026 | DATA-03/04/08/09 (ingestion hardening) reconciled to DONE/PARTIAL, new frontend ingestion-history/delete UI shipped -- see new Change Log entry below</w:t>
      </w:r>
    </w:p>
    <w:p>
      <w:pPr>
        <w:pStyle w:val="Heading2"/>
        <w:spacing w:after="100" w:before="240"/>
      </w:pPr>
      <w:r>
        <w:rPr>
          <w:rFonts w:ascii="Calibri" w:cs="Calibri" w:eastAsia="Calibri" w:hAnsi="Calibri"/>
          <w:b/>
          <w:bCs/>
          <w:color w:val="1F3864"/>
          <w:sz w:val="24"/>
          <w:szCs w:val="24"/>
        </w:rPr>
        <w:t xml:space="preserve">Change Log — v2.6 → v2.7 (this update)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Reconfirmed DONE 27 Aug 2026, after a real dependency-version bug was found and fixed.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See the Change Log entry above for the real mcp&lt;2 dependency-pin fix this row required, the full real end-to-end re-verification performed, and the one still-open action item: installing the (now-pinned) dependency into your real environment, which this session's tooling could not do on your behalf.</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