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NexusFlow Analytics — Executive Summary</w:t>
      </w:r>
    </w:p>
    <w:p>
      <w:pPr>
        <w:pBdr>
          <w:bottom w:val="single" w:color="1F3864" w:sz="6" w:space="6"/>
        </w:pBdr>
        <w:spacing w:after="240"/>
      </w:pPr>
      <w:r>
        <w:rPr>
          <w:rFonts w:ascii="Calibri" w:cs="Calibri" w:eastAsia="Calibri" w:hAnsi="Calibri"/>
          <w:i/>
          <w:iCs/>
          <w:color w:val="44546A"/>
          <w:sz w:val="24"/>
          <w:szCs w:val="24"/>
        </w:rPr>
        <w:t xml:space="preserve">Production-ready product, architecture, business model and execution priorities | Version 1.2 | 26 August 2026</w:t>
      </w:r>
    </w:p>
    <w:p>
      <w:pPr>
        <w:pBdr>
          <w:left w:val="single" w:color="1E7B34" w:sz="18" w:space="8"/>
        </w:pBdr>
        <w:shd w:fill="EAF3EA" w:val="clear"/>
        <w:spacing w:after="200" w:before="120"/>
      </w:pPr>
      <w:r>
        <w:rPr>
          <w:rFonts w:ascii="Calibri" w:cs="Calibri" w:eastAsia="Calibri" w:hAnsi="Calibri"/>
          <w:color w:val="1E5B27"/>
          <w:sz w:val="21"/>
          <w:szCs w:val="21"/>
        </w:rPr>
        <w:t xml:space="preserve">What's new in v1.2: a real competitive review against three named, priced comparable products (Fathom, Jirav, Zeni) resulted in a 13-item feature roadmap (COMP-01 through COMP-13) turning every named competitor weakness into a scoped, buildable feature — see "Competitive Landscape &amp; Planned Differentiators" below. Full detail and sources: Eivanta Competitive Analysis &amp; Feature Roadmap, 26 August 2026. (v1.1's five shipped differentiation features and MRR ground-truth suite remain live and are carried forward under Current Strengths, below.)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Overview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NexusFlow Analytics is positioned as a multi-tenant, AI-driven business-intelligence SaaS platform that connects business operational data to an autonomous 13-agent network and turns that data into analytics, forecasts and executive-style financial briefings. The existing architecture evolved from a local WebSocket prototype into a security-focused SaaS design.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What the Platform Does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Accepts client CSV data and planned external data sources.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Repairs and validates common schema problems and prevents duplicate ingestion.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Stores tenant-isolated operational data in DuckDB and uses Qdrant for semantic search.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Routes natural-language requests through a central Orchestrator to specialist agents.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Provides analytics, forecasting, churn scoring, margin/runway calculations and executive briefings.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Streams authenticated agent activity to the dashboard in real 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Uses security controls including JWT tenant verification, fail-closed startup, TLS-aware transport and whitelisted SQL generation.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Shows its own work: a real MRR figure with a ground-truth test suite, an evidence-trail drill-down from any category/month back to its exact source rows, a disclosed assumption ledger, and a transparency panel listing exactly what the platform doesn't know yet for a given tenant.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13-Agent Operating Model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The finalized architecture contains Agent #00 Orchestrator plus 12 specialists. The specialists cover ingestion, data engineering, schema/database management, analytics, reporting, forecasting, finance, cybersecurity, strategy, visualization and external telemetry.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Business Positioning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Mission: democratize enterprise-grade financial intelligence for SMBs by turning messy operational data into secure, actionable insight through autonomous agent networks. Slogan: "Autonomous Intelligence. Uncompromised Control."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100"/>
        <w:gridCol w:w="348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documented pricing</w:t>
            </w:r>
          </w:p>
        </w:tc>
        <w:tc>
          <w:tcPr>
            <w:tcW w:type="dxa" w:w="3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Core value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Operations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Micro-SMBs / early teams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$95–$299/mo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Dashboard, upload, natural-language search, visualization.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Growth Intelligence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Mid-sized SMBs / scaleups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$500–$2,000/mo</w:t>
            </w:r>
          </w:p>
        </w:tc>
        <w:tc>
          <w:tcPr>
            <w:tcW w:type="dxa" w:w="3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Self-healing ingestion, forecasting, churn scoring, CFO briefings.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Enterprise Governance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Mature / regulated organizations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$2,000–$4,000+/mo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BYOK, MCP, FinOps controls, audit lineage.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Competitive Landscape &amp; Planned Differentiators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A real competitive review against three named, priced comparable products — Fathom (self-serve BI/reporting for accountants), Jirav (FP&amp;A/budgeting), and Zeni (AI bookkeeping + fractional CFO) — found that Eivanta's three documented tiers already bracket both ends of that market, from Fathom's dashboard-only low end to Zeni's human-CFO high end, without a human-labor cost built into the price. The review turned every named competitor weakness into a scoped, buildable feature rather than a generic "add AI" suggestion. Full detail, sources, and per-competitor gaps: Eivanta Competitive Analysis &amp; Feature Roadmap, 26 August 2026.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Thirteen candidate features resulted (COMP-01 through COMP-13). All are proposed and NOT STARTED except one — COMP-03, a what-if scenario simulator on runway and cashflow — where the code already exists (scenario_modeler.py) and only needs wiring in. Suggested build order, not a mandate: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First: inline evidence citations in every CFO-briefing sentence, and wiring up the dormant scenario simulator — both extend code that already exists.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Second: native Stripe and Shopify connectors — directly neutralize Fathom's single most-cited complaint (manual CSV import for anything outside Xero/QuickBooks/MYOB).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Third: driver-level variance attribution and proactive anomaly alerts pushed to email/Slack, building on the citation work above.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Later, larger scope: a multi-tenant portfolio view for accounting-firm resellers, native CRM and payroll connectors, and a headcount-driven runway module — each a bigger scoping decision on its own.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Ongoing, no engineering dependency: multi-language ingestion, "no bundling, no lock-in" positioning, and a published time-to-first-insight metric.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None of this is committed or scheduled ahead of the production-hardening priority below — it is a scoped backlog, evaluated against named competitor gaps, not a promise. RBAC/auth completion, billing, and production deployment remain deferred to the end of the build sequence per standing founder direction, unaffected by this addition.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Current Strengths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 13-agent functional decomposition.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Strong tenant-isolation and secure-query design principles.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Idempotent ingestion and explicit concurrency controls.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Automated test harness, chaos simulation and syntax/integrity gates.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Clear SMB-oriented pricing and value proposition.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Five shipped differentiation features (evidence trail, assumption ledger, known-gaps transparency panel, deterministic category suggestions, first-run onboarding checklist) — real trust and stickiness signals, not roadmap items.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real, disclosed Monthly Recurring Revenue calculation with its own ground-truth test suite (FIN-01) — never silently guessed or backfilled.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 centralized AI model registry with a regression-diffing check that runs before any model swap ships (AI-04).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Material Gaps Before Production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Complete authentication lifecycle and resource-level RBAC.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Tenant provisioning/deletion/suspension lifecycle.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Production billing and subscription lifecycle.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Backup, disaster recovery, RPO/RTO and restore verification.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Operational observability and incident response.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AI/model lifecycle governance and measurable evaluation.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Formal financial calculation definitions and ground-truth tests — MRR is now done (FIN-01); gross margin and cash runway definitions are still open (FIN-02, FIN-03).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API/WebSocket contracts, rate limits and abuse controls.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Production deployment, CI/CD and measurable scalability triggers.</w:t>
      </w:r>
    </w:p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Success Criteria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Technical completion should not be treated as commercial success. The product should be evaluated through a gated scorecard covering security, reliability, correctness, activation, retention and customer ROI.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80"/>
        <w:gridCol w:w="6000"/>
      </w:tblGrid>
      <w:tr>
        <w:trPr>
          <w:tblHeader/>
        </w:trPr>
        <w:tc>
          <w:tcPr>
            <w:tcW w:type="dxa" w:w="40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Agent task success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≥98% healthy baseline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Tenant-isolation failures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Financial calculation correctness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≥99% against ground truth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≥99.5%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Typical CSV ingestion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&lt;10 seconds for the documented test class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Natural-language query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&lt;5 seconds under normal load, excluding first model cold-start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First-value activation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≥60% of qualified onboarded accounts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90-day retention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≥50–60% by cohort</w:t>
            </w:r>
          </w:p>
        </w:tc>
      </w:tr>
      <w:tr>
        <w:tc>
          <w:tcPr>
            <w:tcW w:type="dxa" w:w="40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Qualified trial-to-paid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Target ≥10%</w:t>
            </w:r>
          </w:p>
        </w:tc>
      </w:tr>
      <w:tr>
        <w:tc>
          <w:tcPr>
            <w:tcW w:type="dxa" w:w="40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Customer proof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 least 5 strong ROI case studies before broad scaling</w:t>
            </w:r>
          </w:p>
        </w:tc>
      </w:tr>
    </w:tbl>
    <w:p>
      <w:pPr>
        <w:pStyle w:val="Heading1"/>
        <w:pBdr>
          <w:bottom w:val="single" w:color="B8C4D9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Executive Recommendation</w:t>
      </w:r>
    </w:p>
    <w:p>
      <w:pPr>
        <w:spacing w:after="140"/>
      </w:pPr>
      <w:r>
        <w:rPr>
          <w:rFonts w:ascii="Calibri" w:cs="Calibri" w:eastAsia="Calibri" w:hAnsi="Calibri"/>
          <w:i w:val="false"/>
          <w:iCs w:val="false"/>
          <w:color w:val="000000"/>
          <w:sz w:val="21"/>
          <w:szCs w:val="21"/>
        </w:rPr>
        <w:t xml:space="preserve">Proceed with a production-hardening phase rather than adding more agents. The current architecture already contains a broad functional surface, now including a completed differentiation roadmap tier (Section 2 of the Master Build List). The highest-value work remaining is to convert the architecture into a testable, secure, observable, recoverable and commercially measurable SaaS system — security/RBAC and billing remain deliberately deferred to the end of the build sequence per founder direction, so the product reaches feature-complete before either is built.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2026-08-23T07:02:08.746Z</dcterms:created>
  <dcterms:modified xsi:type="dcterms:W3CDTF">2026-08-23T07:02:08.746Z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