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NexusFlow Analytics — Executive Summary</w:t>
      </w:r>
    </w:p>
    <w:p>
      <w:pPr>
        <w:pBdr>
          <w:bottom w:val="single" w:color="1F3864" w:sz="6" w:space="6"/>
        </w:pBdr>
        <w:spacing w:after="240"/>
      </w:pPr>
      <w:r>
        <w:rPr>
          <w:rFonts w:ascii="Calibri" w:cs="Calibri" w:eastAsia="Calibri" w:hAnsi="Calibri"/>
          <w:i/>
          <w:iCs/>
          <w:color w:val="44546A"/>
          <w:sz w:val="24"/>
          <w:szCs w:val="24"/>
        </w:rPr>
        <w:t xml:space="preserve">Production-ready product, architecture, business model and execution priorities | Version 1.3 | 27 August 2026</w:t>
      </w:r>
    </w:p>
    <w:p>
      <w:pPr>
        <w:pBdr>
          <w:left w:val="single" w:color="1E7B34" w:sz="18" w:space="8"/>
        </w:pBdr>
        <w:shd w:fill="EAF3EA" w:val="clear"/>
        <w:spacing w:after="200" w:before="120"/>
      </w:pPr>
      <w:r>
        <w:rPr>
          <w:rFonts w:ascii="Calibri" w:cs="Calibri" w:eastAsia="Calibri" w:hAnsi="Calibri"/>
          <w:color w:val="1E5B27"/>
          <w:sz w:val="21"/>
          <w:szCs w:val="21"/>
        </w:rPr>
        <w:t xml:space="preserve">What's new in v1.3: COMP-03 (the what-if scenario simulator on runway/cashflow) has shipped — real endpoint, real UI card, real tests — and was inducted 27 August 2026 as Agent #14, the platform's 13th named specialist alongside Orchestrator (#00). The operating model is now 14 agents, up from 13. This also corrects v1.2's own description of COMP-03 below: the code did not “already exist” needing only wiring — the file in question was a 15-line hardcoded stub returning fixed fake output for every input, so this was a real rebuild, not a wiring-up. (v1.1's five shipped differentiation features and MRR ground-truth suite remain live and are carried forward under Current Strengths, below.)</w:t>
      </w:r>
    </w:p>
    <w:p>
      <w:pPr>
        <w:pStyle w:val="Heading1"/>
        <w:pBdr>
          <w:bottom w:val="single" w:color="B8C4D9" w:sz="4" w:space="4"/>
        </w:pBdr>
        <w:spacing w:after="140" w:before="320"/>
      </w:pPr>
      <w:r>
        <w:rPr>
          <w:rFonts w:ascii="Calibri" w:cs="Calibri" w:eastAsia="Calibri" w:hAnsi="Calibri"/>
          <w:b/>
          <w:bCs/>
          <w:color w:val="1F3864"/>
          <w:sz w:val="28"/>
          <w:szCs w:val="28"/>
        </w:rPr>
        <w:t xml:space="preserve">Executive Overview</w:t>
      </w:r>
    </w:p>
    <w:p>
      <w:pPr>
        <w:spacing w:after="140"/>
      </w:pPr>
      <w:r>
        <w:rPr>
          <w:rFonts w:ascii="Calibri" w:cs="Calibri" w:eastAsia="Calibri" w:hAnsi="Calibri"/>
          <w:i w:val="false"/>
          <w:iCs w:val="false"/>
          <w:color w:val="000000"/>
          <w:sz w:val="21"/>
          <w:szCs w:val="21"/>
        </w:rPr>
        <w:t xml:space="preserve">NexusFlow Analytics is positioned as a multi-tenant, AI-driven business-intelligence SaaS platform that connects business operational data to an autonomous 14-agent network and turns that data into analytics, forecasts and executive-style financial briefings. The existing architecture evolved from a local WebSocket prototype into a security-focused SaaS design.</w:t>
      </w:r>
    </w:p>
    <w:p>
      <w:pPr>
        <w:pStyle w:val="Heading1"/>
        <w:pBdr>
          <w:bottom w:val="single" w:color="B8C4D9" w:sz="4" w:space="4"/>
        </w:pBdr>
        <w:spacing w:after="140" w:before="320"/>
      </w:pPr>
      <w:r>
        <w:rPr>
          <w:rFonts w:ascii="Calibri" w:cs="Calibri" w:eastAsia="Calibri" w:hAnsi="Calibri"/>
          <w:b/>
          <w:bCs/>
          <w:color w:val="1F3864"/>
          <w:sz w:val="28"/>
          <w:szCs w:val="28"/>
        </w:rPr>
        <w:t xml:space="preserve">What the Platform Does</w:t>
      </w:r>
    </w:p>
    <w:p>
      <w:pPr>
        <w:pStyle w:val="ListParagraph"/>
        <w:numPr>
          <w:ilvl w:val="0"/>
          <w:numId w:val="1"/>
        </w:numPr>
        <w:spacing w:after="90"/>
      </w:pPr>
      <w:r>
        <w:rPr>
          <w:rFonts w:ascii="Calibri" w:cs="Calibri" w:eastAsia="Calibri" w:hAnsi="Calibri"/>
          <w:sz w:val="21"/>
          <w:szCs w:val="21"/>
        </w:rPr>
        <w:t xml:space="preserve">Accepts client CSV data and planned external data sources.</w:t>
      </w:r>
    </w:p>
    <w:p>
      <w:pPr>
        <w:pStyle w:val="ListParagraph"/>
        <w:numPr>
          <w:ilvl w:val="0"/>
          <w:numId w:val="1"/>
        </w:numPr>
        <w:spacing w:after="90"/>
      </w:pPr>
      <w:r>
        <w:rPr>
          <w:rFonts w:ascii="Calibri" w:cs="Calibri" w:eastAsia="Calibri" w:hAnsi="Calibri"/>
          <w:sz w:val="21"/>
          <w:szCs w:val="21"/>
        </w:rPr>
        <w:t xml:space="preserve">Repairs and validates common schema problems and prevents duplicate ingestion.</w:t>
      </w:r>
    </w:p>
    <w:p>
      <w:pPr>
        <w:pStyle w:val="ListParagraph"/>
        <w:numPr>
          <w:ilvl w:val="0"/>
          <w:numId w:val="1"/>
        </w:numPr>
        <w:spacing w:after="90"/>
      </w:pPr>
      <w:r>
        <w:rPr>
          <w:rFonts w:ascii="Calibri" w:cs="Calibri" w:eastAsia="Calibri" w:hAnsi="Calibri"/>
          <w:sz w:val="21"/>
          <w:szCs w:val="21"/>
        </w:rPr>
        <w:t xml:space="preserve">Stores tenant-isolated operational data in DuckDB and uses Qdrant for semantic search.</w:t>
      </w:r>
    </w:p>
    <w:p>
      <w:pPr>
        <w:pStyle w:val="ListParagraph"/>
        <w:numPr>
          <w:ilvl w:val="0"/>
          <w:numId w:val="1"/>
        </w:numPr>
        <w:spacing w:after="90"/>
      </w:pPr>
      <w:r>
        <w:rPr>
          <w:rFonts w:ascii="Calibri" w:cs="Calibri" w:eastAsia="Calibri" w:hAnsi="Calibri"/>
          <w:sz w:val="21"/>
          <w:szCs w:val="21"/>
        </w:rPr>
        <w:t xml:space="preserve">Routes natural-language requests through a central Orchestrator to specialist agents.</w:t>
      </w:r>
    </w:p>
    <w:p>
      <w:pPr>
        <w:pStyle w:val="ListParagraph"/>
        <w:numPr>
          <w:ilvl w:val="0"/>
          <w:numId w:val="1"/>
        </w:numPr>
        <w:spacing w:after="90"/>
      </w:pPr>
      <w:r>
        <w:rPr>
          <w:rFonts w:ascii="Calibri" w:cs="Calibri" w:eastAsia="Calibri" w:hAnsi="Calibri"/>
          <w:sz w:val="21"/>
          <w:szCs w:val="21"/>
        </w:rPr>
        <w:t xml:space="preserve">Provides analytics, forecasting, churn scoring, margin/runway calculations and executive briefings.</w:t>
      </w:r>
    </w:p>
    <w:p>
      <w:pPr>
        <w:pStyle w:val="ListParagraph"/>
        <w:numPr>
          <w:ilvl w:val="0"/>
          <w:numId w:val="1"/>
        </w:numPr>
        <w:spacing w:after="90"/>
      </w:pPr>
      <w:r>
        <w:rPr>
          <w:rFonts w:ascii="Calibri" w:cs="Calibri" w:eastAsia="Calibri" w:hAnsi="Calibri"/>
          <w:sz w:val="21"/>
          <w:szCs w:val="21"/>
        </w:rPr>
        <w:t xml:space="preserve">Streams authenticated agent activity to the dashboard in real time.</w:t>
      </w:r>
    </w:p>
    <w:p>
      <w:pPr>
        <w:pStyle w:val="ListParagraph"/>
        <w:numPr>
          <w:ilvl w:val="0"/>
          <w:numId w:val="1"/>
        </w:numPr>
        <w:spacing w:after="90"/>
      </w:pPr>
      <w:r>
        <w:rPr>
          <w:rFonts w:ascii="Calibri" w:cs="Calibri" w:eastAsia="Calibri" w:hAnsi="Calibri"/>
          <w:sz w:val="21"/>
          <w:szCs w:val="21"/>
        </w:rPr>
        <w:t xml:space="preserve">Uses security controls including JWT tenant verification, fail-closed startup, TLS-aware transport and whitelisted SQL generation.</w:t>
      </w:r>
    </w:p>
    <w:p>
      <w:pPr>
        <w:pStyle w:val="ListParagraph"/>
        <w:numPr>
          <w:ilvl w:val="0"/>
          <w:numId w:val="1"/>
        </w:numPr>
        <w:spacing w:after="90"/>
      </w:pPr>
      <w:r>
        <w:rPr>
          <w:rFonts w:ascii="Calibri" w:cs="Calibri" w:eastAsia="Calibri" w:hAnsi="Calibri"/>
          <w:sz w:val="21"/>
          <w:szCs w:val="21"/>
        </w:rPr>
        <w:t xml:space="preserve">Shows its own work: a real MRR figure with a ground-truth test suite, an evidence-trail drill-down from any category/month back to its exact source rows, a disclosed assumption ledger, and a transparency panel listing exactly what the platform doesn't know yet for a given tenant.</w:t>
      </w:r>
    </w:p>
    <w:p>
      <w:pPr>
        <w:pStyle w:val="Heading1"/>
        <w:pBdr>
          <w:bottom w:val="single" w:color="B8C4D9" w:sz="4" w:space="4"/>
        </w:pBdr>
        <w:spacing w:after="140" w:before="320"/>
      </w:pPr>
      <w:r>
        <w:rPr>
          <w:rFonts w:ascii="Calibri" w:cs="Calibri" w:eastAsia="Calibri" w:hAnsi="Calibri"/>
          <w:b/>
          <w:bCs/>
          <w:color w:val="1F3864"/>
          <w:sz w:val="28"/>
          <w:szCs w:val="28"/>
        </w:rPr>
        <w:t xml:space="preserve">14-Agent Operating Model</w:t>
      </w:r>
    </w:p>
    <w:p>
      <w:pPr>
        <w:spacing w:after="140"/>
      </w:pPr>
      <w:r>
        <w:rPr>
          <w:rFonts w:ascii="Calibri" w:cs="Calibri" w:eastAsia="Calibri" w:hAnsi="Calibri"/>
          <w:i w:val="false"/>
          <w:iCs w:val="false"/>
          <w:color w:val="000000"/>
          <w:sz w:val="21"/>
          <w:szCs w:val="21"/>
        </w:rPr>
        <w:t xml:space="preserve">The finalized architecture contains Agent #00 Orchestrator plus 13 specialists. The specialists cover ingestion, data engineering, schema/database management, analytics, reporting, forecasting, finance, cybersecurity, strategy, visualization, external telemetry, and (added 27 August 2026) what-if scenario modeling.</w:t>
      </w:r>
    </w:p>
    <w:p>
      <w:pPr>
        <w:pStyle w:val="Heading1"/>
        <w:pBdr>
          <w:bottom w:val="single" w:color="B8C4D9" w:sz="4" w:space="4"/>
        </w:pBdr>
        <w:spacing w:after="140" w:before="320"/>
      </w:pPr>
      <w:r>
        <w:rPr>
          <w:rFonts w:ascii="Calibri" w:cs="Calibri" w:eastAsia="Calibri" w:hAnsi="Calibri"/>
          <w:b/>
          <w:bCs/>
          <w:color w:val="1F3864"/>
          <w:sz w:val="28"/>
          <w:szCs w:val="28"/>
        </w:rPr>
        <w:t xml:space="preserve">Business Positioning</w:t>
      </w:r>
    </w:p>
    <w:p>
      <w:pPr>
        <w:spacing w:after="140"/>
      </w:pPr>
      <w:r>
        <w:rPr>
          <w:rFonts w:ascii="Calibri" w:cs="Calibri" w:eastAsia="Calibri" w:hAnsi="Calibri"/>
          <w:i w:val="false"/>
          <w:iCs w:val="false"/>
          <w:color w:val="000000"/>
          <w:sz w:val="21"/>
          <w:szCs w:val="21"/>
        </w:rPr>
        <w:t xml:space="preserve">Mission: democratize enterprise-grade financial intelligence for SMBs by turning messy operational data into secure, actionable insight through autonomous agent networks. Slogan: "Autonomous Intelligence. Uncompromised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100"/>
        <w:gridCol w:w="3480"/>
      </w:tblGrid>
      <w:tr>
        <w:trPr>
          <w:tblHeader/>
        </w:trPr>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Current documented pricing</w:t>
            </w:r>
          </w:p>
        </w:tc>
        <w:tc>
          <w:tcPr>
            <w:tcW w:type="dxa" w:w="34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Core value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Core Operations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Micro-SMBs / early teams</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$95–$299/mo</w:t>
            </w:r>
          </w:p>
        </w:tc>
        <w:tc>
          <w:tcPr>
            <w:tcW w:type="dxa" w:w="34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Dashboard, upload, natural-language search, visualization.</w:t>
            </w:r>
          </w:p>
        </w:tc>
      </w:tr>
      <w:tr>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Growth Intelligence</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Mid-sized SMBs / scaleups</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$500–$2,000/mo</w:t>
            </w:r>
          </w:p>
        </w:tc>
        <w:tc>
          <w:tcPr>
            <w:tcW w:type="dxa" w:w="34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Self-healing ingestion, forecasting, churn scoring, CFO briefings.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Enterprise Governance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Mature / regulated organizations</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$2,000–$4,000+/mo</w:t>
            </w:r>
          </w:p>
        </w:tc>
        <w:tc>
          <w:tcPr>
            <w:tcW w:type="dxa" w:w="34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BYOK, MCP, FinOps controls, audit lineage.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Competitive Landscape &amp; Planned Differentiators</w:t>
      </w:r>
    </w:p>
    <w:p>
      <w:pPr>
        <w:spacing w:after="140"/>
      </w:pPr>
      <w:r>
        <w:rPr>
          <w:rFonts w:ascii="Calibri" w:cs="Calibri" w:eastAsia="Calibri" w:hAnsi="Calibri"/>
          <w:i w:val="false"/>
          <w:iCs w:val="false"/>
          <w:color w:val="000000"/>
          <w:sz w:val="21"/>
          <w:szCs w:val="21"/>
        </w:rPr>
        <w:t xml:space="preserve">A real competitive review against three named, priced comparable products — Fathom (self-serve BI/reporting for accountants), Jirav (FP&amp;A/budgeting), and Zeni (AI bookkeeping + fractional CFO) — found that Eivanta's three documented tiers already bracket both ends of that market, from Fathom's dashboard-only low end to Zeni's human-CFO high end, without a human-labor cost built into the price. The review turned every named competitor weakness into a scoped, buildable feature rather than a generic "add AI" suggestion. Full detail, sources, and per-competitor gaps: Eivanta Competitive Analysis &amp; Feature Roadmap, 26 August 2026.</w:t>
      </w:r>
    </w:p>
    <w:p>
      <w:pPr>
        <w:spacing w:after="140"/>
      </w:pPr>
      <w:r>
        <w:rPr>
          <w:rFonts w:ascii="Calibri" w:cs="Calibri" w:eastAsia="Calibri" w:hAnsi="Calibri"/>
          <w:i w:val="false"/>
          <w:iCs w:val="false"/>
          <w:color w:val="000000"/>
          <w:sz w:val="21"/>
          <w:szCs w:val="21"/>
        </w:rPr>
        <w:t xml:space="preserve">Thirteen candidate features resulted (COMP-01 through COMP-13). COMP-03 (a what-if scenario simulator on runway and cashflow) has since shipped and was inducted as Agent #14 — see the “What’s new in v1.3” note above for the correction to what this row originally claimed about its starting state. The remaining twelve are proposed and NOT STARTED. Suggested build order, not a mandate:</w:t>
      </w:r>
    </w:p>
    <w:p>
      <w:pPr>
        <w:pStyle w:val="ListParagraph"/>
        <w:numPr>
          <w:ilvl w:val="0"/>
          <w:numId w:val="1"/>
        </w:numPr>
        <w:spacing w:after="90"/>
      </w:pPr>
      <w:r>
        <w:rPr>
          <w:rFonts w:ascii="Calibri" w:cs="Calibri" w:eastAsia="Calibri" w:hAnsi="Calibri"/>
          <w:sz w:val="21"/>
          <w:szCs w:val="21"/>
        </w:rPr>
        <w:t xml:space="preserve">First: inline evidence citations in every CFO-briefing sentence, and wiring up the dormant scenario simulator — both extend code that already exists.</w:t>
      </w:r>
    </w:p>
    <w:p>
      <w:pPr>
        <w:pStyle w:val="ListParagraph"/>
        <w:numPr>
          <w:ilvl w:val="0"/>
          <w:numId w:val="1"/>
        </w:numPr>
        <w:spacing w:after="90"/>
      </w:pPr>
      <w:r>
        <w:rPr>
          <w:rFonts w:ascii="Calibri" w:cs="Calibri" w:eastAsia="Calibri" w:hAnsi="Calibri"/>
          <w:sz w:val="21"/>
          <w:szCs w:val="21"/>
        </w:rPr>
        <w:t xml:space="preserve">Second: native Stripe and Shopify connectors — directly neutralize Fathom's single most-cited complaint (manual CSV import for anything outside Xero/QuickBooks/MYOB).</w:t>
      </w:r>
    </w:p>
    <w:p>
      <w:pPr>
        <w:pStyle w:val="ListParagraph"/>
        <w:numPr>
          <w:ilvl w:val="0"/>
          <w:numId w:val="1"/>
        </w:numPr>
        <w:spacing w:after="90"/>
      </w:pPr>
      <w:r>
        <w:rPr>
          <w:rFonts w:ascii="Calibri" w:cs="Calibri" w:eastAsia="Calibri" w:hAnsi="Calibri"/>
          <w:sz w:val="21"/>
          <w:szCs w:val="21"/>
        </w:rPr>
        <w:t xml:space="preserve">Third: driver-level variance attribution and proactive anomaly alerts pushed to email/Slack, building on the citation work above.</w:t>
      </w:r>
    </w:p>
    <w:p>
      <w:pPr>
        <w:pStyle w:val="ListParagraph"/>
        <w:numPr>
          <w:ilvl w:val="0"/>
          <w:numId w:val="1"/>
        </w:numPr>
        <w:spacing w:after="90"/>
      </w:pPr>
      <w:r>
        <w:rPr>
          <w:rFonts w:ascii="Calibri" w:cs="Calibri" w:eastAsia="Calibri" w:hAnsi="Calibri"/>
          <w:sz w:val="21"/>
          <w:szCs w:val="21"/>
        </w:rPr>
        <w:t xml:space="preserve">Later, larger scope: a multi-tenant portfolio view for accounting-firm resellers, native CRM and payroll connectors, and a headcount-driven runway module — each a bigger scoping decision on its own.</w:t>
      </w:r>
    </w:p>
    <w:p>
      <w:pPr>
        <w:pStyle w:val="ListParagraph"/>
        <w:numPr>
          <w:ilvl w:val="0"/>
          <w:numId w:val="1"/>
        </w:numPr>
        <w:spacing w:after="90"/>
      </w:pPr>
      <w:r>
        <w:rPr>
          <w:rFonts w:ascii="Calibri" w:cs="Calibri" w:eastAsia="Calibri" w:hAnsi="Calibri"/>
          <w:sz w:val="21"/>
          <w:szCs w:val="21"/>
        </w:rPr>
        <w:t xml:space="preserve">Ongoing, no engineering dependency: multi-language ingestion, "no bundling, no lock-in" positioning, and a published time-to-first-insight metric.</w:t>
      </w:r>
    </w:p>
    <w:p>
      <w:pPr>
        <w:spacing w:after="140"/>
      </w:pPr>
      <w:r>
        <w:rPr>
          <w:rFonts w:ascii="Calibri" w:cs="Calibri" w:eastAsia="Calibri" w:hAnsi="Calibri"/>
          <w:i w:val="false"/>
          <w:iCs w:val="false"/>
          <w:color w:val="000000"/>
          <w:sz w:val="21"/>
          <w:szCs w:val="21"/>
        </w:rPr>
        <w:t xml:space="preserve">None of this is committed or scheduled ahead of the production-hardening priority below — it is a scoped backlog, evaluated against named competitor gaps, not a promise. RBAC/auth completion, billing, and production deployment remain deferred to the end of the build sequence per standing founder direction, unaffected by this addition.</w:t>
      </w:r>
    </w:p>
    <w:p>
      <w:pPr>
        <w:pStyle w:val="Heading1"/>
        <w:pBdr>
          <w:bottom w:val="single" w:color="B8C4D9" w:sz="4" w:space="4"/>
        </w:pBdr>
        <w:spacing w:after="140" w:before="320"/>
      </w:pPr>
      <w:r>
        <w:rPr>
          <w:rFonts w:ascii="Calibri" w:cs="Calibri" w:eastAsia="Calibri" w:hAnsi="Calibri"/>
          <w:b/>
          <w:bCs/>
          <w:color w:val="1F3864"/>
          <w:sz w:val="28"/>
          <w:szCs w:val="28"/>
        </w:rPr>
        <w:t xml:space="preserve">Current Strengths</w:t>
      </w:r>
    </w:p>
    <w:p>
      <w:pPr>
        <w:pStyle w:val="ListParagraph"/>
        <w:numPr>
          <w:ilvl w:val="0"/>
          <w:numId w:val="1"/>
        </w:numPr>
        <w:spacing w:after="90"/>
      </w:pPr>
      <w:r>
        <w:rPr>
          <w:rFonts w:ascii="Calibri" w:cs="Calibri" w:eastAsia="Calibri" w:hAnsi="Calibri"/>
          <w:sz w:val="21"/>
          <w:szCs w:val="21"/>
        </w:rPr>
        <w:t xml:space="preserve">Clear 14-agent functional decomposition.</w:t>
      </w:r>
    </w:p>
    <w:p>
      <w:pPr>
        <w:pStyle w:val="ListParagraph"/>
        <w:numPr>
          <w:ilvl w:val="0"/>
          <w:numId w:val="1"/>
        </w:numPr>
        <w:spacing w:after="90"/>
      </w:pPr>
      <w:r>
        <w:rPr>
          <w:rFonts w:ascii="Calibri" w:cs="Calibri" w:eastAsia="Calibri" w:hAnsi="Calibri"/>
          <w:sz w:val="21"/>
          <w:szCs w:val="21"/>
        </w:rPr>
        <w:t xml:space="preserve">Strong tenant-isolation and secure-query design principles.</w:t>
      </w:r>
    </w:p>
    <w:p>
      <w:pPr>
        <w:pStyle w:val="ListParagraph"/>
        <w:numPr>
          <w:ilvl w:val="0"/>
          <w:numId w:val="1"/>
        </w:numPr>
        <w:spacing w:after="90"/>
      </w:pPr>
      <w:r>
        <w:rPr>
          <w:rFonts w:ascii="Calibri" w:cs="Calibri" w:eastAsia="Calibri" w:hAnsi="Calibri"/>
          <w:sz w:val="21"/>
          <w:szCs w:val="21"/>
        </w:rPr>
        <w:t xml:space="preserve">Idempotent ingestion and explicit concurrency controls.</w:t>
      </w:r>
    </w:p>
    <w:p>
      <w:pPr>
        <w:pStyle w:val="ListParagraph"/>
        <w:numPr>
          <w:ilvl w:val="0"/>
          <w:numId w:val="1"/>
        </w:numPr>
        <w:spacing w:after="90"/>
      </w:pPr>
      <w:r>
        <w:rPr>
          <w:rFonts w:ascii="Calibri" w:cs="Calibri" w:eastAsia="Calibri" w:hAnsi="Calibri"/>
          <w:sz w:val="21"/>
          <w:szCs w:val="21"/>
        </w:rPr>
        <w:t xml:space="preserve">Automated test harness, chaos simulation and syntax/integrity gates.</w:t>
      </w:r>
    </w:p>
    <w:p>
      <w:pPr>
        <w:pStyle w:val="ListParagraph"/>
        <w:numPr>
          <w:ilvl w:val="0"/>
          <w:numId w:val="1"/>
        </w:numPr>
        <w:spacing w:after="90"/>
      </w:pPr>
      <w:r>
        <w:rPr>
          <w:rFonts w:ascii="Calibri" w:cs="Calibri" w:eastAsia="Calibri" w:hAnsi="Calibri"/>
          <w:sz w:val="21"/>
          <w:szCs w:val="21"/>
        </w:rPr>
        <w:t xml:space="preserve">Clear SMB-oriented pricing and value proposition.</w:t>
      </w:r>
    </w:p>
    <w:p>
      <w:pPr>
        <w:pStyle w:val="ListParagraph"/>
        <w:numPr>
          <w:ilvl w:val="0"/>
          <w:numId w:val="1"/>
        </w:numPr>
        <w:spacing w:after="90"/>
      </w:pPr>
      <w:r>
        <w:rPr>
          <w:rFonts w:ascii="Calibri" w:cs="Calibri" w:eastAsia="Calibri" w:hAnsi="Calibri"/>
          <w:sz w:val="21"/>
          <w:szCs w:val="21"/>
        </w:rPr>
        <w:t xml:space="preserve">Five shipped differentiation features (evidence trail, assumption ledger, known-gaps transparency panel, deterministic category suggestions, first-run onboarding checklist) — real trust and stickiness signals, not roadmap items.</w:t>
      </w:r>
    </w:p>
    <w:p>
      <w:pPr>
        <w:pStyle w:val="ListParagraph"/>
        <w:numPr>
          <w:ilvl w:val="0"/>
          <w:numId w:val="1"/>
        </w:numPr>
        <w:spacing w:after="90"/>
      </w:pPr>
      <w:r>
        <w:rPr>
          <w:rFonts w:ascii="Calibri" w:cs="Calibri" w:eastAsia="Calibri" w:hAnsi="Calibri"/>
          <w:sz w:val="21"/>
          <w:szCs w:val="21"/>
        </w:rPr>
        <w:t xml:space="preserve">A real, disclosed Monthly Recurring Revenue calculation with its own ground-truth test suite (FIN-01) — never silently guessed or backfilled.</w:t>
      </w:r>
    </w:p>
    <w:p>
      <w:pPr>
        <w:pStyle w:val="ListParagraph"/>
        <w:numPr>
          <w:ilvl w:val="0"/>
          <w:numId w:val="1"/>
        </w:numPr>
        <w:spacing w:after="90"/>
      </w:pPr>
      <w:r>
        <w:rPr>
          <w:rFonts w:ascii="Calibri" w:cs="Calibri" w:eastAsia="Calibri" w:hAnsi="Calibri"/>
          <w:sz w:val="21"/>
          <w:szCs w:val="21"/>
        </w:rPr>
        <w:t xml:space="preserve">A centralized AI model registry with a regression-diffing check that runs before any model swap ships (AI-04).</w:t>
      </w:r>
    </w:p>
    <w:p>
      <w:pPr>
        <w:pStyle w:val="Heading1"/>
        <w:pBdr>
          <w:bottom w:val="single" w:color="B8C4D9" w:sz="4" w:space="4"/>
        </w:pBdr>
        <w:spacing w:after="140" w:before="320"/>
      </w:pPr>
      <w:r>
        <w:rPr>
          <w:rFonts w:ascii="Calibri" w:cs="Calibri" w:eastAsia="Calibri" w:hAnsi="Calibri"/>
          <w:b/>
          <w:bCs/>
          <w:color w:val="1F3864"/>
          <w:sz w:val="28"/>
          <w:szCs w:val="28"/>
        </w:rPr>
        <w:t xml:space="preserve">Material Gaps Before Production</w:t>
      </w:r>
    </w:p>
    <w:p>
      <w:pPr>
        <w:pStyle w:val="ListParagraph"/>
        <w:numPr>
          <w:ilvl w:val="0"/>
          <w:numId w:val="1"/>
        </w:numPr>
        <w:spacing w:after="90"/>
      </w:pPr>
      <w:r>
        <w:rPr>
          <w:rFonts w:ascii="Calibri" w:cs="Calibri" w:eastAsia="Calibri" w:hAnsi="Calibri"/>
          <w:sz w:val="21"/>
          <w:szCs w:val="21"/>
        </w:rPr>
        <w:t xml:space="preserve">Complete authentication lifecycle and resource-level RBAC.</w:t>
      </w:r>
    </w:p>
    <w:p>
      <w:pPr>
        <w:pStyle w:val="ListParagraph"/>
        <w:numPr>
          <w:ilvl w:val="0"/>
          <w:numId w:val="1"/>
        </w:numPr>
        <w:spacing w:after="90"/>
      </w:pPr>
      <w:r>
        <w:rPr>
          <w:rFonts w:ascii="Calibri" w:cs="Calibri" w:eastAsia="Calibri" w:hAnsi="Calibri"/>
          <w:sz w:val="21"/>
          <w:szCs w:val="21"/>
        </w:rPr>
        <w:t xml:space="preserve">Tenant provisioning/deletion/suspension lifecycle.</w:t>
      </w:r>
    </w:p>
    <w:p>
      <w:pPr>
        <w:pStyle w:val="ListParagraph"/>
        <w:numPr>
          <w:ilvl w:val="0"/>
          <w:numId w:val="1"/>
        </w:numPr>
        <w:spacing w:after="90"/>
      </w:pPr>
      <w:r>
        <w:rPr>
          <w:rFonts w:ascii="Calibri" w:cs="Calibri" w:eastAsia="Calibri" w:hAnsi="Calibri"/>
          <w:sz w:val="21"/>
          <w:szCs w:val="21"/>
        </w:rPr>
        <w:t xml:space="preserve">Production billing and subscription lifecycle.</w:t>
      </w:r>
    </w:p>
    <w:p>
      <w:pPr>
        <w:pStyle w:val="ListParagraph"/>
        <w:numPr>
          <w:ilvl w:val="0"/>
          <w:numId w:val="1"/>
        </w:numPr>
        <w:spacing w:after="90"/>
      </w:pPr>
      <w:r>
        <w:rPr>
          <w:rFonts w:ascii="Calibri" w:cs="Calibri" w:eastAsia="Calibri" w:hAnsi="Calibri"/>
          <w:sz w:val="21"/>
          <w:szCs w:val="21"/>
        </w:rPr>
        <w:t xml:space="preserve">Backup, disaster recovery, RPO/RTO and restore verification.</w:t>
      </w:r>
    </w:p>
    <w:p>
      <w:pPr>
        <w:pStyle w:val="ListParagraph"/>
        <w:numPr>
          <w:ilvl w:val="0"/>
          <w:numId w:val="1"/>
        </w:numPr>
        <w:spacing w:after="90"/>
      </w:pPr>
      <w:r>
        <w:rPr>
          <w:rFonts w:ascii="Calibri" w:cs="Calibri" w:eastAsia="Calibri" w:hAnsi="Calibri"/>
          <w:sz w:val="21"/>
          <w:szCs w:val="21"/>
        </w:rPr>
        <w:t xml:space="preserve">Operational observability and incident response.</w:t>
      </w:r>
    </w:p>
    <w:p>
      <w:pPr>
        <w:pStyle w:val="ListParagraph"/>
        <w:numPr>
          <w:ilvl w:val="0"/>
          <w:numId w:val="1"/>
        </w:numPr>
        <w:spacing w:after="90"/>
      </w:pPr>
      <w:r>
        <w:rPr>
          <w:rFonts w:ascii="Calibri" w:cs="Calibri" w:eastAsia="Calibri" w:hAnsi="Calibri"/>
          <w:sz w:val="21"/>
          <w:szCs w:val="21"/>
        </w:rPr>
        <w:t xml:space="preserve">AI/model lifecycle governance and measurable evaluation.</w:t>
      </w:r>
    </w:p>
    <w:p>
      <w:pPr>
        <w:pStyle w:val="ListParagraph"/>
        <w:numPr>
          <w:ilvl w:val="0"/>
          <w:numId w:val="1"/>
        </w:numPr>
        <w:spacing w:after="90"/>
      </w:pPr>
      <w:r>
        <w:rPr>
          <w:rFonts w:ascii="Calibri" w:cs="Calibri" w:eastAsia="Calibri" w:hAnsi="Calibri"/>
          <w:sz w:val="21"/>
          <w:szCs w:val="21"/>
        </w:rPr>
        <w:t xml:space="preserve">Formal financial calculation definitions and ground-truth tests — MRR is now done (FIN-01); gross margin and cash runway definitions are still open (FIN-02, FIN-03).</w:t>
      </w:r>
    </w:p>
    <w:p>
      <w:pPr>
        <w:pStyle w:val="ListParagraph"/>
        <w:numPr>
          <w:ilvl w:val="0"/>
          <w:numId w:val="1"/>
        </w:numPr>
        <w:spacing w:after="90"/>
      </w:pPr>
      <w:r>
        <w:rPr>
          <w:rFonts w:ascii="Calibri" w:cs="Calibri" w:eastAsia="Calibri" w:hAnsi="Calibri"/>
          <w:sz w:val="21"/>
          <w:szCs w:val="21"/>
        </w:rPr>
        <w:t xml:space="preserve">API/WebSocket contracts, rate limits and abuse controls.</w:t>
      </w:r>
    </w:p>
    <w:p>
      <w:pPr>
        <w:pStyle w:val="ListParagraph"/>
        <w:numPr>
          <w:ilvl w:val="0"/>
          <w:numId w:val="1"/>
        </w:numPr>
        <w:spacing w:after="90"/>
      </w:pPr>
      <w:r>
        <w:rPr>
          <w:rFonts w:ascii="Calibri" w:cs="Calibri" w:eastAsia="Calibri" w:hAnsi="Calibri"/>
          <w:sz w:val="21"/>
          <w:szCs w:val="21"/>
        </w:rPr>
        <w:t xml:space="preserve">Production deployment, CI/CD and measurable scalability triggers.</w:t>
      </w:r>
    </w:p>
    <w:p>
      <w:pPr>
        <w:pStyle w:val="Heading1"/>
        <w:pBdr>
          <w:bottom w:val="single" w:color="B8C4D9" w:sz="4" w:space="4"/>
        </w:pBdr>
        <w:spacing w:after="140" w:before="320"/>
      </w:pPr>
      <w:r>
        <w:rPr>
          <w:rFonts w:ascii="Calibri" w:cs="Calibri" w:eastAsia="Calibri" w:hAnsi="Calibri"/>
          <w:b/>
          <w:bCs/>
          <w:color w:val="1F3864"/>
          <w:sz w:val="28"/>
          <w:szCs w:val="28"/>
        </w:rPr>
        <w:t xml:space="preserve">Executive Success Criteria</w:t>
      </w:r>
    </w:p>
    <w:p>
      <w:pPr>
        <w:spacing w:after="140"/>
      </w:pPr>
      <w:r>
        <w:rPr>
          <w:rFonts w:ascii="Calibri" w:cs="Calibri" w:eastAsia="Calibri" w:hAnsi="Calibri"/>
          <w:i w:val="false"/>
          <w:iCs w:val="false"/>
          <w:color w:val="000000"/>
          <w:sz w:val="21"/>
          <w:szCs w:val="21"/>
        </w:rPr>
        <w:t xml:space="preserve">Technical completion should not be treated as commercial success. The product should be evaluated through a gated scorecard covering security, reliability, correctness, activation, retention and customer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rPr>
          <w:tblHeader/>
        </w:trPr>
        <w:tc>
          <w:tcPr>
            <w:tcW w:type="dxa" w:w="40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Dimension</w:t>
            </w:r>
          </w:p>
        </w:tc>
        <w:tc>
          <w:tcPr>
            <w:tcW w:type="dxa" w:w="6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r>
      <w:tr>
        <w:tc>
          <w:tcPr>
            <w:tcW w:type="dxa" w:w="4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 healthy baseline</w:t>
            </w:r>
          </w:p>
        </w:tc>
      </w:tr>
      <w:tr>
        <w:tc>
          <w:tcPr>
            <w:tcW w:type="dxa" w:w="4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Tenant-isolation failures</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r>
      <w:tr>
        <w:tc>
          <w:tcPr>
            <w:tcW w:type="dxa" w:w="4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 against ground truth</w:t>
            </w:r>
          </w:p>
        </w:tc>
      </w:tr>
      <w:tr>
        <w:tc>
          <w:tcPr>
            <w:tcW w:type="dxa" w:w="4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r>
      <w:tr>
        <w:tc>
          <w:tcPr>
            <w:tcW w:type="dxa" w:w="4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seconds for the documented test class</w:t>
            </w:r>
          </w:p>
        </w:tc>
      </w:tr>
      <w:tr>
        <w:tc>
          <w:tcPr>
            <w:tcW w:type="dxa" w:w="4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seconds under normal load, excluding first model cold-start</w:t>
            </w:r>
          </w:p>
        </w:tc>
      </w:tr>
      <w:tr>
        <w:tc>
          <w:tcPr>
            <w:tcW w:type="dxa" w:w="4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First-value activation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Target ≥60% of qualified onboarded accounts</w:t>
            </w:r>
          </w:p>
        </w:tc>
      </w:tr>
      <w:tr>
        <w:tc>
          <w:tcPr>
            <w:tcW w:type="dxa" w:w="4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Target ≥50–60% by cohort</w:t>
            </w:r>
          </w:p>
        </w:tc>
      </w:tr>
      <w:tr>
        <w:tc>
          <w:tcPr>
            <w:tcW w:type="dxa" w:w="4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Target ≥10%</w:t>
            </w:r>
          </w:p>
        </w:tc>
      </w:tr>
      <w:tr>
        <w:tc>
          <w:tcPr>
            <w:tcW w:type="dxa" w:w="4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proof</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At least 5 strong ROI case studies before broad scaling</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Executive Recommendation</w:t>
      </w:r>
    </w:p>
    <w:p>
      <w:pPr>
        <w:spacing w:after="140"/>
      </w:pPr>
      <w:r>
        <w:rPr>
          <w:rFonts w:ascii="Calibri" w:cs="Calibri" w:eastAsia="Calibri" w:hAnsi="Calibri"/>
          <w:i w:val="false"/>
          <w:iCs w:val="false"/>
          <w:color w:val="000000"/>
          <w:sz w:val="21"/>
          <w:szCs w:val="21"/>
        </w:rPr>
        <w:t xml:space="preserve">Proceed with a production-hardening phase rather than adding more agents. The current architecture already contains a broad functional surface, now including a completed differentiation roadmap tier (Section 2 of the Master Build List). The highest-value work remaining is to convert the architecture into a testable, secure, observable, recoverable and commercially measurable SaaS system — security/RBAC and billing remain deliberately deferred to the end of the build sequence per founder direction, so the product reaches feature-complete before either is 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2026-08-23T07:02:08.746Z</dcterms:created>
  <dcterms:modified xsi:type="dcterms:W3CDTF">2026-08-23T07:02:08.746Z</dcterms:modified>
</cp:coreProperties>
</file>

<file path=docProps/custom.xml><?xml version="1.0" encoding="utf-8"?>
<Properties xmlns="http://schemas.openxmlformats.org/officeDocument/2006/custom-properties" xmlns:vt="http://schemas.openxmlformats.org/officeDocument/2006/docPropsVTypes"/>
</file>