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NexusFlow Analytics — Executive Summary</w:t>
      </w:r>
    </w:p>
    <w:p>
      <w:pPr>
        <w:pBdr>
          <w:bottom w:val="single" w:color="1F3864" w:sz="6" w:space="6"/>
        </w:pBdr>
        <w:spacing w:after="240"/>
      </w:pPr>
      <w:r>
        <w:rPr>
          <w:rFonts w:ascii="Calibri" w:cs="Calibri" w:eastAsia="Calibri" w:hAnsi="Calibri"/>
          <w:i/>
          <w:iCs/>
          <w:color w:val="44546A"/>
          <w:sz w:val="24"/>
          <w:szCs w:val="24"/>
        </w:rPr>
        <w:t xml:space="preserve">Production-ready product, architecture, business model and execution priorities | Version 1.1 | 23 August 2026</w:t>
      </w:r>
    </w:p>
    <w:p>
      <w:pPr>
        <w:pBdr>
          <w:left w:val="single" w:color="1E7B34" w:sz="18" w:space="8"/>
        </w:pBdr>
        <w:shd w:fill="EAF3EA" w:val="clear"/>
        <w:spacing w:after="200" w:before="120"/>
      </w:pPr>
      <w:r>
        <w:rPr>
          <w:rFonts w:ascii="Calibri" w:cs="Calibri" w:eastAsia="Calibri" w:hAnsi="Calibri"/>
          <w:color w:val="1E5B27"/>
          <w:sz w:val="21"/>
          <w:szCs w:val="21"/>
        </w:rPr>
        <w:t xml:space="preserve">What's new in v1.1: five product-differentiation features shipped end-to-end this session (evidence-trail drill-down, an assumption ledger, a "what we don't know yet" transparency panel, deterministic category suggestions, and a first-run progress checklist), plus a real ground-truth test suite behind Monthly Recurring Revenue and a centralized AI model registry with a pre-swap regression check. Full detail: Master Build List v1.7, Section 2 and Section 4 (FIN-01, AI-04).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Executive Overview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NexusFlow Analytics is positioned as a multi-tenant, AI-driven business-intelligence SaaS platform that connects business operational data to an autonomous 13-agent network and turns that data into analytics, forecasts and executive-style financial briefings. The existing architecture evolved from a local WebSocket prototype into a security-focused SaaS design.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What the Platform Does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Accepts client CSV data and planned external data sources.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Repairs and validates common schema problems and prevents duplicate ingestion.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Stores tenant-isolated operational data in DuckDB and uses Qdrant for semantic search.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Routes natural-language requests through a central Orchestrator to specialist agents.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Provides analytics, forecasting, churn scoring, margin/runway calculations and executive briefings.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Streams authenticated agent activity to the dashboard in real time.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Uses security controls including JWT tenant verification, fail-closed startup, TLS-aware transport and whitelisted SQL generation.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Shows its own work: a real MRR figure with a ground-truth test suite, an evidence-trail drill-down from any category/month back to its exact source rows, a disclosed assumption ledger, and a transparency panel listing exactly what the platform doesn't know yet for a given tenant.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13-Agent Operating Model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The finalized architecture contains Agent #00 Orchestrator plus 12 specialists. The specialists cover ingestion, data engineering, schema/database management, analytics, reporting, forecasting, finance, cybersecurity, strategy, visualization and external telemetry.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Business Positioning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Mission: democratize enterprise-grade financial intelligence for SMBs by turning messy operational data into secure, actionable insight through autonomous agent networks. Slogan: "Autonomous Intelligence. Uncompromised Control."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100"/>
        <w:gridCol w:w="348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documented pricing</w:t>
            </w:r>
          </w:p>
        </w:tc>
        <w:tc>
          <w:tcPr>
            <w:tcW w:type="dxa" w:w="34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Core value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Core Operations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Micro-SMBs / early teams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$95–$299/mo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Dashboard, upload, natural-language search, visualization.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Growth Intelligence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Mid-sized SMBs / scaleups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$500–$2,000/mo</w:t>
            </w:r>
          </w:p>
        </w:tc>
        <w:tc>
          <w:tcPr>
            <w:tcW w:type="dxa" w:w="3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Self-healing ingestion, forecasting, churn scoring, CFO briefings.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Enterprise Governance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Mature / regulated organizations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$2,000–$4,000+/mo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BYOK, MCP, FinOps controls, audit lineage.</w:t>
            </w:r>
          </w:p>
        </w:tc>
      </w:tr>
    </w:tbl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Current Strengths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Clear 13-agent functional decomposition.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Strong tenant-isolation and secure-query design principles.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Idempotent ingestion and explicit concurrency controls.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Automated test harness, chaos simulation and syntax/integrity gates.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Clear SMB-oriented pricing and value proposition.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Five shipped differentiation features (evidence trail, assumption ledger, known-gaps transparency panel, deterministic category suggestions, first-run onboarding checklist) — real trust and stickiness signals, not roadmap items.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 real, disclosed Monthly Recurring Revenue calculation with its own ground-truth test suite (FIN-01) — never silently guessed or backfilled.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 centralized AI model registry with a regression-diffing check that runs before any model swap ships (AI-04).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Material Gaps Before Production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Complete authentication lifecycle and resource-level RBAC.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Tenant provisioning/deletion/suspension lifecycle.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Production billing and subscription lifecycle.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Backup, disaster recovery, RPO/RTO and restore verification.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Operational observability and incident response.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AI/model lifecycle governance and measurable evaluation.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Formal financial calculation definitions and ground-truth tests — MRR is now done (FIN-01); gross margin and cash runway definitions are still open (FIN-02, FIN-03).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API/WebSocket contracts, rate limits and abuse controls.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Production deployment, CI/CD and measurable scalability triggers.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Executive Success Criteria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Technical completion should not be treated as commercial success. The product should be evaluated through a gated scorecard covering security, reliability, correctness, activation, retention and customer ROI.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6000"/>
      </w:tblGrid>
      <w:tr>
        <w:trPr>
          <w:tblHeader/>
        </w:trPr>
        <w:tc>
          <w:tcPr>
            <w:tcW w:type="dxa" w:w="40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4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Agent task success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≥98% healthy baseline</w:t>
            </w:r>
          </w:p>
        </w:tc>
      </w:tr>
      <w:tr>
        <w:tc>
          <w:tcPr>
            <w:tcW w:type="dxa" w:w="4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Tenant-isolation failures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 calculation correctness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≥99% against ground truth</w:t>
            </w:r>
          </w:p>
        </w:tc>
      </w:tr>
      <w:tr>
        <w:tc>
          <w:tcPr>
            <w:tcW w:type="dxa" w:w="4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≥99.5%</w:t>
            </w:r>
          </w:p>
        </w:tc>
      </w:tr>
      <w:tr>
        <w:tc>
          <w:tcPr>
            <w:tcW w:type="dxa" w:w="4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Typical CSV ingestion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&lt;10 seconds for the documented test class</w:t>
            </w:r>
          </w:p>
        </w:tc>
      </w:tr>
      <w:tr>
        <w:tc>
          <w:tcPr>
            <w:tcW w:type="dxa" w:w="4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Natural-language query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&lt;5 seconds under normal load, excluding first model cold-start</w:t>
            </w:r>
          </w:p>
        </w:tc>
      </w:tr>
      <w:tr>
        <w:tc>
          <w:tcPr>
            <w:tcW w:type="dxa" w:w="4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First-value activation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≥60% of qualified onboarded accounts</w:t>
            </w:r>
          </w:p>
        </w:tc>
      </w:tr>
      <w:tr>
        <w:tc>
          <w:tcPr>
            <w:tcW w:type="dxa" w:w="4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90-day retention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≥50–60% by cohort</w:t>
            </w:r>
          </w:p>
        </w:tc>
      </w:tr>
      <w:tr>
        <w:tc>
          <w:tcPr>
            <w:tcW w:type="dxa" w:w="4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Qualified trial-to-paid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≥10%</w:t>
            </w:r>
          </w:p>
        </w:tc>
      </w:tr>
      <w:tr>
        <w:tc>
          <w:tcPr>
            <w:tcW w:type="dxa" w:w="4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proof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 least 5 strong ROI case studies before broad scaling</w:t>
            </w:r>
          </w:p>
        </w:tc>
      </w:tr>
    </w:tbl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Executive Recommendation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Proceed with a production-hardening phase rather than adding more agents. The current architecture already contains a broad functional surface, now including a completed differentiation roadmap tier (Section 2 of the Master Build List). The highest-value work remaining is to convert the architecture into a testable, secure, observable, recoverable and commercially measurable SaaS system — security/RBAC and billing remain deliberately deferred to the end of the build sequence per founder direction, so the product reaches feature-complete before either is built.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2026-08-23T07:02:08.746Z</dcterms:created>
  <dcterms:modified xsi:type="dcterms:W3CDTF">2026-08-23T07:02:08.746Z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