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NexusFlow Analytics — Master Source of Truth</w:t>
      </w:r>
    </w:p>
    <w:p>
      <w:pPr>
        <w:pBdr>
          <w:bottom w:val="single" w:color="1F3864" w:sz="6" w:space="6"/>
        </w:pBdr>
        <w:spacing w:after="80"/>
      </w:pPr>
      <w:r>
        <w:rPr>
          <w:rFonts w:ascii="Calibri" w:cs="Calibri" w:eastAsia="Calibri" w:hAnsi="Calibri"/>
          <w:i/>
          <w:iCs/>
          <w:color w:val="44546A"/>
          <w:sz w:val="24"/>
          <w:szCs w:val="24"/>
        </w:rPr>
        <w:t xml:space="preserve">Consolidated architecture, backlog, QA, and go-to-market record — reconciled against the live pitch deck</w:t>
      </w:r>
    </w:p>
    <w:p>
      <w:pPr>
        <w:spacing w:after="240"/>
      </w:pPr>
      <w:r>
        <w:rPr>
          <w:rFonts w:ascii="Calibri" w:cs="Calibri" w:eastAsia="Calibri" w:hAnsi="Calibri"/>
          <w:i/>
          <w:iCs/>
          <w:color w:val="44546A"/>
          <w:sz w:val="20"/>
          <w:szCs w:val="20"/>
        </w:rPr>
        <w:t xml:space="preserve">Repository: LGuiton/nexusflow-portal | Prepared for: Executive &amp; Leadership Review | Last consolidated: August 18, 2026 | Staleness notice added: August 23, 2026</w:t>
      </w:r>
    </w:p>
    <w:p>
      <w:pPr>
        <w:pBdr>
          <w:left w:val="single" w:color="C0392B" w:sz="18" w:space="8"/>
        </w:pBdr>
        <w:shd w:fill="FBEFEA" w:val="clear"/>
        <w:spacing w:after="140" w:before="120"/>
      </w:pPr>
      <w:r>
        <w:rPr>
          <w:rFonts w:ascii="Calibri" w:cs="Calibri" w:eastAsia="Calibri" w:hAnsi="Calibri"/>
          <w:b/>
          <w:bCs/>
          <w:color w:val="8B2E1F"/>
          <w:sz w:val="21"/>
          <w:szCs w:val="21"/>
        </w:rPr>
        <w:t xml:space="preserve">⚑ Staleness notice — read this before anything else in this document</w:t>
      </w:r>
    </w:p>
    <w:p>
      <w:pPr>
        <w:pBdr>
          <w:left w:val="single" w:color="C0392B" w:sz="18" w:space="8"/>
        </w:pBdr>
        <w:shd w:fill="FBEFEA" w:val="clear"/>
        <w:spacing w:after="140"/>
      </w:pPr>
      <w:r>
        <w:rPr>
          <w:rFonts w:ascii="Calibri" w:cs="Calibri" w:eastAsia="Calibri" w:hAnsi="Calibri"/>
          <w:sz w:val="21"/>
          <w:szCs w:val="21"/>
        </w:rPr>
        <w:t xml:space="preserve">This document was last fully consolidated on August 18, 2026. Since then, the Master Build List has gone through five more revisions (v1.2 through v1.7, dated 21–23 August 2026) reflecting real, verified engineering work — a production concurrency bug fix, roster reconciliation, NL-to-SQL closure, AI-04, FIN-01, and all five Tier A/B differentiation features (DIFF-01, 02, 03, 05, 06). None of that has been merged back into this document's Sections 1–9 below, which is why Sections 1–9 are left exactly as they were on August 18 rather than silently rewritten without firsthand re-verification of every claim in them. Section 10, appended at the end of this document, records exactly what was verified and delivered in the most recent session (23 August 2026) — that section is current. For the single current, line-item-accurate backlog and status record, use Master Build List v1.7, not Sections 1–9 of this document. A full reconciliation pass merging Sections 1–9 with Master Build List v1.2–v1.7 is recommended as its own piece of work, not attempted inline here.</w:t>
      </w:r>
    </w:p>
    <w:p>
      <w:pPr>
        <w:pStyle w:val="Heading1"/>
        <w:pBdr>
          <w:bottom w:val="single" w:color="B8C4D9" w:sz="4" w:space="4"/>
        </w:pBdr>
        <w:spacing w:after="140" w:before="320"/>
      </w:pPr>
      <w:r>
        <w:rPr>
          <w:rFonts w:ascii="Calibri" w:cs="Calibri" w:eastAsia="Calibri" w:hAnsi="Calibri"/>
          <w:b/>
          <w:bCs/>
          <w:color w:val="1F3864"/>
          <w:sz w:val="28"/>
          <w:szCs w:val="28"/>
        </w:rPr>
        <w:t xml:space="preserve">0. How to Read This Document</w:t>
      </w:r>
    </w:p>
    <w:p>
      <w:pPr>
        <w:spacing w:after="140"/>
      </w:pPr>
      <w:r>
        <w:rPr>
          <w:rFonts w:ascii="Calibri" w:cs="Calibri" w:eastAsia="Calibri" w:hAnsi="Calibri"/>
          <w:i w:val="false"/>
          <w:iCs w:val="false"/>
          <w:color w:val="000000"/>
          <w:sz w:val="21"/>
          <w:szCs w:val="21"/>
        </w:rPr>
        <w:t xml:space="preserve">This document replaces five prior standalone files (Executive Summary Manual, Master Build List, Improvements &amp; Next Steps, Dashboard Punch List, OneTap Interface Build List) with one reconciled record, cross-checked against the live SMB pitch deck.</w:t>
      </w:r>
    </w:p>
    <w:p>
      <w:pPr>
        <w:spacing w:after="140"/>
      </w:pPr>
      <w:r>
        <w:rPr>
          <w:rFonts w:ascii="Calibri" w:cs="Calibri" w:eastAsia="Calibri" w:hAnsi="Calibri"/>
          <w:i w:val="false"/>
          <w:iCs w:val="false"/>
          <w:color w:val="000000"/>
          <w:sz w:val="21"/>
          <w:szCs w:val="21"/>
        </w:rPr>
        <w:t xml:space="preserve">Items pulled from prior docs are presented as previously written, de-duplicated where two docs described the same item differently.</w:t>
      </w:r>
    </w:p>
    <w:p>
      <w:pPr>
        <w:spacing w:after="140"/>
      </w:pPr>
      <w:r>
        <w:rPr>
          <w:rFonts w:ascii="Calibri" w:cs="Calibri" w:eastAsia="Calibri" w:hAnsi="Calibri"/>
          <w:i w:val="false"/>
          <w:iCs w:val="false"/>
          <w:color w:val="000000"/>
          <w:sz w:val="21"/>
          <w:szCs w:val="21"/>
        </w:rPr>
        <w:t xml:space="preserve">⚑ OPEN FLAG blocks mark points where the pitch deck, the interface roadmap, or unsourced claims are ahead of — or in conflict with — engineering reality. These are called out rather than silently resolved, and need an explicit decision.</w:t>
      </w:r>
    </w:p>
    <w:p>
      <w:pPr>
        <w:spacing w:after="140"/>
      </w:pPr>
      <w:r>
        <w:rPr>
          <w:rFonts w:ascii="Calibri" w:cs="Calibri" w:eastAsia="Calibri" w:hAnsi="Calibri"/>
          <w:i w:val="false"/>
          <w:iCs w:val="false"/>
          <w:color w:val="000000"/>
          <w:sz w:val="21"/>
          <w:szCs w:val="21"/>
        </w:rPr>
        <w:t xml:space="preserve">Section 9 (OneTap Interface) is marked PENDING DECISION — it is not yet part of the committed roadmap.</w:t>
      </w:r>
    </w:p>
    <w:p>
      <w:pPr>
        <w:pStyle w:val="Heading1"/>
        <w:pBdr>
          <w:bottom w:val="single" w:color="B8C4D9" w:sz="4" w:space="4"/>
        </w:pBdr>
        <w:spacing w:after="140" w:before="320"/>
      </w:pPr>
      <w:r>
        <w:rPr>
          <w:rFonts w:ascii="Calibri" w:cs="Calibri" w:eastAsia="Calibri" w:hAnsi="Calibri"/>
          <w:b/>
          <w:bCs/>
          <w:color w:val="1F3864"/>
          <w:sz w:val="28"/>
          <w:szCs w:val="28"/>
        </w:rPr>
        <w:t xml:space="preserve">1. Executive Summary</w:t>
      </w:r>
    </w:p>
    <w:p>
      <w:pPr>
        <w:spacing w:after="140"/>
      </w:pPr>
      <w:r>
        <w:rPr>
          <w:rFonts w:ascii="Calibri" w:cs="Calibri" w:eastAsia="Calibri" w:hAnsi="Calibri"/>
          <w:i w:val="false"/>
          <w:iCs w:val="false"/>
          <w:color w:val="000000"/>
          <w:sz w:val="21"/>
          <w:szCs w:val="21"/>
        </w:rPr>
        <w:t xml:space="preserve">NexusFlow Analytics is a full-stack, multi-tenant AI Business Intelligence platform that connects an autonomous multi-agent microservice swarm to a client's operational data. Across all build sessions, the system evolved from a basic local WebSocket prototype into a cryptographically secured, enterprise-grade SaaS platform in progress.</w:t>
      </w:r>
    </w:p>
    <w:p>
      <w:pPr>
        <w:spacing w:after="80" w:before="180"/>
      </w:pPr>
      <w:r>
        <w:rPr>
          <w:rFonts w:ascii="Calibri" w:cs="Calibri" w:eastAsia="Calibri" w:hAnsi="Calibri"/>
          <w:b/>
          <w:bCs/>
          <w:color w:val="44546A"/>
          <w:sz w:val="22"/>
          <w:szCs w:val="22"/>
        </w:rPr>
        <w:t xml:space="preserve">What Was Built (delivery order)</w:t>
      </w:r>
    </w:p>
    <w:p>
      <w:pPr>
        <w:pStyle w:val="ListParagraph"/>
        <w:numPr>
          <w:ilvl w:val="0"/>
          <w:numId w:val="1"/>
        </w:numPr>
        <w:spacing w:after="90"/>
      </w:pPr>
      <w:r>
        <w:rPr>
          <w:rFonts w:ascii="Calibri" w:cs="Calibri" w:eastAsia="Calibri" w:hAnsi="Calibri"/>
          <w:sz w:val="21"/>
          <w:szCs w:val="21"/>
        </w:rPr>
        <w:t xml:space="preserve">Foundational infrastructure — Next.js frontend + FastAPI backend monorepo, embedded DuckDB columnar warehouse, dark-themed admin dashboard shell.</w:t>
      </w:r>
    </w:p>
    <w:p>
      <w:pPr>
        <w:pStyle w:val="ListParagraph"/>
        <w:numPr>
          <w:ilvl w:val="0"/>
          <w:numId w:val="1"/>
        </w:numPr>
        <w:spacing w:after="90"/>
      </w:pPr>
      <w:r>
        <w:rPr>
          <w:rFonts w:ascii="Calibri" w:cs="Calibri" w:eastAsia="Calibri" w:hAnsi="Calibri"/>
          <w:sz w:val="21"/>
          <w:szCs w:val="21"/>
        </w:rPr>
        <w:t xml:space="preserve">Security &amp; transport hardening — environment-aware WebSocket protocols (ws:// dev / wss:// production), JWT-based multi-tenant authentication, fail-closed startup checks.</w:t>
      </w:r>
    </w:p>
    <w:p>
      <w:pPr>
        <w:pStyle w:val="ListParagraph"/>
        <w:numPr>
          <w:ilvl w:val="0"/>
          <w:numId w:val="1"/>
        </w:numPr>
        <w:spacing w:after="90"/>
      </w:pPr>
      <w:r>
        <w:rPr>
          <w:rFonts w:ascii="Calibri" w:cs="Calibri" w:eastAsia="Calibri" w:hAnsi="Calibri"/>
          <w:sz w:val="21"/>
          <w:szCs w:val="21"/>
        </w:rPr>
        <w:t xml:space="preserve">Data ingestion pipeline — idempotent, self-healing CSV/ETL ingestion with MD5-based duplicate protection and atomic transactions.</w:t>
      </w:r>
    </w:p>
    <w:p>
      <w:pPr>
        <w:pStyle w:val="ListParagraph"/>
        <w:numPr>
          <w:ilvl w:val="0"/>
          <w:numId w:val="1"/>
        </w:numPr>
        <w:spacing w:after="90"/>
      </w:pPr>
      <w:r>
        <w:rPr>
          <w:rFonts w:ascii="Calibri" w:cs="Calibri" w:eastAsia="Calibri" w:hAnsi="Calibri"/>
          <w:sz w:val="21"/>
          <w:szCs w:val="21"/>
        </w:rPr>
        <w:t xml:space="preserve">Analytics &amp; forecasting layer — regression, time-series forecasting, and churn-prediction models exposed through a natural-language query interface.</w:t>
      </w:r>
    </w:p>
    <w:p>
      <w:pPr>
        <w:pStyle w:val="ListParagraph"/>
        <w:numPr>
          <w:ilvl w:val="0"/>
          <w:numId w:val="1"/>
        </w:numPr>
        <w:spacing w:after="90"/>
      </w:pPr>
      <w:r>
        <w:rPr>
          <w:rFonts w:ascii="Calibri" w:cs="Calibri" w:eastAsia="Calibri" w:hAnsi="Calibri"/>
          <w:sz w:val="21"/>
          <w:szCs w:val="21"/>
        </w:rPr>
        <w:t xml:space="preserve">Visualization &amp; executive reporting UI — real-time telemetry streaming, multi-chart dashboards, automated 3-bullet CFO-style briefings.</w:t>
      </w:r>
    </w:p>
    <w:p>
      <w:pPr>
        <w:pStyle w:val="ListParagraph"/>
        <w:numPr>
          <w:ilvl w:val="0"/>
          <w:numId w:val="1"/>
        </w:numPr>
        <w:spacing w:after="90"/>
      </w:pPr>
      <w:r>
        <w:rPr>
          <w:rFonts w:ascii="Calibri" w:cs="Calibri" w:eastAsia="Calibri" w:hAnsi="Calibri"/>
          <w:sz w:val="21"/>
          <w:szCs w:val="21"/>
        </w:rPr>
        <w:t xml:space="preserve">Governance, testing &amp; compliance layer — automated test harness, chaos-engineering drop simulation, code-integrity checks, audit logging.</w:t>
      </w:r>
    </w:p>
    <w:p>
      <w:pPr>
        <w:pStyle w:val="ListParagraph"/>
        <w:numPr>
          <w:ilvl w:val="0"/>
          <w:numId w:val="1"/>
        </w:numPr>
        <w:spacing w:after="90"/>
      </w:pPr>
      <w:r>
        <w:rPr>
          <w:rFonts w:ascii="Calibri" w:cs="Calibri" w:eastAsia="Calibri" w:hAnsi="Calibri"/>
          <w:sz w:val="21"/>
          <w:szCs w:val="21"/>
        </w:rPr>
        <w:t xml:space="preserve">Agent architecture, finalized at 13 roles — a semantic Orchestrator plus 12 specialist agents (see Section 3).</w:t>
      </w:r>
    </w:p>
    <w:p>
      <w:pPr>
        <w:pStyle w:val="ListParagraph"/>
        <w:numPr>
          <w:ilvl w:val="0"/>
          <w:numId w:val="1"/>
        </w:numPr>
        <w:spacing w:after="90"/>
      </w:pPr>
      <w:r>
        <w:rPr>
          <w:rFonts w:ascii="Calibri" w:cs="Calibri" w:eastAsia="Calibri" w:hAnsi="Calibri"/>
          <w:sz w:val="21"/>
          <w:szCs w:val="21"/>
        </w:rPr>
        <w:t xml:space="preserve">Business/commercial layer — corporate formation guidance, 3-tier pricing model, go-to-market strategy, sales pitch deck — developed in parallel with the technical build.</w:t>
      </w:r>
    </w:p>
    <w:p>
      <w:pPr>
        <w:pStyle w:val="Heading1"/>
        <w:pBdr>
          <w:bottom w:val="single" w:color="B8C4D9" w:sz="4" w:space="4"/>
        </w:pBdr>
        <w:spacing w:after="140" w:before="320"/>
      </w:pPr>
      <w:r>
        <w:rPr>
          <w:rFonts w:ascii="Calibri" w:cs="Calibri" w:eastAsia="Calibri" w:hAnsi="Calibri"/>
          <w:b/>
          <w:bCs/>
          <w:color w:val="1F3864"/>
          <w:sz w:val="28"/>
          <w:szCs w:val="28"/>
        </w:rPr>
        <w:t xml:space="preserve">2. Architecture &amp; Security Design</w:t>
      </w:r>
    </w:p>
    <w:p>
      <w:pPr>
        <w:pStyle w:val="Heading2"/>
        <w:spacing w:after="100" w:before="240"/>
      </w:pPr>
      <w:r>
        <w:rPr>
          <w:rFonts w:ascii="Calibri" w:cs="Calibri" w:eastAsia="Calibri" w:hAnsi="Calibri"/>
          <w:b/>
          <w:bCs/>
          <w:color w:val="1F3864"/>
          <w:sz w:val="24"/>
          <w:szCs w:val="24"/>
        </w:rPr>
        <w:t xml:space="preserve">2.1 Architecture Philosophy</w:t>
      </w:r>
    </w:p>
    <w:p>
      <w:pPr>
        <w:pStyle w:val="ListParagraph"/>
        <w:numPr>
          <w:ilvl w:val="0"/>
          <w:numId w:val="1"/>
        </w:numPr>
        <w:spacing w:after="90"/>
      </w:pPr>
      <w:r>
        <w:rPr>
          <w:rFonts w:ascii="Calibri" w:cs="Calibri" w:eastAsia="Calibri" w:hAnsi="Calibri"/>
          <w:sz w:val="21"/>
          <w:szCs w:val="21"/>
        </w:rPr>
        <w:t xml:space="preserve">The 10-20-70 Rule: 10% foundational language models, 20% full-stack infrastructure/cloud pipeline, 70% UX and process automation — reflecting where engineering effort was prioritized.</w:t>
      </w:r>
    </w:p>
    <w:p>
      <w:pPr>
        <w:pStyle w:val="ListParagraph"/>
        <w:numPr>
          <w:ilvl w:val="0"/>
          <w:numId w:val="1"/>
        </w:numPr>
        <w:spacing w:after="90"/>
      </w:pPr>
      <w:r>
        <w:rPr>
          <w:rFonts w:ascii="Calibri" w:cs="Calibri" w:eastAsia="Calibri" w:hAnsi="Calibri"/>
          <w:sz w:val="21"/>
          <w:szCs w:val="21"/>
        </w:rPr>
        <w:t xml:space="preserve">Design goal: replace a brittle, hardcoded automation script with an Autonomous Agentic Network coordinated by a single Master AI Supervisor acting as an automated project manager / CTO.</w:t>
      </w:r>
    </w:p>
    <w:p>
      <w:pPr>
        <w:pStyle w:val="ListParagraph"/>
        <w:numPr>
          <w:ilvl w:val="0"/>
          <w:numId w:val="1"/>
        </w:numPr>
        <w:spacing w:after="90"/>
      </w:pPr>
      <w:r>
        <w:rPr>
          <w:rFonts w:ascii="Calibri" w:cs="Calibri" w:eastAsia="Calibri" w:hAnsi="Calibri"/>
          <w:sz w:val="21"/>
          <w:szCs w:val="21"/>
        </w:rPr>
        <w:t xml:space="preserve">Core engineering rules: DRY &amp; KISS, Idempotency (all DB mutations wrapped in transactions with MD5 fingerprinting), Least Sovereignty (agents have no direct system access, only parameterized/whitelisted queries), Mathematical Precision (explicit, auditable statistical formulas rather than opaque model outputs).</w:t>
      </w:r>
    </w:p>
    <w:p>
      <w:pPr>
        <w:pStyle w:val="Heading2"/>
        <w:spacing w:after="100" w:before="240"/>
      </w:pPr>
      <w:r>
        <w:rPr>
          <w:rFonts w:ascii="Calibri" w:cs="Calibri" w:eastAsia="Calibri" w:hAnsi="Calibri"/>
          <w:b/>
          <w:bCs/>
          <w:color w:val="1F3864"/>
          <w:sz w:val="24"/>
          <w:szCs w:val="24"/>
        </w:rPr>
        <w:t xml:space="preserve">2.2 High-Level Data Flow</w:t>
      </w:r>
    </w:p>
    <w:p>
      <w:pPr>
        <w:pStyle w:val="ListParagraph"/>
        <w:numPr>
          <w:ilvl w:val="0"/>
          <w:numId w:val="1"/>
        </w:numPr>
        <w:spacing w:after="90"/>
      </w:pPr>
      <w:r>
        <w:rPr>
          <w:rFonts w:ascii="Calibri" w:cs="Calibri" w:eastAsia="Calibri" w:hAnsi="Calibri"/>
          <w:sz w:val="21"/>
          <w:szCs w:val="21"/>
        </w:rPr>
        <w:t xml:space="preserve">Client Layer (Next.js) sends secure, multi-tenant uploads and requests to the API gateway.</w:t>
      </w:r>
    </w:p>
    <w:p>
      <w:pPr>
        <w:pStyle w:val="ListParagraph"/>
        <w:numPr>
          <w:ilvl w:val="0"/>
          <w:numId w:val="1"/>
        </w:numPr>
        <w:spacing w:after="90"/>
      </w:pPr>
      <w:r>
        <w:rPr>
          <w:rFonts w:ascii="Calibri" w:cs="Calibri" w:eastAsia="Calibri" w:hAnsi="Calibri"/>
          <w:sz w:val="21"/>
          <w:szCs w:val="21"/>
        </w:rPr>
        <w:t xml:space="preserve">Gateway &amp; Perimeter Layer (FastAPI) enforces CORS restrictions, IDOR/session-hijack prevention, a bounded context-memory buffer, and single-writer mutex locking.</w:t>
      </w:r>
    </w:p>
    <w:p>
      <w:pPr>
        <w:pStyle w:val="ListParagraph"/>
        <w:numPr>
          <w:ilvl w:val="0"/>
          <w:numId w:val="1"/>
        </w:numPr>
        <w:spacing w:after="90"/>
      </w:pPr>
      <w:r>
        <w:rPr>
          <w:rFonts w:ascii="Calibri" w:cs="Calibri" w:eastAsia="Calibri" w:hAnsi="Calibri"/>
          <w:sz w:val="21"/>
          <w:szCs w:val="21"/>
        </w:rPr>
        <w:t xml:space="preserve">Central Cognitive Orchestration Layer — the Master AI Supervisor performs deterministic intent routing (temperature = 0.0) and lazy-loads only the agent needed, capping tokens below ~4,000 per request.</w:t>
      </w:r>
    </w:p>
    <w:p>
      <w:pPr>
        <w:pStyle w:val="ListParagraph"/>
        <w:numPr>
          <w:ilvl w:val="0"/>
          <w:numId w:val="1"/>
        </w:numPr>
        <w:spacing w:after="90"/>
      </w:pPr>
      <w:r>
        <w:rPr>
          <w:rFonts w:ascii="Calibri" w:cs="Calibri" w:eastAsia="Calibri" w:hAnsi="Calibri"/>
          <w:sz w:val="21"/>
          <w:szCs w:val="21"/>
        </w:rPr>
        <w:t xml:space="preserve">Specialist agent clusters process ingestion, analytics/BI, and platform-shield (ops/security) work in parallel.</w:t>
      </w:r>
    </w:p>
    <w:p>
      <w:pPr>
        <w:pStyle w:val="ListParagraph"/>
        <w:numPr>
          <w:ilvl w:val="0"/>
          <w:numId w:val="1"/>
        </w:numPr>
        <w:spacing w:after="90"/>
      </w:pPr>
      <w:r>
        <w:rPr>
          <w:rFonts w:ascii="Calibri" w:cs="Calibri" w:eastAsia="Calibri" w:hAnsi="Calibri"/>
          <w:sz w:val="21"/>
          <w:szCs w:val="21"/>
        </w:rPr>
        <w:t xml:space="preserve">Secure Data Storage Layer — embedded DuckDB warehouse (idempotent ingestion, whitelisted SQL) plus an in-memory Qdrant vector store for semantic/SOP search.</w:t>
      </w:r>
    </w:p>
    <w:p>
      <w:pPr>
        <w:pStyle w:val="ListParagraph"/>
        <w:numPr>
          <w:ilvl w:val="0"/>
          <w:numId w:val="1"/>
        </w:numPr>
        <w:spacing w:after="90"/>
      </w:pPr>
      <w:r>
        <w:rPr>
          <w:rFonts w:ascii="Calibri" w:cs="Calibri" w:eastAsia="Calibri" w:hAnsi="Calibri"/>
          <w:sz w:val="21"/>
          <w:szCs w:val="21"/>
        </w:rPr>
        <w:t xml:space="preserve">Automated Verification &amp; Deployment Layer — diagnostic test harness, git-based checkpointing, synced GitHub production anchor.</w:t>
      </w:r>
    </w:p>
    <w:p>
      <w:pPr>
        <w:pStyle w:val="ListParagraph"/>
        <w:numPr>
          <w:ilvl w:val="0"/>
          <w:numId w:val="1"/>
        </w:numPr>
        <w:spacing w:after="90"/>
      </w:pPr>
      <w:r>
        <w:rPr>
          <w:rFonts w:ascii="Calibri" w:cs="Calibri" w:eastAsia="Calibri" w:hAnsi="Calibri"/>
          <w:sz w:val="21"/>
          <w:szCs w:val="21"/>
        </w:rPr>
        <w:t xml:space="preserve">UI Delivery — verified results stream back over the authenticated WebSocket to update the live telemetry terminal and chart dashboards.</w:t>
      </w:r>
    </w:p>
    <w:p>
      <w:pPr>
        <w:pStyle w:val="Heading2"/>
        <w:spacing w:after="100" w:before="240"/>
      </w:pPr>
      <w:r>
        <w:rPr>
          <w:rFonts w:ascii="Calibri" w:cs="Calibri" w:eastAsia="Calibri" w:hAnsi="Calibri"/>
          <w:b/>
          <w:bCs/>
          <w:color w:val="1F3864"/>
          <w:sz w:val="24"/>
          <w:szCs w:val="24"/>
        </w:rPr>
        <w:t xml:space="preserve">2.3 Security &amp; Compliance Designed In</w:t>
      </w:r>
    </w:p>
    <w:p>
      <w:pPr>
        <w:pStyle w:val="ListParagraph"/>
        <w:numPr>
          <w:ilvl w:val="0"/>
          <w:numId w:val="1"/>
        </w:numPr>
        <w:spacing w:after="90"/>
      </w:pPr>
      <w:r>
        <w:rPr>
          <w:rFonts w:ascii="Calibri" w:cs="Calibri" w:eastAsia="Calibri" w:hAnsi="Calibri"/>
          <w:sz w:val="21"/>
          <w:szCs w:val="21"/>
        </w:rPr>
        <w:t xml:space="preserve">Transport security: dynamic, environment-aware protocol selection (ws:// dev, wss:// production).</w:t>
      </w:r>
    </w:p>
    <w:p>
      <w:pPr>
        <w:pStyle w:val="ListParagraph"/>
        <w:numPr>
          <w:ilvl w:val="0"/>
          <w:numId w:val="1"/>
        </w:numPr>
        <w:spacing w:after="90"/>
      </w:pPr>
      <w:r>
        <w:rPr>
          <w:rFonts w:ascii="Calibri" w:cs="Calibri" w:eastAsia="Calibri" w:hAnsi="Calibri"/>
          <w:sz w:val="21"/>
          <w:szCs w:val="21"/>
        </w:rPr>
        <w:t xml:space="preserve">Multi-tenant isolation (IDOR prevention): removed trust-based client-ID strings from the URL in favor of server-side JWT signature verification at the WebSocket handshake.</w:t>
      </w:r>
    </w:p>
    <w:p>
      <w:pPr>
        <w:pStyle w:val="ListParagraph"/>
        <w:numPr>
          <w:ilvl w:val="0"/>
          <w:numId w:val="1"/>
        </w:numPr>
        <w:spacing w:after="90"/>
      </w:pPr>
      <w:r>
        <w:rPr>
          <w:rFonts w:ascii="Calibri" w:cs="Calibri" w:eastAsia="Calibri" w:hAnsi="Calibri"/>
          <w:sz w:val="21"/>
          <w:szCs w:val="21"/>
        </w:rPr>
        <w:t xml:space="preserve">Fail-closed design: server crashes loudly at startup if required secrets (e.g. JWT_SECRET) are missing, rather than silently falling back to an insecure default.</w:t>
      </w:r>
    </w:p>
    <w:p>
      <w:pPr>
        <w:pStyle w:val="ListParagraph"/>
        <w:numPr>
          <w:ilvl w:val="0"/>
          <w:numId w:val="1"/>
        </w:numPr>
        <w:spacing w:after="90"/>
      </w:pPr>
      <w:r>
        <w:rPr>
          <w:rFonts w:ascii="Calibri" w:cs="Calibri" w:eastAsia="Calibri" w:hAnsi="Calibri"/>
          <w:sz w:val="21"/>
          <w:szCs w:val="21"/>
        </w:rPr>
        <w:t xml:space="preserve">Operational hygiene: environment files excluded from Git; high-entropy cryptographic secrets enforced.</w:t>
      </w:r>
    </w:p>
    <w:p>
      <w:pPr>
        <w:pStyle w:val="ListParagraph"/>
        <w:numPr>
          <w:ilvl w:val="0"/>
          <w:numId w:val="1"/>
        </w:numPr>
        <w:spacing w:after="90"/>
      </w:pPr>
      <w:r>
        <w:rPr>
          <w:rFonts w:ascii="Calibri" w:cs="Calibri" w:eastAsia="Calibri" w:hAnsi="Calibri"/>
          <w:sz w:val="21"/>
          <w:szCs w:val="21"/>
        </w:rPr>
        <w:t xml:space="preserve">Injection protection: all natural-language-to-SQL intents pass through a whitelisted column parameterization layer (build_safe_query).</w:t>
      </w:r>
    </w:p>
    <w:p>
      <w:pPr>
        <w:pStyle w:val="ListParagraph"/>
        <w:numPr>
          <w:ilvl w:val="0"/>
          <w:numId w:val="1"/>
        </w:numPr>
        <w:spacing w:after="90"/>
      </w:pPr>
      <w:r>
        <w:rPr>
          <w:rFonts w:ascii="Calibri" w:cs="Calibri" w:eastAsia="Calibri" w:hAnsi="Calibri"/>
          <w:sz w:val="21"/>
          <w:szCs w:val="21"/>
        </w:rPr>
        <w:t xml:space="preserve">Governance additions (later phase): BYOK credential routing, MCP tool-server integration, immutable data-lineage/audit logging.</w:t>
      </w:r>
    </w:p>
    <w:p>
      <w:pPr>
        <w:pBdr>
          <w:left w:val="single" w:color="C0392B" w:sz="18" w:space="8"/>
        </w:pBdr>
        <w:shd w:fill="FBEFEA" w:val="clear"/>
        <w:spacing w:after="140" w:before="120"/>
      </w:pPr>
      <w:r>
        <w:rPr>
          <w:rFonts w:ascii="Calibri" w:cs="Calibri" w:eastAsia="Calibri" w:hAnsi="Calibri"/>
          <w:b/>
          <w:bCs/>
          <w:color w:val="8B2E1F"/>
          <w:sz w:val="21"/>
          <w:szCs w:val="21"/>
        </w:rPr>
        <w:t xml:space="preserve">⚑ OPEN FLAG — Security scope is currently WebSocket-only, not full-stack</w:t>
      </w:r>
    </w:p>
    <w:p>
      <w:pPr>
        <w:pBdr>
          <w:left w:val="single" w:color="C0392B" w:sz="18" w:space="8"/>
        </w:pBdr>
        <w:shd w:fill="FBEFEA" w:val="clear"/>
        <w:spacing w:after="140"/>
      </w:pPr>
      <w:r>
        <w:rPr>
          <w:rFonts w:ascii="Calibri" w:cs="Calibri" w:eastAsia="Calibri" w:hAnsi="Calibri"/>
          <w:sz w:val="21"/>
          <w:szCs w:val="21"/>
        </w:rPr>
        <w:t xml:space="preserve">The isolation guarantees above are proven at the WebSocket layer. Full RBAC/tenant-boundary enforcement across every REST endpoint and the database layer is still an open Foundation-tier backlog item (Section 5.1) — unchanged as of Master Build List v1.7 (MBL-003, RBAC-01: NOT MET), deliberately deferred per founder direction. This matters because the live pitch deck (Section 8) currently states multi-tenant security as a present-tense, unqualified benefit. See Section 8, Flag 1.</w:t>
      </w:r>
    </w:p>
    <w:p>
      <w:pPr>
        <w:pStyle w:val="Heading2"/>
        <w:spacing w:after="100" w:before="240"/>
      </w:pPr>
      <w:r>
        <w:rPr>
          <w:rFonts w:ascii="Calibri" w:cs="Calibri" w:eastAsia="Calibri" w:hAnsi="Calibri"/>
          <w:b/>
          <w:bCs/>
          <w:color w:val="1F3864"/>
          <w:sz w:val="24"/>
          <w:szCs w:val="24"/>
        </w:rPr>
        <w:t xml:space="preserve">2.4 Defects Identified &amp; Resolved (Testing Phase)</w:t>
      </w:r>
    </w:p>
    <w:p>
      <w:pPr>
        <w:pStyle w:val="ListParagraph"/>
        <w:numPr>
          <w:ilvl w:val="0"/>
          <w:numId w:val="1"/>
        </w:numPr>
        <w:spacing w:after="90"/>
      </w:pPr>
      <w:r>
        <w:rPr>
          <w:rFonts w:ascii="Calibri" w:cs="Calibri" w:eastAsia="Calibri" w:hAnsi="Calibri"/>
          <w:sz w:val="21"/>
          <w:szCs w:val="21"/>
        </w:rPr>
        <w:t xml:space="preserve">Test-routing hallucination in the intent classifier — resolved.</w:t>
      </w:r>
    </w:p>
    <w:p>
      <w:pPr>
        <w:pStyle w:val="ListParagraph"/>
        <w:numPr>
          <w:ilvl w:val="0"/>
          <w:numId w:val="1"/>
        </w:numPr>
        <w:spacing w:after="90"/>
      </w:pPr>
      <w:r>
        <w:rPr>
          <w:rFonts w:ascii="Calibri" w:cs="Calibri" w:eastAsia="Calibri" w:hAnsi="Calibri"/>
          <w:sz w:val="21"/>
          <w:szCs w:val="21"/>
        </w:rPr>
        <w:t xml:space="preserve">DuckDB write-lock contention under concurrent async requests — resolved with asyncio.Lock single-writer enforcement, later replaced with a real threading.Lock per Master Build List v1.6 (SQL-02).</w:t>
      </w:r>
    </w:p>
    <w:p>
      <w:pPr>
        <w:pStyle w:val="ListParagraph"/>
        <w:numPr>
          <w:ilvl w:val="0"/>
          <w:numId w:val="1"/>
        </w:numPr>
        <w:spacing w:after="90"/>
      </w:pPr>
      <w:r>
        <w:rPr>
          <w:rFonts w:ascii="Calibri" w:cs="Calibri" w:eastAsia="Calibri" w:hAnsi="Calibri"/>
          <w:sz w:val="21"/>
          <w:szCs w:val="21"/>
        </w:rPr>
        <w:t xml:space="preserve">Malformed LLM JSON payload corruption during response parsing — resolved.</w:t>
      </w:r>
    </w:p>
    <w:p>
      <w:pPr>
        <w:pStyle w:val="ListParagraph"/>
        <w:numPr>
          <w:ilvl w:val="0"/>
          <w:numId w:val="1"/>
        </w:numPr>
        <w:spacing w:after="90"/>
      </w:pPr>
      <w:r>
        <w:rPr>
          <w:rFonts w:ascii="Calibri" w:cs="Calibri" w:eastAsia="Calibri" w:hAnsi="Calibri"/>
          <w:sz w:val="21"/>
          <w:szCs w:val="21"/>
        </w:rPr>
        <w:t xml:space="preserve">Data duplication on repeated ingestion — resolved with MD5 composite hashing and idempotent transactions.</w:t>
      </w:r>
    </w:p>
    <w:p>
      <w:pPr>
        <w:pStyle w:val="Heading2"/>
        <w:spacing w:after="100" w:before="240"/>
      </w:pPr>
      <w:r>
        <w:rPr>
          <w:rFonts w:ascii="Calibri" w:cs="Calibri" w:eastAsia="Calibri" w:hAnsi="Calibri"/>
          <w:b/>
          <w:bCs/>
          <w:color w:val="1F3864"/>
          <w:sz w:val="24"/>
          <w:szCs w:val="24"/>
        </w:rPr>
        <w:t xml:space="preserve">2.5 Known Live Defects (Unresolved as of August 18, 2026 — not re-verified this session)</w:t>
      </w:r>
    </w:p>
    <w:p>
      <w:pPr>
        <w:pStyle w:val="ListParagraph"/>
        <w:numPr>
          <w:ilvl w:val="0"/>
          <w:numId w:val="1"/>
        </w:numPr>
        <w:spacing w:after="90"/>
      </w:pPr>
      <w:r>
        <w:rPr>
          <w:rFonts w:ascii="Calibri" w:cs="Calibri" w:eastAsia="Calibri" w:hAnsi="Calibri"/>
          <w:sz w:val="21"/>
          <w:szCs w:val="21"/>
        </w:rPr>
        <w:t xml:space="preserve">CSV upload false-success bug: uploads report success but the dashboard does not update — the two are out of sync.</w:t>
      </w:r>
    </w:p>
    <w:p>
      <w:pPr>
        <w:pStyle w:val="ListParagraph"/>
        <w:numPr>
          <w:ilvl w:val="0"/>
          <w:numId w:val="1"/>
        </w:numPr>
        <w:spacing w:after="90"/>
      </w:pPr>
      <w:r>
        <w:rPr>
          <w:rFonts w:ascii="Calibri" w:cs="Calibri" w:eastAsia="Calibri" w:hAnsi="Calibri"/>
          <w:sz w:val="21"/>
          <w:szCs w:val="21"/>
        </w:rPr>
        <w:t xml:space="preserve">Virtual CFO widget failure: the OpenAI API key is not loading correctly from the .env file, breaking the Virtual CFO briefing at runtime.</w:t>
      </w:r>
    </w:p>
    <w:p>
      <w:pPr>
        <w:pBdr>
          <w:left w:val="single" w:color="C0392B" w:sz="18" w:space="8"/>
        </w:pBdr>
        <w:shd w:fill="FBEFEA" w:val="clear"/>
        <w:spacing w:after="140" w:before="120"/>
      </w:pPr>
      <w:r>
        <w:rPr>
          <w:rFonts w:ascii="Calibri" w:cs="Calibri" w:eastAsia="Calibri" w:hAnsi="Calibri"/>
          <w:b/>
          <w:bCs/>
          <w:color w:val="8B2E1F"/>
          <w:sz w:val="21"/>
          <w:szCs w:val="21"/>
        </w:rPr>
        <w:t xml:space="preserve">⚑ OPEN FLAG — These two bugs sit directly on the sales demo path</w:t>
      </w:r>
    </w:p>
    <w:p>
      <w:pPr>
        <w:pBdr>
          <w:left w:val="single" w:color="C0392B" w:sz="18" w:space="8"/>
        </w:pBdr>
        <w:shd w:fill="FBEFEA" w:val="clear"/>
        <w:spacing w:after="140"/>
      </w:pPr>
      <w:r>
        <w:rPr>
          <w:rFonts w:ascii="Calibri" w:cs="Calibri" w:eastAsia="Calibri" w:hAnsi="Calibri"/>
          <w:sz w:val="21"/>
          <w:szCs w:val="21"/>
        </w:rPr>
        <w:t xml:space="preserve">The pitch deck's closing CTA (Section 8, Slide 12) asks a prospect to drop in a live file for an on-the-spot executive briefing. Both open bugs above break that exact flow. Recommend fixing both before any prospect-facing live demo. Status not re-verified in the 23 August 2026 session — do not assume fixed.</w:t>
      </w:r>
    </w:p>
    <w:p>
      <w:pPr>
        <w:pStyle w:val="Heading1"/>
        <w:pBdr>
          <w:bottom w:val="single" w:color="B8C4D9" w:sz="4" w:space="4"/>
        </w:pBdr>
        <w:spacing w:after="140" w:before="320"/>
      </w:pPr>
      <w:r>
        <w:rPr>
          <w:rFonts w:ascii="Calibri" w:cs="Calibri" w:eastAsia="Calibri" w:hAnsi="Calibri"/>
          <w:b/>
          <w:bCs/>
          <w:color w:val="1F3864"/>
          <w:sz w:val="28"/>
          <w:szCs w:val="28"/>
        </w:rPr>
        <w:t xml:space="preserve">3. 13-Agent Roster</w:t>
      </w:r>
    </w:p>
    <w:p>
      <w:pPr>
        <w:spacing w:after="140"/>
      </w:pPr>
      <w:r>
        <w:rPr>
          <w:rFonts w:ascii="Calibri" w:cs="Calibri" w:eastAsia="Calibri" w:hAnsi="Calibri"/>
          <w:i w:val="false"/>
          <w:iCs w:val="false"/>
          <w:color w:val="000000"/>
          <w:sz w:val="21"/>
          <w:szCs w:val="21"/>
        </w:rPr>
        <w:t xml:space="preserve">The platform's internal "org chart" mirrors a business department structure, with each AI agent standing in for a functional role.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900"/>
        <w:gridCol w:w="4680"/>
      </w:tblGrid>
      <w:tr>
        <w:trPr>
          <w:tblHeader/>
        </w:trPr>
        <w:tc>
          <w:tcPr>
            <w:tcW w:type="dxa" w:w="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Role</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Domain</w:t>
            </w:r>
          </w:p>
        </w:tc>
        <w:tc>
          <w:tcPr>
            <w:tcW w:type="dxa" w:w="468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Function</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#00</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Orchestrator</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Semantic Routing</w:t>
            </w:r>
          </w:p>
        </w:tc>
        <w:tc>
          <w:tcPr>
            <w:tcW w:type="dxa" w:w="468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Determines which specialist agent is best suited for an incoming prompt.</w:t>
            </w:r>
          </w:p>
        </w:tc>
      </w:tr>
      <w:tr>
        <w:tc>
          <w:tcPr>
            <w:tcW w:type="dxa" w:w="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#01</w:t>
            </w:r>
          </w:p>
        </w:tc>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Ingestion Engine</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Pipeline</w:t>
            </w:r>
          </w:p>
        </w:tc>
        <w:tc>
          <w:tcPr>
            <w:tcW w:type="dxa" w:w="468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Parses raw incoming CSVs and webhooks. (Folded into db_manager.py — ARCH-02.)</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#02</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Engineer</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Pipeline</w:t>
            </w:r>
          </w:p>
        </w:tc>
        <w:tc>
          <w:tcPr>
            <w:tcW w:type="dxa" w:w="468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Audits schemas, normalizes currencies, handles missing-data hygiene.</w:t>
            </w:r>
          </w:p>
        </w:tc>
      </w:tr>
      <w:tr>
        <w:tc>
          <w:tcPr>
            <w:tcW w:type="dxa" w:w="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#03</w:t>
            </w:r>
          </w:p>
        </w:tc>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Schema Mapper</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Database</w:t>
            </w:r>
          </w:p>
        </w:tc>
        <w:tc>
          <w:tcPr>
            <w:tcW w:type="dxa" w:w="468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Optimizes DuckDB indexing and multi-tenant isolation. (Folded into db_manager.py — ARCH-02.)</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#04</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Analyst</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Execution</w:t>
            </w:r>
          </w:p>
        </w:tc>
        <w:tc>
          <w:tcPr>
            <w:tcW w:type="dxa" w:w="468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Retired — narration-only stub since creation; duties absorbed by BI Engineer #05.</w:t>
            </w:r>
          </w:p>
        </w:tc>
      </w:tr>
      <w:tr>
        <w:tc>
          <w:tcPr>
            <w:tcW w:type="dxa" w:w="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#05</w:t>
            </w:r>
          </w:p>
        </w:tc>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 Engineer</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Analytics</w:t>
            </w:r>
          </w:p>
        </w:tc>
        <w:tc>
          <w:tcPr>
            <w:tcW w:type="dxa" w:w="468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Tracks real-time SaaS metrics/KPIs; now also owns NL-to-SQL.</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#06</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Report Generator</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Exports</w:t>
            </w:r>
          </w:p>
        </w:tc>
        <w:tc>
          <w:tcPr>
            <w:tcW w:type="dxa" w:w="468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Synthesizes data into structured stakeholder-facing outputs.</w:t>
            </w:r>
          </w:p>
        </w:tc>
      </w:tr>
      <w:tr>
        <w:tc>
          <w:tcPr>
            <w:tcW w:type="dxa" w:w="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#07</w:t>
            </w:r>
          </w:p>
        </w:tc>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Predictive Forecaster</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Predictive</w:t>
            </w:r>
          </w:p>
        </w:tc>
        <w:tc>
          <w:tcPr>
            <w:tcW w:type="dxa" w:w="468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Runs regression/ARIMA-class modeling to project MRR growth.</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#08</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Virtual CFO</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Finance</w:t>
            </w:r>
          </w:p>
        </w:tc>
        <w:tc>
          <w:tcPr>
            <w:tcW w:type="dxa" w:w="468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Calculates live gross margins, cash runway, executive advisory insights.</w:t>
            </w:r>
          </w:p>
        </w:tc>
      </w:tr>
      <w:tr>
        <w:tc>
          <w:tcPr>
            <w:tcW w:type="dxa" w:w="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#09</w:t>
            </w:r>
          </w:p>
        </w:tc>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Ops Shield</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Cybersecurity</w:t>
            </w:r>
          </w:p>
        </w:tc>
        <w:tc>
          <w:tcPr>
            <w:tcW w:type="dxa" w:w="468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Layer-7 semantic firewall; blocks prompt injection and privilege escalation.</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SaaS Strategist</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Strategy</w:t>
            </w:r>
          </w:p>
        </w:tc>
        <w:tc>
          <w:tcPr>
            <w:tcW w:type="dxa" w:w="468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Models margin expansion, pricing tier elasticity, competitive indexing.</w:t>
            </w:r>
          </w:p>
        </w:tc>
      </w:tr>
      <w:tr>
        <w:tc>
          <w:tcPr>
            <w:tcW w:type="dxa" w:w="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#11</w:t>
            </w:r>
          </w:p>
        </w:tc>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 Visualization Architect</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Analytics</w:t>
            </w:r>
          </w:p>
        </w:tc>
        <w:tc>
          <w:tcPr>
            <w:tcW w:type="dxa" w:w="468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Generates dynamic chart configs; real chart-suite confirmed built.</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#12</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External Telemetry Scout</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Ingestion</w:t>
            </w:r>
          </w:p>
        </w:tc>
        <w:tc>
          <w:tcPr>
            <w:tcW w:type="dxa" w:w="468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Maps nested JSON payloads into flat DuckDB schemas; recovered and wired in.</w:t>
            </w:r>
          </w:p>
        </w:tc>
      </w:tr>
    </w:tbl>
    <w:p>
      <w:pPr>
        <w:spacing w:after="140"/>
      </w:pPr>
      <w:r>
        <w:rPr>
          <w:rFonts w:ascii="Calibri" w:cs="Calibri" w:eastAsia="Calibri" w:hAnsi="Calibri"/>
          <w:i/>
          <w:iCs/>
          <w:color w:val="000000"/>
          <w:sz w:val="21"/>
          <w:szCs w:val="21"/>
        </w:rPr>
        <w:t xml:space="preserve">Roster status per Master Build List v1.7: 10 of 13 confirmed built and live-routed, 2 confirmed folded into db_manager.py (#01, #03), 1 retired (#04). 0 of 13 remain unconfirmed.</w:t>
      </w:r>
    </w:p>
    <w:p>
      <w:pPr>
        <w:pStyle w:val="Heading1"/>
        <w:pBdr>
          <w:bottom w:val="single" w:color="B8C4D9" w:sz="4" w:space="4"/>
        </w:pBdr>
        <w:spacing w:after="140" w:before="320"/>
      </w:pPr>
      <w:r>
        <w:rPr>
          <w:rFonts w:ascii="Calibri" w:cs="Calibri" w:eastAsia="Calibri" w:hAnsi="Calibri"/>
          <w:b/>
          <w:bCs/>
          <w:color w:val="1F3864"/>
          <w:sz w:val="28"/>
          <w:szCs w:val="28"/>
        </w:rPr>
        <w:t xml:space="preserve">4. Business Structure &amp; Pricing</w:t>
      </w:r>
    </w:p>
    <w:p>
      <w:pPr>
        <w:pStyle w:val="Heading2"/>
        <w:spacing w:after="100" w:before="240"/>
      </w:pPr>
      <w:r>
        <w:rPr>
          <w:rFonts w:ascii="Calibri" w:cs="Calibri" w:eastAsia="Calibri" w:hAnsi="Calibri"/>
          <w:b/>
          <w:bCs/>
          <w:color w:val="1F3864"/>
          <w:sz w:val="24"/>
          <w:szCs w:val="24"/>
        </w:rPr>
        <w:t xml:space="preserve">4.1 Mission &amp; Positioning</w:t>
      </w:r>
    </w:p>
    <w:p>
      <w:pPr>
        <w:spacing w:after="140"/>
      </w:pPr>
      <w:r>
        <w:rPr>
          <w:rFonts w:ascii="Calibri" w:cs="Calibri" w:eastAsia="Calibri" w:hAnsi="Calibri"/>
          <w:i w:val="false"/>
          <w:iCs w:val="false"/>
          <w:color w:val="000000"/>
          <w:sz w:val="21"/>
          <w:szCs w:val="21"/>
        </w:rPr>
        <w:t xml:space="preserve">Mission: democratize enterprise-grade financial intelligence for small-to-mid-sized businesses by turning messy operational data into secure, actionable insight through autonomous agent networks.</w:t>
      </w:r>
    </w:p>
    <w:p>
      <w:pPr>
        <w:spacing w:after="140"/>
      </w:pPr>
      <w:r>
        <w:rPr>
          <w:rFonts w:ascii="Calibri" w:cs="Calibri" w:eastAsia="Calibri" w:hAnsi="Calibri"/>
          <w:i w:val="false"/>
          <w:iCs w:val="false"/>
          <w:color w:val="000000"/>
          <w:sz w:val="21"/>
          <w:szCs w:val="21"/>
        </w:rPr>
        <w:t xml:space="preserve">Slogan: "Autonomous Intelligence. Uncompromised Control."</w:t>
      </w:r>
    </w:p>
    <w:p>
      <w:pPr>
        <w:spacing w:after="140"/>
      </w:pPr>
      <w:r>
        <w:rPr>
          <w:rFonts w:ascii="Calibri" w:cs="Calibri" w:eastAsia="Calibri" w:hAnsi="Calibri"/>
          <w:i w:val="false"/>
          <w:iCs w:val="false"/>
          <w:color w:val="000000"/>
          <w:sz w:val="21"/>
          <w:szCs w:val="21"/>
        </w:rPr>
        <w:t xml:space="preserve">Market problem: SMBs frequently overspend on redundant software and lack real-time financial visibility; hiring dedicated data engineers, BI developers, analysts, or a fractional CFO carries significant recurring cost.</w:t>
      </w:r>
    </w:p>
    <w:p>
      <w:pPr>
        <w:pStyle w:val="Heading2"/>
        <w:spacing w:after="100" w:before="240"/>
      </w:pPr>
      <w:r>
        <w:rPr>
          <w:rFonts w:ascii="Calibri" w:cs="Calibri" w:eastAsia="Calibri" w:hAnsi="Calibri"/>
          <w:b/>
          <w:bCs/>
          <w:color w:val="1F3864"/>
          <w:sz w:val="24"/>
          <w:szCs w:val="24"/>
        </w:rPr>
        <w:t xml:space="preserve">4.2 Pricing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1900"/>
        <w:gridCol w:w="2880"/>
      </w:tblGrid>
      <w:tr>
        <w:trPr>
          <w:tblHeader/>
        </w:trPr>
        <w:tc>
          <w:tcPr>
            <w:tcW w:type="dxa" w:w="21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Tier</w:t>
            </w:r>
          </w:p>
        </w:tc>
        <w:tc>
          <w:tcPr>
            <w:tcW w:type="dxa" w:w="3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Target Market</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Price</w:t>
            </w:r>
          </w:p>
        </w:tc>
        <w:tc>
          <w:tcPr>
            <w:tcW w:type="dxa" w:w="288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Core Scope</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Core Operations</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Micro-SMBs, bootstrapped teams, early seed startups</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$95–$299/mo</w:t>
            </w:r>
          </w:p>
        </w:tc>
        <w:tc>
          <w:tcPr>
            <w:tcW w:type="dxa" w:w="288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Dashboard, file upload zone, basic search, 7-chart profiles</w:t>
            </w:r>
          </w:p>
        </w:tc>
      </w:tr>
      <w:tr>
        <w:tc>
          <w:tcPr>
            <w:tcW w:type="dxa" w:w="21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Growth Intelligence</w:t>
            </w:r>
          </w:p>
        </w:tc>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Mid-sized SMBs, scaleups, Series A/B</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$500–$2,000/mo</w:t>
            </w:r>
          </w:p>
        </w:tc>
        <w:tc>
          <w:tcPr>
            <w:tcW w:type="dxa" w:w="288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Self-healing ingestion, regression/forecasting, churn scoring, CFO briefings</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Enterprise Governance</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Mature / highly regulated organizations</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$2,000–$4,000+/mo</w:t>
            </w:r>
          </w:p>
        </w:tc>
        <w:tc>
          <w:tcPr>
            <w:tcW w:type="dxa" w:w="288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BYOK credential routing, MCP integration, FinOps budget gates, explainable-AI audit logging</w:t>
            </w:r>
          </w:p>
        </w:tc>
      </w:tr>
    </w:tbl>
    <w:p>
      <w:pPr>
        <w:pBdr>
          <w:left w:val="single" w:color="C0392B" w:sz="18" w:space="8"/>
        </w:pBdr>
        <w:shd w:fill="FBEFEA" w:val="clear"/>
        <w:spacing w:after="140" w:before="120"/>
      </w:pPr>
      <w:r>
        <w:rPr>
          <w:rFonts w:ascii="Calibri" w:cs="Calibri" w:eastAsia="Calibri" w:hAnsi="Calibri"/>
          <w:b/>
          <w:bCs/>
          <w:color w:val="8B2E1F"/>
          <w:sz w:val="21"/>
          <w:szCs w:val="21"/>
        </w:rPr>
        <w:t xml:space="preserve">⚑ OPEN FLAG — Pricing tiers are not yet chargeable</w:t>
      </w:r>
    </w:p>
    <w:p>
      <w:pPr>
        <w:pBdr>
          <w:left w:val="single" w:color="C0392B" w:sz="18" w:space="8"/>
        </w:pBdr>
        <w:shd w:fill="FBEFEA" w:val="clear"/>
        <w:spacing w:after="140"/>
      </w:pPr>
      <w:r>
        <w:rPr>
          <w:rFonts w:ascii="Calibri" w:cs="Calibri" w:eastAsia="Calibri" w:hAnsi="Calibri"/>
          <w:sz w:val="21"/>
          <w:szCs w:val="21"/>
        </w:rPr>
        <w:t xml:space="preserve">A billing/subscription engine (Stripe/Paddle checkout + webhook handling) does not exist yet — see Section 5.1 and Master Build List BILL-01–05 (NOT ADDRESSED, LAST-SEQ). The tiers above are priced and designed but cannot currently be sold end-to-end.</w:t>
      </w:r>
    </w:p>
    <w:p>
      <w:pPr>
        <w:pStyle w:val="Heading2"/>
        <w:spacing w:after="100" w:before="240"/>
      </w:pPr>
      <w:r>
        <w:rPr>
          <w:rFonts w:ascii="Calibri" w:cs="Calibri" w:eastAsia="Calibri" w:hAnsi="Calibri"/>
          <w:b/>
          <w:bCs/>
          <w:color w:val="1F3864"/>
          <w:sz w:val="24"/>
          <w:szCs w:val="24"/>
        </w:rPr>
        <w:t xml:space="preserve">4.3 Go-to-Market Strategy</w:t>
      </w:r>
    </w:p>
    <w:p>
      <w:pPr>
        <w:pStyle w:val="ListParagraph"/>
        <w:numPr>
          <w:ilvl w:val="0"/>
          <w:numId w:val="1"/>
        </w:numPr>
        <w:spacing w:after="90"/>
      </w:pPr>
      <w:r>
        <w:rPr>
          <w:rFonts w:ascii="Calibri" w:cs="Calibri" w:eastAsia="Calibri" w:hAnsi="Calibri"/>
          <w:sz w:val="21"/>
          <w:szCs w:val="21"/>
        </w:rPr>
        <w:t xml:space="preserve">Data-first outbound: target companies showing operational-inefficiency signals with an intent-driven outreach motion and a free introductory ingestion audit.</w:t>
      </w:r>
    </w:p>
    <w:p>
      <w:pPr>
        <w:pStyle w:val="ListParagraph"/>
        <w:numPr>
          <w:ilvl w:val="0"/>
          <w:numId w:val="1"/>
        </w:numPr>
        <w:spacing w:after="90"/>
      </w:pPr>
      <w:r>
        <w:rPr>
          <w:rFonts w:ascii="Calibri" w:cs="Calibri" w:eastAsia="Calibri" w:hAnsi="Calibri"/>
          <w:sz w:val="21"/>
          <w:szCs w:val="21"/>
        </w:rPr>
        <w:t xml:space="preserve">Ecosystem-led growth: integrate with existing small-business tools (CRM, accounting) via MCP server endpoints to drive low-cost, product-led signups.</w:t>
      </w:r>
    </w:p>
    <w:p>
      <w:pPr>
        <w:pStyle w:val="ListParagraph"/>
        <w:numPr>
          <w:ilvl w:val="0"/>
          <w:numId w:val="1"/>
        </w:numPr>
        <w:spacing w:after="90"/>
      </w:pPr>
      <w:r>
        <w:rPr>
          <w:rFonts w:ascii="Calibri" w:cs="Calibri" w:eastAsia="Calibri" w:hAnsi="Calibri"/>
          <w:sz w:val="21"/>
          <w:szCs w:val="21"/>
        </w:rPr>
        <w:t xml:space="preserve">AI search optimization (GEO): publish data-dense case studies and benchmarking content so the platform surfaces in AI-assisted B2B research and buying journeys.</w:t>
      </w:r>
    </w:p>
    <w:p>
      <w:pPr>
        <w:pStyle w:val="Heading1"/>
        <w:pBdr>
          <w:bottom w:val="single" w:color="B8C4D9" w:sz="4" w:space="4"/>
        </w:pBdr>
        <w:spacing w:after="140" w:before="320"/>
      </w:pPr>
      <w:r>
        <w:rPr>
          <w:rFonts w:ascii="Calibri" w:cs="Calibri" w:eastAsia="Calibri" w:hAnsi="Calibri"/>
          <w:b/>
          <w:bCs/>
          <w:color w:val="1F3864"/>
          <w:sz w:val="28"/>
          <w:szCs w:val="28"/>
        </w:rPr>
        <w:t xml:space="preserve">5. Consolidated Backlog (Build Order)</w:t>
      </w:r>
    </w:p>
    <w:p>
      <w:pPr>
        <w:spacing w:after="140"/>
      </w:pPr>
      <w:r>
        <w:rPr>
          <w:rFonts w:ascii="Calibri" w:cs="Calibri" w:eastAsia="Calibri" w:hAnsi="Calibri"/>
          <w:i w:val="false"/>
          <w:iCs w:val="false"/>
          <w:color w:val="000000"/>
          <w:sz w:val="21"/>
          <w:szCs w:val="21"/>
        </w:rPr>
        <w:t xml:space="preserve">Merged from the Master Build List and the Improvements &amp; Next Steps tracker, de-duplicated, as of August 18, 2026. For current status of any item below, cross-check Master Build List v1.7 — several Section 5.2/5.8 items overlap with what Section 2's differentiation roadmap has since delivered (DIFF-01, 02, 03, 05, 06).</w:t>
      </w:r>
    </w:p>
    <w:p>
      <w:pPr>
        <w:pStyle w:val="Heading2"/>
        <w:spacing w:after="100" w:before="240"/>
      </w:pPr>
      <w:r>
        <w:rPr>
          <w:rFonts w:ascii="Calibri" w:cs="Calibri" w:eastAsia="Calibri" w:hAnsi="Calibri"/>
          <w:b/>
          <w:bCs/>
          <w:color w:val="1F3864"/>
          <w:sz w:val="24"/>
          <w:szCs w:val="24"/>
        </w:rPr>
        <w:t xml:space="preserve">5.1 Foundation — Finish Before Anything Else</w:t>
      </w:r>
    </w:p>
    <w:p>
      <w:pPr>
        <w:spacing w:after="140"/>
      </w:pPr>
      <w:r>
        <w:rPr>
          <w:rFonts w:ascii="Calibri" w:cs="Calibri" w:eastAsia="Calibri" w:hAnsi="Calibri"/>
          <w:i w:val="false"/>
          <w:iCs w:val="false"/>
          <w:color w:val="000000"/>
          <w:sz w:val="21"/>
          <w:szCs w:val="21"/>
        </w:rPr>
        <w:t xml:space="preserve">Non-negotiable for a paying customer to exist. No enhancement below matters commercially until these are done.</w:t>
      </w:r>
    </w:p>
    <w:p>
      <w:pPr>
        <w:pStyle w:val="ListParagraph"/>
        <w:numPr>
          <w:ilvl w:val="0"/>
          <w:numId w:val="1"/>
        </w:numPr>
        <w:spacing w:after="90"/>
      </w:pPr>
      <w:r>
        <w:rPr>
          <w:rFonts w:ascii="Calibri" w:cs="Calibri" w:eastAsia="Calibri" w:hAnsi="Calibri"/>
          <w:sz w:val="21"/>
          <w:szCs w:val="21"/>
        </w:rPr>
        <w:t xml:space="preserve">Billing &amp; subscription engine: Stripe/Paddle checkout, webhook handling for the subscription lifecycle, mapped to the three pricing tiers.</w:t>
      </w:r>
    </w:p>
    <w:p>
      <w:pPr>
        <w:pStyle w:val="ListParagraph"/>
        <w:numPr>
          <w:ilvl w:val="0"/>
          <w:numId w:val="1"/>
        </w:numPr>
        <w:spacing w:after="90"/>
      </w:pPr>
      <w:r>
        <w:rPr>
          <w:rFonts w:ascii="Calibri" w:cs="Calibri" w:eastAsia="Calibri" w:hAnsi="Calibri"/>
          <w:sz w:val="21"/>
          <w:szCs w:val="21"/>
        </w:rPr>
        <w:t xml:space="preserve">Full RBAC &amp; multi-tenancy enforcement: apply the same isolation guarantees the WebSocket layer has to every REST endpoint and the database layer.</w:t>
      </w:r>
    </w:p>
    <w:p>
      <w:pPr>
        <w:pStyle w:val="ListParagraph"/>
        <w:numPr>
          <w:ilvl w:val="0"/>
          <w:numId w:val="1"/>
        </w:numPr>
        <w:spacing w:after="90"/>
      </w:pPr>
      <w:r>
        <w:rPr>
          <w:rFonts w:ascii="Calibri" w:cs="Calibri" w:eastAsia="Calibri" w:hAnsi="Calibri"/>
          <w:sz w:val="21"/>
          <w:szCs w:val="21"/>
        </w:rPr>
        <w:t xml:space="preserve">Wire remaining mocked components: File Dropzone → real ingestion endpoint; placeholder agent responses → real OpenAI function calls; mock charts → live data.</w:t>
      </w:r>
    </w:p>
    <w:p>
      <w:pPr>
        <w:pStyle w:val="ListParagraph"/>
        <w:numPr>
          <w:ilvl w:val="0"/>
          <w:numId w:val="1"/>
        </w:numPr>
        <w:spacing w:after="90"/>
      </w:pPr>
      <w:r>
        <w:rPr>
          <w:rFonts w:ascii="Calibri" w:cs="Calibri" w:eastAsia="Calibri" w:hAnsi="Calibri"/>
          <w:sz w:val="21"/>
          <w:szCs w:val="21"/>
        </w:rPr>
        <w:t xml:space="preserve">Persistent storage: move DuckDB off in-memory/transient mode so uploaded data survives a restart.</w:t>
      </w:r>
    </w:p>
    <w:p>
      <w:pPr>
        <w:pStyle w:val="ListParagraph"/>
        <w:numPr>
          <w:ilvl w:val="0"/>
          <w:numId w:val="1"/>
        </w:numPr>
        <w:spacing w:after="90"/>
      </w:pPr>
      <w:r>
        <w:rPr>
          <w:rFonts w:ascii="Calibri" w:cs="Calibri" w:eastAsia="Calibri" w:hAnsi="Calibri"/>
          <w:sz w:val="21"/>
          <w:szCs w:val="21"/>
        </w:rPr>
        <w:t xml:space="preserve">Baseline automated testing: PyTest (backend) and Jest (frontend) covering the core ingestion → analysis → briefing path. Partial progress: a stub-based harness now exists (see Section 10) but is not PyTest/Jest and not CI-wired.</w:t>
      </w:r>
    </w:p>
    <w:p>
      <w:pPr>
        <w:pStyle w:val="ListParagraph"/>
        <w:numPr>
          <w:ilvl w:val="0"/>
          <w:numId w:val="1"/>
        </w:numPr>
        <w:spacing w:after="90"/>
      </w:pPr>
      <w:r>
        <w:rPr>
          <w:rFonts w:ascii="Calibri" w:cs="Calibri" w:eastAsia="Calibri" w:hAnsi="Calibri"/>
          <w:sz w:val="21"/>
          <w:szCs w:val="21"/>
        </w:rPr>
        <w:t xml:space="preserve">Run full end-to-end live testing: start backend and frontend together and validate live file ingestion, database query isolation, and the full agent request/response loop under real conditions.</w:t>
      </w:r>
    </w:p>
    <w:p>
      <w:pPr>
        <w:pStyle w:val="Heading2"/>
        <w:spacing w:after="100" w:before="240"/>
      </w:pPr>
      <w:r>
        <w:rPr>
          <w:rFonts w:ascii="Calibri" w:cs="Calibri" w:eastAsia="Calibri" w:hAnsi="Calibri"/>
          <w:b/>
          <w:bCs/>
          <w:color w:val="1F3864"/>
          <w:sz w:val="24"/>
          <w:szCs w:val="24"/>
        </w:rPr>
        <w:t xml:space="preserve">5.2 AI &amp; Product Differentiation</w:t>
      </w:r>
    </w:p>
    <w:p>
      <w:pPr>
        <w:spacing w:after="140"/>
      </w:pPr>
      <w:r>
        <w:rPr>
          <w:rFonts w:ascii="Calibri" w:cs="Calibri" w:eastAsia="Calibri" w:hAnsi="Calibri"/>
          <w:i w:val="false"/>
          <w:iCs w:val="false"/>
          <w:color w:val="000000"/>
          <w:sz w:val="21"/>
          <w:szCs w:val="21"/>
        </w:rPr>
        <w:t xml:space="preserve">Status update: the items below marked (DELIVERED) correspond to what Master Build List Section 2 tracks as DIFF-01/02/03/05/06 — see Section 10 of this document for full delivery detail. The rest of this list is unchanged from August 18.</w:t>
      </w:r>
    </w:p>
    <w:p>
      <w:pPr>
        <w:pStyle w:val="ListParagraph"/>
        <w:numPr>
          <w:ilvl w:val="0"/>
          <w:numId w:val="1"/>
        </w:numPr>
        <w:spacing w:after="90"/>
      </w:pPr>
      <w:r>
        <w:rPr>
          <w:rFonts w:ascii="Calibri" w:cs="Calibri" w:eastAsia="Calibri" w:hAnsi="Calibri"/>
          <w:sz w:val="21"/>
          <w:szCs w:val="21"/>
        </w:rPr>
        <w:t xml:space="preserve">Proactive alerting engine [NEW]: push a notification (email/Slack) when a metric trends toward a threshold breach.</w:t>
      </w:r>
    </w:p>
    <w:p>
      <w:pPr>
        <w:pStyle w:val="ListParagraph"/>
        <w:numPr>
          <w:ilvl w:val="0"/>
          <w:numId w:val="1"/>
        </w:numPr>
        <w:spacing w:after="90"/>
      </w:pPr>
      <w:r>
        <w:rPr>
          <w:rFonts w:ascii="Calibri" w:cs="Calibri" w:eastAsia="Calibri" w:hAnsi="Calibri"/>
          <w:sz w:val="21"/>
          <w:szCs w:val="21"/>
        </w:rPr>
        <w:t xml:space="preserve">Explainable anomaly detection [NEW]: when the churn model flags an account, surface contributing factors, not just a risk score.</w:t>
      </w:r>
    </w:p>
    <w:p>
      <w:pPr>
        <w:pStyle w:val="ListParagraph"/>
        <w:numPr>
          <w:ilvl w:val="0"/>
          <w:numId w:val="1"/>
        </w:numPr>
        <w:spacing w:after="90"/>
      </w:pPr>
      <w:r>
        <w:rPr>
          <w:rFonts w:ascii="Calibri" w:cs="Calibri" w:eastAsia="Calibri" w:hAnsi="Calibri"/>
          <w:sz w:val="21"/>
          <w:szCs w:val="21"/>
        </w:rPr>
        <w:t xml:space="preserve">Scenario / what-if modeling [NEW]: sliders on top of the regression/forecast engine to simulate outcomes live.</w:t>
      </w:r>
    </w:p>
    <w:p>
      <w:pPr>
        <w:pStyle w:val="ListParagraph"/>
        <w:numPr>
          <w:ilvl w:val="0"/>
          <w:numId w:val="1"/>
        </w:numPr>
        <w:spacing w:after="90"/>
      </w:pPr>
      <w:r>
        <w:rPr>
          <w:rFonts w:ascii="Calibri" w:cs="Calibri" w:eastAsia="Calibri" w:hAnsi="Calibri"/>
          <w:sz w:val="21"/>
          <w:szCs w:val="21"/>
        </w:rPr>
        <w:t xml:space="preserve">Persistent cross-session agent memory [NEW]: let a client reference a prior week's conversation instead of memory resetting per session.</w:t>
      </w:r>
    </w:p>
    <w:p>
      <w:pPr>
        <w:pStyle w:val="ListParagraph"/>
        <w:numPr>
          <w:ilvl w:val="0"/>
          <w:numId w:val="1"/>
        </w:numPr>
        <w:spacing w:after="90"/>
      </w:pPr>
      <w:r>
        <w:rPr>
          <w:rFonts w:ascii="Calibri" w:cs="Calibri" w:eastAsia="Calibri" w:hAnsi="Calibri"/>
          <w:sz w:val="21"/>
          <w:szCs w:val="21"/>
        </w:rPr>
        <w:t xml:space="preserve">Voice/audio briefing option [NEW]: text-to-speech version of the 3-bullet CFO brief.</w:t>
      </w:r>
    </w:p>
    <w:p>
      <w:pPr>
        <w:pStyle w:val="ListParagraph"/>
        <w:numPr>
          <w:ilvl w:val="0"/>
          <w:numId w:val="1"/>
        </w:numPr>
        <w:spacing w:after="90"/>
      </w:pPr>
      <w:r>
        <w:rPr>
          <w:rFonts w:ascii="Calibri" w:cs="Calibri" w:eastAsia="Calibri" w:hAnsi="Calibri"/>
          <w:sz w:val="21"/>
          <w:szCs w:val="21"/>
        </w:rPr>
        <w:t xml:space="preserve">Multi-turn conversational memory: let sub-agents retain context across a sequence of related queries, not just one request/response.</w:t>
      </w:r>
    </w:p>
    <w:p>
      <w:pPr>
        <w:pStyle w:val="ListParagraph"/>
        <w:numPr>
          <w:ilvl w:val="0"/>
          <w:numId w:val="1"/>
        </w:numPr>
        <w:spacing w:after="90"/>
      </w:pPr>
      <w:r>
        <w:rPr>
          <w:rFonts w:ascii="Calibri" w:cs="Calibri" w:eastAsia="Calibri" w:hAnsi="Calibri"/>
          <w:sz w:val="21"/>
          <w:szCs w:val="21"/>
        </w:rPr>
        <w:t xml:space="preserve">Growth &amp; Retention Optimization skill: add a proactive revenue-opportunity function to the BI/Virtual CFO agent.</w:t>
      </w:r>
    </w:p>
    <w:p>
      <w:pPr>
        <w:pStyle w:val="ListParagraph"/>
        <w:numPr>
          <w:ilvl w:val="0"/>
          <w:numId w:val="1"/>
        </w:numPr>
        <w:spacing w:after="90"/>
      </w:pPr>
      <w:r>
        <w:rPr>
          <w:rFonts w:ascii="Calibri" w:cs="Calibri" w:eastAsia="Calibri" w:hAnsi="Calibri"/>
          <w:sz w:val="21"/>
          <w:szCs w:val="21"/>
        </w:rPr>
        <w:t xml:space="preserve">Multi-tenant onboarding validation: strict first-upload validation pass in the Data Engineer agent to lock down a new client's isolation boundaries.</w:t>
      </w:r>
    </w:p>
    <w:p>
      <w:pPr>
        <w:pStyle w:val="Heading2"/>
        <w:spacing w:after="100" w:before="240"/>
      </w:pPr>
      <w:r>
        <w:rPr>
          <w:rFonts w:ascii="Calibri" w:cs="Calibri" w:eastAsia="Calibri" w:hAnsi="Calibri"/>
          <w:b/>
          <w:bCs/>
          <w:color w:val="1F3864"/>
          <w:sz w:val="24"/>
          <w:szCs w:val="24"/>
        </w:rPr>
        <w:t xml:space="preserve">5.3 Enterprise Trust &amp; Compliance</w:t>
      </w:r>
    </w:p>
    <w:p>
      <w:pPr>
        <w:spacing w:after="140"/>
      </w:pPr>
      <w:r>
        <w:rPr>
          <w:rFonts w:ascii="Calibri" w:cs="Calibri" w:eastAsia="Calibri" w:hAnsi="Calibri"/>
          <w:i w:val="false"/>
          <w:iCs w:val="false"/>
          <w:color w:val="000000"/>
          <w:sz w:val="21"/>
          <w:szCs w:val="21"/>
        </w:rPr>
        <w:t xml:space="preserve">Required to credibly sell the Enterprise Governance tier already priced. Unchanged from August 18.</w:t>
      </w:r>
    </w:p>
    <w:p>
      <w:pPr>
        <w:pStyle w:val="ListParagraph"/>
        <w:numPr>
          <w:ilvl w:val="0"/>
          <w:numId w:val="1"/>
        </w:numPr>
        <w:spacing w:after="90"/>
      </w:pPr>
      <w:r>
        <w:rPr>
          <w:rFonts w:ascii="Calibri" w:cs="Calibri" w:eastAsia="Calibri" w:hAnsi="Calibri"/>
          <w:sz w:val="21"/>
          <w:szCs w:val="21"/>
        </w:rPr>
        <w:t xml:space="preserve">SSO / SAML support [NEW]: Okta, Azure AD, Google Workspace.</w:t>
      </w:r>
    </w:p>
    <w:p>
      <w:pPr>
        <w:pStyle w:val="ListParagraph"/>
        <w:numPr>
          <w:ilvl w:val="0"/>
          <w:numId w:val="1"/>
        </w:numPr>
        <w:spacing w:after="90"/>
      </w:pPr>
      <w:r>
        <w:rPr>
          <w:rFonts w:ascii="Calibri" w:cs="Calibri" w:eastAsia="Calibri" w:hAnsi="Calibri"/>
          <w:sz w:val="21"/>
          <w:szCs w:val="21"/>
        </w:rPr>
        <w:t xml:space="preserve">Visible audit trail UI [NEW]: surface the data-lineage logging as an actual screen.</w:t>
      </w:r>
    </w:p>
    <w:p>
      <w:pPr>
        <w:pStyle w:val="ListParagraph"/>
        <w:numPr>
          <w:ilvl w:val="0"/>
          <w:numId w:val="1"/>
        </w:numPr>
        <w:spacing w:after="90"/>
      </w:pPr>
      <w:r>
        <w:rPr>
          <w:rFonts w:ascii="Calibri" w:cs="Calibri" w:eastAsia="Calibri" w:hAnsi="Calibri"/>
          <w:sz w:val="21"/>
          <w:szCs w:val="21"/>
        </w:rPr>
        <w:t xml:space="preserve">BYOK credential routing: let enterprise clients supply their own OpenAI key.</w:t>
      </w:r>
    </w:p>
    <w:p>
      <w:pPr>
        <w:pStyle w:val="ListParagraph"/>
        <w:numPr>
          <w:ilvl w:val="0"/>
          <w:numId w:val="1"/>
        </w:numPr>
        <w:spacing w:after="90"/>
      </w:pPr>
      <w:r>
        <w:rPr>
          <w:rFonts w:ascii="Calibri" w:cs="Calibri" w:eastAsia="Calibri" w:hAnsi="Calibri"/>
          <w:sz w:val="21"/>
          <w:szCs w:val="21"/>
        </w:rPr>
        <w:t xml:space="preserve">Explainable-AI audit/lineage logging: backend piece that feeds the audit trail UI above.</w:t>
      </w:r>
    </w:p>
    <w:p>
      <w:pPr>
        <w:pStyle w:val="ListParagraph"/>
        <w:numPr>
          <w:ilvl w:val="0"/>
          <w:numId w:val="1"/>
        </w:numPr>
        <w:spacing w:after="90"/>
      </w:pPr>
      <w:r>
        <w:rPr>
          <w:rFonts w:ascii="Calibri" w:cs="Calibri" w:eastAsia="Calibri" w:hAnsi="Calibri"/>
          <w:sz w:val="21"/>
          <w:szCs w:val="21"/>
        </w:rPr>
        <w:t xml:space="preserve">SOC 2 Type II roadmap [NEW]: start the compliance process formally once auth, RBAC, and logging are solid.</w:t>
      </w:r>
    </w:p>
    <w:p>
      <w:pPr>
        <w:pStyle w:val="Heading2"/>
        <w:spacing w:after="100" w:before="240"/>
      </w:pPr>
      <w:r>
        <w:rPr>
          <w:rFonts w:ascii="Calibri" w:cs="Calibri" w:eastAsia="Calibri" w:hAnsi="Calibri"/>
          <w:b/>
          <w:bCs/>
          <w:color w:val="1F3864"/>
          <w:sz w:val="24"/>
          <w:szCs w:val="24"/>
        </w:rPr>
        <w:t xml:space="preserve">5.4 Integrations — Remove the Adoption Friction</w:t>
      </w:r>
    </w:p>
    <w:p>
      <w:pPr>
        <w:pStyle w:val="ListParagraph"/>
        <w:numPr>
          <w:ilvl w:val="0"/>
          <w:numId w:val="1"/>
        </w:numPr>
        <w:spacing w:after="90"/>
      </w:pPr>
      <w:r>
        <w:rPr>
          <w:rFonts w:ascii="Calibri" w:cs="Calibri" w:eastAsia="Calibri" w:hAnsi="Calibri"/>
          <w:sz w:val="21"/>
          <w:szCs w:val="21"/>
        </w:rPr>
        <w:t xml:space="preserve">Stripe / QuickBooks / Xero connectors [NEW].</w:t>
      </w:r>
    </w:p>
    <w:p>
      <w:pPr>
        <w:pStyle w:val="ListParagraph"/>
        <w:numPr>
          <w:ilvl w:val="0"/>
          <w:numId w:val="1"/>
        </w:numPr>
        <w:spacing w:after="90"/>
      </w:pPr>
      <w:r>
        <w:rPr>
          <w:rFonts w:ascii="Calibri" w:cs="Calibri" w:eastAsia="Calibri" w:hAnsi="Calibri"/>
          <w:sz w:val="21"/>
          <w:szCs w:val="21"/>
        </w:rPr>
        <w:t xml:space="preserve">HubSpot / Salesforce connector [NEW].</w:t>
      </w:r>
    </w:p>
    <w:p>
      <w:pPr>
        <w:pStyle w:val="ListParagraph"/>
        <w:numPr>
          <w:ilvl w:val="0"/>
          <w:numId w:val="1"/>
        </w:numPr>
        <w:spacing w:after="90"/>
      </w:pPr>
      <w:r>
        <w:rPr>
          <w:rFonts w:ascii="Calibri" w:cs="Calibri" w:eastAsia="Calibri" w:hAnsi="Calibri"/>
          <w:sz w:val="21"/>
          <w:szCs w:val="21"/>
        </w:rPr>
        <w:t xml:space="preserve">Slack / Teams bot [NEW].</w:t>
      </w:r>
    </w:p>
    <w:p>
      <w:pPr>
        <w:pStyle w:val="ListParagraph"/>
        <w:numPr>
          <w:ilvl w:val="0"/>
          <w:numId w:val="1"/>
        </w:numPr>
        <w:spacing w:after="90"/>
      </w:pPr>
      <w:r>
        <w:rPr>
          <w:rFonts w:ascii="Calibri" w:cs="Calibri" w:eastAsia="Calibri" w:hAnsi="Calibri"/>
          <w:sz w:val="21"/>
          <w:szCs w:val="21"/>
        </w:rPr>
        <w:t xml:space="preserve">Model Context Protocol (MCP) tool server: finish the underlying framework.</w:t>
      </w:r>
    </w:p>
    <w:p>
      <w:pPr>
        <w:pStyle w:val="Heading2"/>
        <w:spacing w:after="100" w:before="240"/>
      </w:pPr>
      <w:r>
        <w:rPr>
          <w:rFonts w:ascii="Calibri" w:cs="Calibri" w:eastAsia="Calibri" w:hAnsi="Calibri"/>
          <w:b/>
          <w:bCs/>
          <w:color w:val="1F3864"/>
          <w:sz w:val="24"/>
          <w:szCs w:val="24"/>
        </w:rPr>
        <w:t xml:space="preserve">5.5 Data Ingestion &amp; Knowledge Base</w:t>
      </w:r>
    </w:p>
    <w:p>
      <w:pPr>
        <w:pStyle w:val="ListParagraph"/>
        <w:numPr>
          <w:ilvl w:val="0"/>
          <w:numId w:val="1"/>
        </w:numPr>
        <w:spacing w:after="90"/>
      </w:pPr>
      <w:r>
        <w:rPr>
          <w:rFonts w:ascii="Calibri" w:cs="Calibri" w:eastAsia="Calibri" w:hAnsi="Calibri"/>
          <w:sz w:val="21"/>
          <w:szCs w:val="21"/>
        </w:rPr>
        <w:t xml:space="preserve">Multi-format ingestion: extend beyond CSV to .xlsx, .xls (multi-sheet), PDF, TXT, and JSON sources.</w:t>
      </w:r>
    </w:p>
    <w:p>
      <w:pPr>
        <w:pStyle w:val="ListParagraph"/>
        <w:numPr>
          <w:ilvl w:val="0"/>
          <w:numId w:val="1"/>
        </w:numPr>
        <w:spacing w:after="90"/>
      </w:pPr>
      <w:r>
        <w:rPr>
          <w:rFonts w:ascii="Calibri" w:cs="Calibri" w:eastAsia="Calibri" w:hAnsi="Calibri"/>
          <w:sz w:val="21"/>
          <w:szCs w:val="21"/>
        </w:rPr>
        <w:t xml:space="preserve">Persistent vector storage: move Qdrant from in-memory mode to a persistent volume or Qdrant Cloud cluster.</w:t>
      </w:r>
    </w:p>
    <w:p>
      <w:pPr>
        <w:pStyle w:val="ListParagraph"/>
        <w:numPr>
          <w:ilvl w:val="0"/>
          <w:numId w:val="1"/>
        </w:numPr>
        <w:spacing w:after="90"/>
      </w:pPr>
      <w:r>
        <w:rPr>
          <w:rFonts w:ascii="Calibri" w:cs="Calibri" w:eastAsia="Calibri" w:hAnsi="Calibri"/>
          <w:sz w:val="21"/>
          <w:szCs w:val="21"/>
        </w:rPr>
        <w:t xml:space="preserve">Custom vector RAG knowledge base.</w:t>
      </w:r>
    </w:p>
    <w:p>
      <w:pPr>
        <w:pStyle w:val="ListParagraph"/>
        <w:numPr>
          <w:ilvl w:val="0"/>
          <w:numId w:val="1"/>
        </w:numPr>
        <w:spacing w:after="90"/>
      </w:pPr>
      <w:r>
        <w:rPr>
          <w:rFonts w:ascii="Calibri" w:cs="Calibri" w:eastAsia="Calibri" w:hAnsi="Calibri"/>
          <w:sz w:val="21"/>
          <w:szCs w:val="21"/>
        </w:rPr>
        <w:t xml:space="preserve">Document parsing in the upload UI.</w:t>
      </w:r>
    </w:p>
    <w:p>
      <w:pPr>
        <w:pStyle w:val="Heading2"/>
        <w:spacing w:after="100" w:before="240"/>
      </w:pPr>
      <w:r>
        <w:rPr>
          <w:rFonts w:ascii="Calibri" w:cs="Calibri" w:eastAsia="Calibri" w:hAnsi="Calibri"/>
          <w:b/>
          <w:bCs/>
          <w:color w:val="1F3864"/>
          <w:sz w:val="24"/>
          <w:szCs w:val="24"/>
        </w:rPr>
        <w:t xml:space="preserve">5.6 Architecture — Prepare for Scale</w:t>
      </w:r>
    </w:p>
    <w:p>
      <w:pPr>
        <w:pStyle w:val="ListParagraph"/>
        <w:numPr>
          <w:ilvl w:val="0"/>
          <w:numId w:val="1"/>
        </w:numPr>
        <w:spacing w:after="90"/>
      </w:pPr>
      <w:r>
        <w:rPr>
          <w:rFonts w:ascii="Calibri" w:cs="Calibri" w:eastAsia="Calibri" w:hAnsi="Calibri"/>
          <w:sz w:val="21"/>
          <w:szCs w:val="21"/>
        </w:rPr>
        <w:t xml:space="preserve">Warehouse migration path [NEW]: DuckDB is single-writer/single-node; document a path to Postgres, MotherDuck, or a proper warehouse.</w:t>
      </w:r>
    </w:p>
    <w:p>
      <w:pPr>
        <w:pStyle w:val="ListParagraph"/>
        <w:numPr>
          <w:ilvl w:val="0"/>
          <w:numId w:val="1"/>
        </w:numPr>
        <w:spacing w:after="90"/>
      </w:pPr>
      <w:r>
        <w:rPr>
          <w:rFonts w:ascii="Calibri" w:cs="Calibri" w:eastAsia="Calibri" w:hAnsi="Calibri"/>
          <w:sz w:val="21"/>
          <w:szCs w:val="21"/>
        </w:rPr>
        <w:t xml:space="preserve">Message queue between ingestion and analysis [NEW].</w:t>
      </w:r>
    </w:p>
    <w:p>
      <w:pPr>
        <w:pStyle w:val="ListParagraph"/>
        <w:numPr>
          <w:ilvl w:val="0"/>
          <w:numId w:val="1"/>
        </w:numPr>
        <w:spacing w:after="90"/>
      </w:pPr>
      <w:r>
        <w:rPr>
          <w:rFonts w:ascii="Calibri" w:cs="Calibri" w:eastAsia="Calibri" w:hAnsi="Calibri"/>
          <w:sz w:val="21"/>
          <w:szCs w:val="21"/>
        </w:rPr>
        <w:t xml:space="preserve">Redis for caching, sessions, and job queues [NEW].</w:t>
      </w:r>
    </w:p>
    <w:p>
      <w:pPr>
        <w:pStyle w:val="ListParagraph"/>
        <w:numPr>
          <w:ilvl w:val="0"/>
          <w:numId w:val="1"/>
        </w:numPr>
        <w:spacing w:after="90"/>
      </w:pPr>
      <w:r>
        <w:rPr>
          <w:rFonts w:ascii="Calibri" w:cs="Calibri" w:eastAsia="Calibri" w:hAnsi="Calibri"/>
          <w:sz w:val="21"/>
          <w:szCs w:val="21"/>
        </w:rPr>
        <w:t xml:space="preserve">Containerization, CI/CD, IaC: Docker, GitHub Actions, and Terraform.</w:t>
      </w:r>
    </w:p>
    <w:p>
      <w:pPr>
        <w:pStyle w:val="ListParagraph"/>
        <w:numPr>
          <w:ilvl w:val="0"/>
          <w:numId w:val="1"/>
        </w:numPr>
        <w:spacing w:after="90"/>
      </w:pPr>
      <w:r>
        <w:rPr>
          <w:rFonts w:ascii="Calibri" w:cs="Calibri" w:eastAsia="Calibri" w:hAnsi="Calibri"/>
          <w:sz w:val="21"/>
          <w:szCs w:val="21"/>
        </w:rPr>
        <w:t xml:space="preserve">Observability: Sentry/Datadog, centralized logging, uptime alerting.</w:t>
      </w:r>
    </w:p>
    <w:p>
      <w:pPr>
        <w:pStyle w:val="Heading2"/>
        <w:spacing w:after="100" w:before="240"/>
      </w:pPr>
      <w:r>
        <w:rPr>
          <w:rFonts w:ascii="Calibri" w:cs="Calibri" w:eastAsia="Calibri" w:hAnsi="Calibri"/>
          <w:b/>
          <w:bCs/>
          <w:color w:val="1F3864"/>
          <w:sz w:val="24"/>
          <w:szCs w:val="24"/>
        </w:rPr>
        <w:t xml:space="preserve">5.7 Deployment &amp; Infrastructure Phases</w:t>
      </w:r>
    </w:p>
    <w:p>
      <w:pPr>
        <w:pStyle w:val="ListParagraph"/>
        <w:numPr>
          <w:ilvl w:val="0"/>
          <w:numId w:val="1"/>
        </w:numPr>
        <w:spacing w:after="90"/>
      </w:pPr>
      <w:r>
        <w:rPr>
          <w:rFonts w:ascii="Calibri" w:cs="Calibri" w:eastAsia="Calibri" w:hAnsi="Calibri"/>
          <w:sz w:val="21"/>
          <w:szCs w:val="21"/>
        </w:rPr>
        <w:t xml:space="preserve">Phase 1 — Containerization: Dockerfiles for FastAPI backend and Next.js frontend; docker-compose orchestrating backend, frontend, and Qdrant.</w:t>
      </w:r>
    </w:p>
    <w:p>
      <w:pPr>
        <w:pStyle w:val="ListParagraph"/>
        <w:numPr>
          <w:ilvl w:val="0"/>
          <w:numId w:val="1"/>
        </w:numPr>
        <w:spacing w:after="90"/>
      </w:pPr>
      <w:r>
        <w:rPr>
          <w:rFonts w:ascii="Calibri" w:cs="Calibri" w:eastAsia="Calibri" w:hAnsi="Calibri"/>
          <w:sz w:val="21"/>
          <w:szCs w:val="21"/>
        </w:rPr>
        <w:t xml:space="preserve">Phase 2 — Cloud Deployment: frontend to Vercel; backend to a cloud container host; environment wiring.</w:t>
      </w:r>
    </w:p>
    <w:p>
      <w:pPr>
        <w:pStyle w:val="ListParagraph"/>
        <w:numPr>
          <w:ilvl w:val="0"/>
          <w:numId w:val="1"/>
        </w:numPr>
        <w:spacing w:after="90"/>
      </w:pPr>
      <w:r>
        <w:rPr>
          <w:rFonts w:ascii="Calibri" w:cs="Calibri" w:eastAsia="Calibri" w:hAnsi="Calibri"/>
          <w:sz w:val="21"/>
          <w:szCs w:val="21"/>
        </w:rPr>
        <w:t xml:space="preserve">Phase 3 — CI/CD Automation: GitHub Actions pipeline for linting, type-checking, and the test suite.</w:t>
      </w:r>
    </w:p>
    <w:p>
      <w:pPr>
        <w:pStyle w:val="Heading2"/>
        <w:spacing w:after="100" w:before="240"/>
      </w:pPr>
      <w:r>
        <w:rPr>
          <w:rFonts w:ascii="Calibri" w:cs="Calibri" w:eastAsia="Calibri" w:hAnsi="Calibri"/>
          <w:b/>
          <w:bCs/>
          <w:color w:val="1F3864"/>
          <w:sz w:val="24"/>
          <w:szCs w:val="24"/>
        </w:rPr>
        <w:t xml:space="preserve">5.8 High-End UX Polish</w:t>
      </w:r>
    </w:p>
    <w:p>
      <w:pPr>
        <w:spacing w:after="140"/>
      </w:pPr>
      <w:r>
        <w:rPr>
          <w:rFonts w:ascii="Calibri" w:cs="Calibri" w:eastAsia="Calibri" w:hAnsi="Calibri"/>
          <w:i/>
          <w:iCs/>
          <w:color w:val="000000"/>
          <w:sz w:val="21"/>
          <w:szCs w:val="21"/>
        </w:rPr>
        <w:t xml:space="preserve">Note: the first item below overlaps with what DIFF-05 (onboarding checklist) has since delivered as a lighter-weight version — see Section 10.</w:t>
      </w:r>
    </w:p>
    <w:p>
      <w:pPr>
        <w:pStyle w:val="ListParagraph"/>
        <w:numPr>
          <w:ilvl w:val="0"/>
          <w:numId w:val="1"/>
        </w:numPr>
        <w:spacing w:after="90"/>
      </w:pPr>
      <w:r>
        <w:rPr>
          <w:rFonts w:ascii="Calibri" w:cs="Calibri" w:eastAsia="Calibri" w:hAnsi="Calibri"/>
          <w:sz w:val="21"/>
          <w:szCs w:val="21"/>
        </w:rPr>
        <w:t xml:space="preserve">Guided onboarding with a seeded sample dataset [NEW].</w:t>
      </w:r>
    </w:p>
    <w:p>
      <w:pPr>
        <w:pStyle w:val="ListParagraph"/>
        <w:numPr>
          <w:ilvl w:val="0"/>
          <w:numId w:val="1"/>
        </w:numPr>
        <w:spacing w:after="90"/>
      </w:pPr>
      <w:r>
        <w:rPr>
          <w:rFonts w:ascii="Calibri" w:cs="Calibri" w:eastAsia="Calibri" w:hAnsi="Calibri"/>
          <w:sz w:val="21"/>
          <w:szCs w:val="21"/>
        </w:rPr>
        <w:t xml:space="preserve">Skeleton loaders, empty states, in-app changelog [NEW].</w:t>
      </w:r>
    </w:p>
    <w:p>
      <w:pPr>
        <w:pStyle w:val="ListParagraph"/>
        <w:numPr>
          <w:ilvl w:val="0"/>
          <w:numId w:val="1"/>
        </w:numPr>
        <w:spacing w:after="90"/>
      </w:pPr>
      <w:r>
        <w:rPr>
          <w:rFonts w:ascii="Calibri" w:cs="Calibri" w:eastAsia="Calibri" w:hAnsi="Calibri"/>
          <w:sz w:val="21"/>
          <w:szCs w:val="21"/>
        </w:rPr>
        <w:t xml:space="preserve">Collapsible left sidebar.</w:t>
      </w:r>
    </w:p>
    <w:p>
      <w:pPr>
        <w:pStyle w:val="ListParagraph"/>
        <w:numPr>
          <w:ilvl w:val="0"/>
          <w:numId w:val="1"/>
        </w:numPr>
        <w:spacing w:after="90"/>
      </w:pPr>
      <w:r>
        <w:rPr>
          <w:rFonts w:ascii="Calibri" w:cs="Calibri" w:eastAsia="Calibri" w:hAnsi="Calibri"/>
          <w:sz w:val="21"/>
          <w:szCs w:val="21"/>
        </w:rPr>
        <w:t xml:space="preserve">Global command palette (Cmd/Ctrl+K).</w:t>
      </w:r>
    </w:p>
    <w:p>
      <w:pPr>
        <w:pStyle w:val="ListParagraph"/>
        <w:numPr>
          <w:ilvl w:val="0"/>
          <w:numId w:val="1"/>
        </w:numPr>
        <w:spacing w:after="90"/>
      </w:pPr>
      <w:r>
        <w:rPr>
          <w:rFonts w:ascii="Calibri" w:cs="Calibri" w:eastAsia="Calibri" w:hAnsi="Calibri"/>
          <w:sz w:val="21"/>
          <w:szCs w:val="21"/>
        </w:rPr>
        <w:t xml:space="preserve">Global time-range selector.</w:t>
      </w:r>
    </w:p>
    <w:p>
      <w:pPr>
        <w:pStyle w:val="ListParagraph"/>
        <w:numPr>
          <w:ilvl w:val="0"/>
          <w:numId w:val="1"/>
        </w:numPr>
        <w:spacing w:after="90"/>
      </w:pPr>
      <w:r>
        <w:rPr>
          <w:rFonts w:ascii="Calibri" w:cs="Calibri" w:eastAsia="Calibri" w:hAnsi="Calibri"/>
          <w:sz w:val="21"/>
          <w:szCs w:val="21"/>
        </w:rPr>
        <w:t xml:space="preserve">Chart view toggles.</w:t>
      </w:r>
    </w:p>
    <w:p>
      <w:pPr>
        <w:pStyle w:val="ListParagraph"/>
        <w:numPr>
          <w:ilvl w:val="0"/>
          <w:numId w:val="1"/>
        </w:numPr>
        <w:spacing w:after="90"/>
      </w:pPr>
      <w:r>
        <w:rPr>
          <w:rFonts w:ascii="Calibri" w:cs="Calibri" w:eastAsia="Calibri" w:hAnsi="Calibri"/>
          <w:sz w:val="21"/>
          <w:szCs w:val="21"/>
        </w:rPr>
        <w:t xml:space="preserve">Export &amp; share action bar.</w:t>
      </w:r>
    </w:p>
    <w:p>
      <w:pPr>
        <w:pStyle w:val="ListParagraph"/>
        <w:numPr>
          <w:ilvl w:val="0"/>
          <w:numId w:val="1"/>
        </w:numPr>
        <w:spacing w:after="90"/>
      </w:pPr>
      <w:r>
        <w:rPr>
          <w:rFonts w:ascii="Calibri" w:cs="Calibri" w:eastAsia="Calibri" w:hAnsi="Calibri"/>
          <w:sz w:val="21"/>
          <w:szCs w:val="21"/>
        </w:rPr>
        <w:t xml:space="preserve">Interactive audit trigger.</w:t>
      </w:r>
    </w:p>
    <w:p>
      <w:pPr>
        <w:pStyle w:val="ListParagraph"/>
        <w:numPr>
          <w:ilvl w:val="0"/>
          <w:numId w:val="1"/>
        </w:numPr>
        <w:spacing w:after="90"/>
      </w:pPr>
      <w:r>
        <w:rPr>
          <w:rFonts w:ascii="Calibri" w:cs="Calibri" w:eastAsia="Calibri" w:hAnsi="Calibri"/>
          <w:sz w:val="21"/>
          <w:szCs w:val="21"/>
        </w:rPr>
        <w:t xml:space="preserve">Agent fine-tuning modal.</w:t>
      </w:r>
    </w:p>
    <w:p>
      <w:pPr>
        <w:pStyle w:val="ListParagraph"/>
        <w:numPr>
          <w:ilvl w:val="0"/>
          <w:numId w:val="1"/>
        </w:numPr>
        <w:spacing w:after="90"/>
      </w:pPr>
      <w:r>
        <w:rPr>
          <w:rFonts w:ascii="Calibri" w:cs="Calibri" w:eastAsia="Calibri" w:hAnsi="Calibri"/>
          <w:sz w:val="21"/>
          <w:szCs w:val="21"/>
        </w:rPr>
        <w:t xml:space="preserve">API &amp; webhook management hub.</w:t>
      </w:r>
    </w:p>
    <w:p>
      <w:pPr>
        <w:pStyle w:val="ListParagraph"/>
        <w:numPr>
          <w:ilvl w:val="0"/>
          <w:numId w:val="1"/>
        </w:numPr>
        <w:spacing w:after="90"/>
      </w:pPr>
      <w:r>
        <w:rPr>
          <w:rFonts w:ascii="Calibri" w:cs="Calibri" w:eastAsia="Calibri" w:hAnsi="Calibri"/>
          <w:sz w:val="21"/>
          <w:szCs w:val="21"/>
        </w:rPr>
        <w:t xml:space="preserve">Automated PDF report generation.</w:t>
      </w:r>
    </w:p>
    <w:p>
      <w:pPr>
        <w:pStyle w:val="Heading2"/>
        <w:spacing w:after="100" w:before="240"/>
      </w:pPr>
      <w:r>
        <w:rPr>
          <w:rFonts w:ascii="Calibri" w:cs="Calibri" w:eastAsia="Calibri" w:hAnsi="Calibri"/>
          <w:b/>
          <w:bCs/>
          <w:color w:val="1F3864"/>
          <w:sz w:val="24"/>
          <w:szCs w:val="24"/>
        </w:rPr>
        <w:t xml:space="preserve">5.9 Monetization &amp; Growth Enhancements</w:t>
      </w:r>
    </w:p>
    <w:p>
      <w:pPr>
        <w:pStyle w:val="ListParagraph"/>
        <w:numPr>
          <w:ilvl w:val="0"/>
          <w:numId w:val="1"/>
        </w:numPr>
        <w:spacing w:after="90"/>
      </w:pPr>
      <w:r>
        <w:rPr>
          <w:rFonts w:ascii="Calibri" w:cs="Calibri" w:eastAsia="Calibri" w:hAnsi="Calibri"/>
          <w:sz w:val="21"/>
          <w:szCs w:val="21"/>
        </w:rPr>
        <w:t xml:space="preserve">Usage-based overage billing [NEW].</w:t>
      </w:r>
    </w:p>
    <w:p>
      <w:pPr>
        <w:pStyle w:val="ListParagraph"/>
        <w:numPr>
          <w:ilvl w:val="0"/>
          <w:numId w:val="1"/>
        </w:numPr>
        <w:spacing w:after="90"/>
      </w:pPr>
      <w:r>
        <w:rPr>
          <w:rFonts w:ascii="Calibri" w:cs="Calibri" w:eastAsia="Calibri" w:hAnsi="Calibri"/>
          <w:sz w:val="21"/>
          <w:szCs w:val="21"/>
        </w:rPr>
        <w:t xml:space="preserve">Anonymized cross-tenant benchmarking [NEW].</w:t>
      </w:r>
    </w:p>
    <w:p>
      <w:pPr>
        <w:pStyle w:val="ListParagraph"/>
        <w:numPr>
          <w:ilvl w:val="0"/>
          <w:numId w:val="1"/>
        </w:numPr>
        <w:spacing w:after="90"/>
      </w:pPr>
      <w:r>
        <w:rPr>
          <w:rFonts w:ascii="Calibri" w:cs="Calibri" w:eastAsia="Calibri" w:hAnsi="Calibri"/>
          <w:sz w:val="21"/>
          <w:szCs w:val="21"/>
        </w:rPr>
        <w:t xml:space="preserve">Free/self-serve trial with a sample dataset [NEW].</w:t>
      </w:r>
    </w:p>
    <w:p>
      <w:pPr>
        <w:pStyle w:val="ListParagraph"/>
        <w:numPr>
          <w:ilvl w:val="0"/>
          <w:numId w:val="1"/>
        </w:numPr>
        <w:spacing w:after="90"/>
      </w:pPr>
      <w:r>
        <w:rPr>
          <w:rFonts w:ascii="Calibri" w:cs="Calibri" w:eastAsia="Calibri" w:hAnsi="Calibri"/>
          <w:sz w:val="21"/>
          <w:szCs w:val="21"/>
        </w:rPr>
        <w:t xml:space="preserve">FinOps token budget gates.</w:t>
      </w:r>
    </w:p>
    <w:p>
      <w:pPr>
        <w:pStyle w:val="Heading2"/>
        <w:spacing w:after="100" w:before="240"/>
      </w:pPr>
      <w:r>
        <w:rPr>
          <w:rFonts w:ascii="Calibri" w:cs="Calibri" w:eastAsia="Calibri" w:hAnsi="Calibri"/>
          <w:b/>
          <w:bCs/>
          <w:color w:val="1F3864"/>
          <w:sz w:val="24"/>
          <w:szCs w:val="24"/>
        </w:rPr>
        <w:t xml:space="preserve">5.10 Sales &amp; Conversion Readiness</w:t>
      </w:r>
    </w:p>
    <w:p>
      <w:pPr>
        <w:spacing w:after="80" w:before="180"/>
      </w:pPr>
      <w:r>
        <w:rPr>
          <w:rFonts w:ascii="Calibri" w:cs="Calibri" w:eastAsia="Calibri" w:hAnsi="Calibri"/>
          <w:b/>
          <w:bCs/>
          <w:color w:val="44546A"/>
          <w:sz w:val="22"/>
          <w:szCs w:val="22"/>
        </w:rPr>
        <w:t xml:space="preserve">Procurement &amp; Trust</w:t>
      </w:r>
    </w:p>
    <w:p>
      <w:pPr>
        <w:pStyle w:val="ListParagraph"/>
        <w:numPr>
          <w:ilvl w:val="0"/>
          <w:numId w:val="1"/>
        </w:numPr>
        <w:spacing w:after="90"/>
      </w:pPr>
      <w:r>
        <w:rPr>
          <w:rFonts w:ascii="Calibri" w:cs="Calibri" w:eastAsia="Calibri" w:hAnsi="Calibri"/>
          <w:sz w:val="21"/>
          <w:szCs w:val="21"/>
        </w:rPr>
        <w:t xml:space="preserve">Security questionnaire pack (SIG Lite / CAIQ) [NEW].</w:t>
      </w:r>
    </w:p>
    <w:p>
      <w:pPr>
        <w:pStyle w:val="ListParagraph"/>
        <w:numPr>
          <w:ilvl w:val="0"/>
          <w:numId w:val="1"/>
        </w:numPr>
        <w:spacing w:after="90"/>
      </w:pPr>
      <w:r>
        <w:rPr>
          <w:rFonts w:ascii="Calibri" w:cs="Calibri" w:eastAsia="Calibri" w:hAnsi="Calibri"/>
          <w:sz w:val="21"/>
          <w:szCs w:val="21"/>
        </w:rPr>
        <w:t xml:space="preserve">Signed-and-ready DPA [NEW].</w:t>
      </w:r>
    </w:p>
    <w:p>
      <w:pPr>
        <w:pStyle w:val="ListParagraph"/>
        <w:numPr>
          <w:ilvl w:val="0"/>
          <w:numId w:val="1"/>
        </w:numPr>
        <w:spacing w:after="90"/>
      </w:pPr>
      <w:r>
        <w:rPr>
          <w:rFonts w:ascii="Calibri" w:cs="Calibri" w:eastAsia="Calibri" w:hAnsi="Calibri"/>
          <w:sz w:val="21"/>
          <w:szCs w:val="21"/>
        </w:rPr>
        <w:t xml:space="preserve">Public status/uptime page [NEW].</w:t>
      </w:r>
    </w:p>
    <w:p>
      <w:pPr>
        <w:pStyle w:val="ListParagraph"/>
        <w:numPr>
          <w:ilvl w:val="0"/>
          <w:numId w:val="1"/>
        </w:numPr>
        <w:spacing w:after="90"/>
      </w:pPr>
      <w:r>
        <w:rPr>
          <w:rFonts w:ascii="Calibri" w:cs="Calibri" w:eastAsia="Calibri" w:hAnsi="Calibri"/>
          <w:sz w:val="21"/>
          <w:szCs w:val="21"/>
        </w:rPr>
        <w:t xml:space="preserve">Public trust page [NEW].</w:t>
      </w:r>
    </w:p>
    <w:p>
      <w:pPr>
        <w:spacing w:after="80" w:before="180"/>
      </w:pPr>
      <w:r>
        <w:rPr>
          <w:rFonts w:ascii="Calibri" w:cs="Calibri" w:eastAsia="Calibri" w:hAnsi="Calibri"/>
          <w:b/>
          <w:bCs/>
          <w:color w:val="44546A"/>
          <w:sz w:val="22"/>
          <w:szCs w:val="22"/>
        </w:rPr>
        <w:t xml:space="preserve">Conversion Mechanics</w:t>
      </w:r>
    </w:p>
    <w:p>
      <w:pPr>
        <w:pStyle w:val="ListParagraph"/>
        <w:numPr>
          <w:ilvl w:val="0"/>
          <w:numId w:val="1"/>
        </w:numPr>
        <w:spacing w:after="90"/>
      </w:pPr>
      <w:r>
        <w:rPr>
          <w:rFonts w:ascii="Calibri" w:cs="Calibri" w:eastAsia="Calibri" w:hAnsi="Calibri"/>
          <w:sz w:val="21"/>
          <w:szCs w:val="21"/>
        </w:rPr>
        <w:t xml:space="preserve">ROI/savings calculator on the marketing site [NEW].</w:t>
      </w:r>
    </w:p>
    <w:p>
      <w:pPr>
        <w:pStyle w:val="ListParagraph"/>
        <w:numPr>
          <w:ilvl w:val="0"/>
          <w:numId w:val="1"/>
        </w:numPr>
        <w:spacing w:after="90"/>
      </w:pPr>
      <w:r>
        <w:rPr>
          <w:rFonts w:ascii="Calibri" w:cs="Calibri" w:eastAsia="Calibri" w:hAnsi="Calibri"/>
          <w:sz w:val="21"/>
          <w:szCs w:val="21"/>
        </w:rPr>
        <w:t xml:space="preserve">Self-serve sandbox [NEW].</w:t>
      </w:r>
    </w:p>
    <w:p>
      <w:pPr>
        <w:pStyle w:val="ListParagraph"/>
        <w:numPr>
          <w:ilvl w:val="0"/>
          <w:numId w:val="1"/>
        </w:numPr>
        <w:spacing w:after="90"/>
      </w:pPr>
      <w:r>
        <w:rPr>
          <w:rFonts w:ascii="Calibri" w:cs="Calibri" w:eastAsia="Calibri" w:hAnsi="Calibri"/>
          <w:sz w:val="21"/>
          <w:szCs w:val="21"/>
        </w:rPr>
        <w:t xml:space="preserve">White-glove first import [NEW].</w:t>
      </w:r>
    </w:p>
    <w:p>
      <w:pPr>
        <w:spacing w:after="80" w:before="180"/>
      </w:pPr>
      <w:r>
        <w:rPr>
          <w:rFonts w:ascii="Calibri" w:cs="Calibri" w:eastAsia="Calibri" w:hAnsi="Calibri"/>
          <w:b/>
          <w:bCs/>
          <w:color w:val="44546A"/>
          <w:sz w:val="22"/>
          <w:szCs w:val="22"/>
        </w:rPr>
        <w:t xml:space="preserve">Retention &amp; Stickiness</w:t>
      </w:r>
    </w:p>
    <w:p>
      <w:pPr>
        <w:pStyle w:val="ListParagraph"/>
        <w:numPr>
          <w:ilvl w:val="0"/>
          <w:numId w:val="1"/>
        </w:numPr>
        <w:spacing w:after="90"/>
      </w:pPr>
      <w:r>
        <w:rPr>
          <w:rFonts w:ascii="Calibri" w:cs="Calibri" w:eastAsia="Calibri" w:hAnsi="Calibri"/>
          <w:sz w:val="21"/>
          <w:szCs w:val="21"/>
        </w:rPr>
        <w:t xml:space="preserve">Team roles &amp; permissions [NEW].</w:t>
      </w:r>
    </w:p>
    <w:p>
      <w:pPr>
        <w:pStyle w:val="ListParagraph"/>
        <w:numPr>
          <w:ilvl w:val="0"/>
          <w:numId w:val="1"/>
        </w:numPr>
        <w:spacing w:after="90"/>
      </w:pPr>
      <w:r>
        <w:rPr>
          <w:rFonts w:ascii="Calibri" w:cs="Calibri" w:eastAsia="Calibri" w:hAnsi="Calibri"/>
          <w:sz w:val="21"/>
          <w:szCs w:val="21"/>
        </w:rPr>
        <w:t xml:space="preserve">In-app collaboration [NEW].</w:t>
      </w:r>
    </w:p>
    <w:p>
      <w:pPr>
        <w:pStyle w:val="ListParagraph"/>
        <w:numPr>
          <w:ilvl w:val="0"/>
          <w:numId w:val="1"/>
        </w:numPr>
        <w:spacing w:after="90"/>
      </w:pPr>
      <w:r>
        <w:rPr>
          <w:rFonts w:ascii="Calibri" w:cs="Calibri" w:eastAsia="Calibri" w:hAnsi="Calibri"/>
          <w:sz w:val="21"/>
          <w:szCs w:val="21"/>
        </w:rPr>
        <w:t xml:space="preserve">NPS/CSAT loop built into the product [NEW].</w:t>
      </w:r>
    </w:p>
    <w:p>
      <w:pPr>
        <w:spacing w:after="80" w:before="180"/>
      </w:pPr>
      <w:r>
        <w:rPr>
          <w:rFonts w:ascii="Calibri" w:cs="Calibri" w:eastAsia="Calibri" w:hAnsi="Calibri"/>
          <w:b/>
          <w:bCs/>
          <w:color w:val="44546A"/>
          <w:sz w:val="22"/>
          <w:szCs w:val="22"/>
        </w:rPr>
        <w:t xml:space="preserve">Differentiation</w:t>
      </w:r>
    </w:p>
    <w:p>
      <w:pPr>
        <w:pStyle w:val="ListParagraph"/>
        <w:numPr>
          <w:ilvl w:val="0"/>
          <w:numId w:val="1"/>
        </w:numPr>
        <w:spacing w:after="90"/>
      </w:pPr>
      <w:r>
        <w:rPr>
          <w:rFonts w:ascii="Calibri" w:cs="Calibri" w:eastAsia="Calibri" w:hAnsi="Calibri"/>
          <w:sz w:val="21"/>
          <w:szCs w:val="21"/>
        </w:rPr>
        <w:t xml:space="preserve">Vertical-specific KPI templates [NEW].</w:t>
      </w:r>
    </w:p>
    <w:p>
      <w:pPr>
        <w:pStyle w:val="ListParagraph"/>
        <w:numPr>
          <w:ilvl w:val="0"/>
          <w:numId w:val="1"/>
        </w:numPr>
        <w:spacing w:after="90"/>
      </w:pPr>
      <w:r>
        <w:rPr>
          <w:rFonts w:ascii="Calibri" w:cs="Calibri" w:eastAsia="Calibri" w:hAnsi="Calibri"/>
          <w:sz w:val="21"/>
          <w:szCs w:val="21"/>
        </w:rPr>
        <w:t xml:space="preserve">Early customer case studies with real numbers [NEW].</w:t>
      </w:r>
    </w:p>
    <w:p>
      <w:pPr>
        <w:pStyle w:val="Heading2"/>
        <w:spacing w:after="100" w:before="240"/>
      </w:pPr>
      <w:r>
        <w:rPr>
          <w:rFonts w:ascii="Calibri" w:cs="Calibri" w:eastAsia="Calibri" w:hAnsi="Calibri"/>
          <w:b/>
          <w:bCs/>
          <w:color w:val="1F3864"/>
          <w:sz w:val="24"/>
          <w:szCs w:val="24"/>
        </w:rPr>
        <w:t xml:space="preserve">5.11 Security Hardening (Beyond What's Already Planned)</w:t>
      </w:r>
    </w:p>
    <w:p>
      <w:pPr>
        <w:spacing w:after="80" w:before="180"/>
      </w:pPr>
      <w:r>
        <w:rPr>
          <w:rFonts w:ascii="Calibri" w:cs="Calibri" w:eastAsia="Calibri" w:hAnsi="Calibri"/>
          <w:b/>
          <w:bCs/>
          <w:color w:val="44546A"/>
          <w:sz w:val="22"/>
          <w:szCs w:val="22"/>
        </w:rPr>
        <w:t xml:space="preserve">Application Security</w:t>
      </w:r>
    </w:p>
    <w:p>
      <w:pPr>
        <w:pStyle w:val="ListParagraph"/>
        <w:numPr>
          <w:ilvl w:val="0"/>
          <w:numId w:val="1"/>
        </w:numPr>
        <w:spacing w:after="90"/>
      </w:pPr>
      <w:r>
        <w:rPr>
          <w:rFonts w:ascii="Calibri" w:cs="Calibri" w:eastAsia="Calibri" w:hAnsi="Calibri"/>
          <w:sz w:val="21"/>
          <w:szCs w:val="21"/>
        </w:rPr>
        <w:t xml:space="preserve">Web Application Firewall [NEW] in front of the API.</w:t>
      </w:r>
    </w:p>
    <w:p>
      <w:pPr>
        <w:pStyle w:val="ListParagraph"/>
        <w:numPr>
          <w:ilvl w:val="0"/>
          <w:numId w:val="1"/>
        </w:numPr>
        <w:spacing w:after="90"/>
      </w:pPr>
      <w:r>
        <w:rPr>
          <w:rFonts w:ascii="Calibri" w:cs="Calibri" w:eastAsia="Calibri" w:hAnsi="Calibri"/>
          <w:sz w:val="21"/>
          <w:szCs w:val="21"/>
        </w:rPr>
        <w:t xml:space="preserve">Rate limiting per endpoint, per tenant [NEW].</w:t>
      </w:r>
    </w:p>
    <w:p>
      <w:pPr>
        <w:pStyle w:val="ListParagraph"/>
        <w:numPr>
          <w:ilvl w:val="0"/>
          <w:numId w:val="1"/>
        </w:numPr>
        <w:spacing w:after="90"/>
      </w:pPr>
      <w:r>
        <w:rPr>
          <w:rFonts w:ascii="Calibri" w:cs="Calibri" w:eastAsia="Calibri" w:hAnsi="Calibri"/>
          <w:sz w:val="21"/>
          <w:szCs w:val="21"/>
        </w:rPr>
        <w:t xml:space="preserve">Strict CORS allowlist and a real Content-Security-Policy header [NEW].</w:t>
      </w:r>
    </w:p>
    <w:p>
      <w:pPr>
        <w:pStyle w:val="ListParagraph"/>
        <w:numPr>
          <w:ilvl w:val="0"/>
          <w:numId w:val="1"/>
        </w:numPr>
        <w:spacing w:after="90"/>
      </w:pPr>
      <w:r>
        <w:rPr>
          <w:rFonts w:ascii="Calibri" w:cs="Calibri" w:eastAsia="Calibri" w:hAnsi="Calibri"/>
          <w:sz w:val="21"/>
          <w:szCs w:val="21"/>
        </w:rPr>
        <w:t xml:space="preserve">Upload validation on the CSV dropzone [NEW].</w:t>
      </w:r>
    </w:p>
    <w:p>
      <w:pPr>
        <w:pStyle w:val="ListParagraph"/>
        <w:numPr>
          <w:ilvl w:val="0"/>
          <w:numId w:val="1"/>
        </w:numPr>
        <w:spacing w:after="90"/>
      </w:pPr>
      <w:r>
        <w:rPr>
          <w:rFonts w:ascii="Calibri" w:cs="Calibri" w:eastAsia="Calibri" w:hAnsi="Calibri"/>
          <w:sz w:val="21"/>
          <w:szCs w:val="21"/>
        </w:rPr>
        <w:t xml:space="preserve">Dependency &amp; container scanning in CI [NEW].</w:t>
      </w:r>
    </w:p>
    <w:p>
      <w:pPr>
        <w:spacing w:after="80" w:before="180"/>
      </w:pPr>
      <w:r>
        <w:rPr>
          <w:rFonts w:ascii="Calibri" w:cs="Calibri" w:eastAsia="Calibri" w:hAnsi="Calibri"/>
          <w:b/>
          <w:bCs/>
          <w:color w:val="44546A"/>
          <w:sz w:val="22"/>
          <w:szCs w:val="22"/>
        </w:rPr>
        <w:t xml:space="preserve">Authentication &amp; Access</w:t>
      </w:r>
    </w:p>
    <w:p>
      <w:pPr>
        <w:pStyle w:val="ListParagraph"/>
        <w:numPr>
          <w:ilvl w:val="0"/>
          <w:numId w:val="1"/>
        </w:numPr>
        <w:spacing w:after="90"/>
      </w:pPr>
      <w:r>
        <w:rPr>
          <w:rFonts w:ascii="Calibri" w:cs="Calibri" w:eastAsia="Calibri" w:hAnsi="Calibri"/>
          <w:sz w:val="21"/>
          <w:szCs w:val="21"/>
        </w:rPr>
        <w:t xml:space="preserve">MFA [NEW] — at minimum for admin and Enterprise-tier accounts.</w:t>
      </w:r>
    </w:p>
    <w:p>
      <w:pPr>
        <w:pStyle w:val="ListParagraph"/>
        <w:numPr>
          <w:ilvl w:val="0"/>
          <w:numId w:val="1"/>
        </w:numPr>
        <w:spacing w:after="90"/>
      </w:pPr>
      <w:r>
        <w:rPr>
          <w:rFonts w:ascii="Calibri" w:cs="Calibri" w:eastAsia="Calibri" w:hAnsi="Calibri"/>
          <w:sz w:val="21"/>
          <w:szCs w:val="21"/>
        </w:rPr>
        <w:t xml:space="preserve">Short-lived JWTs with refresh-token rotation [NEW].</w:t>
      </w:r>
    </w:p>
    <w:p>
      <w:pPr>
        <w:pStyle w:val="ListParagraph"/>
        <w:numPr>
          <w:ilvl w:val="0"/>
          <w:numId w:val="1"/>
        </w:numPr>
        <w:spacing w:after="90"/>
      </w:pPr>
      <w:r>
        <w:rPr>
          <w:rFonts w:ascii="Calibri" w:cs="Calibri" w:eastAsia="Calibri" w:hAnsi="Calibri"/>
          <w:sz w:val="21"/>
          <w:szCs w:val="21"/>
        </w:rPr>
        <w:t xml:space="preserve">Brute-force / account lockout protection [NEW] on login.</w:t>
      </w:r>
    </w:p>
    <w:p>
      <w:pPr>
        <w:pStyle w:val="ListParagraph"/>
        <w:numPr>
          <w:ilvl w:val="0"/>
          <w:numId w:val="1"/>
        </w:numPr>
        <w:spacing w:after="90"/>
      </w:pPr>
      <w:r>
        <w:rPr>
          <w:rFonts w:ascii="Calibri" w:cs="Calibri" w:eastAsia="Calibri" w:hAnsi="Calibri"/>
          <w:sz w:val="21"/>
          <w:szCs w:val="21"/>
        </w:rPr>
        <w:t xml:space="preserve">Session invalidation on password change [NEW].</w:t>
      </w:r>
    </w:p>
    <w:p>
      <w:pPr>
        <w:pStyle w:val="ListParagraph"/>
        <w:numPr>
          <w:ilvl w:val="0"/>
          <w:numId w:val="1"/>
        </w:numPr>
        <w:spacing w:after="90"/>
      </w:pPr>
      <w:r>
        <w:rPr>
          <w:rFonts w:ascii="Calibri" w:cs="Calibri" w:eastAsia="Calibri" w:hAnsi="Calibri"/>
          <w:sz w:val="21"/>
          <w:szCs w:val="21"/>
        </w:rPr>
        <w:t xml:space="preserve">Scoped, least-privilege service credentials [NEW].</w:t>
      </w:r>
    </w:p>
    <w:p>
      <w:pPr>
        <w:spacing w:after="80" w:before="180"/>
      </w:pPr>
      <w:r>
        <w:rPr>
          <w:rFonts w:ascii="Calibri" w:cs="Calibri" w:eastAsia="Calibri" w:hAnsi="Calibri"/>
          <w:b/>
          <w:bCs/>
          <w:color w:val="44546A"/>
          <w:sz w:val="22"/>
          <w:szCs w:val="22"/>
        </w:rPr>
        <w:t xml:space="preserve">Data Protection</w:t>
      </w:r>
    </w:p>
    <w:p>
      <w:pPr>
        <w:pStyle w:val="ListParagraph"/>
        <w:numPr>
          <w:ilvl w:val="0"/>
          <w:numId w:val="1"/>
        </w:numPr>
        <w:spacing w:after="90"/>
      </w:pPr>
      <w:r>
        <w:rPr>
          <w:rFonts w:ascii="Calibri" w:cs="Calibri" w:eastAsia="Calibri" w:hAnsi="Calibri"/>
          <w:sz w:val="21"/>
          <w:szCs w:val="21"/>
        </w:rPr>
        <w:t xml:space="preserve">Encryption at rest [NEW] for the DuckDB volume and backups.</w:t>
      </w:r>
    </w:p>
    <w:p>
      <w:pPr>
        <w:pStyle w:val="ListParagraph"/>
        <w:numPr>
          <w:ilvl w:val="0"/>
          <w:numId w:val="1"/>
        </w:numPr>
        <w:spacing w:after="90"/>
      </w:pPr>
      <w:r>
        <w:rPr>
          <w:rFonts w:ascii="Calibri" w:cs="Calibri" w:eastAsia="Calibri" w:hAnsi="Calibri"/>
          <w:sz w:val="21"/>
          <w:szCs w:val="21"/>
        </w:rPr>
        <w:t xml:space="preserve">Real secrets management [NEW] in production instead of .env files.</w:t>
      </w:r>
    </w:p>
    <w:p>
      <w:pPr>
        <w:pStyle w:val="ListParagraph"/>
        <w:numPr>
          <w:ilvl w:val="0"/>
          <w:numId w:val="1"/>
        </w:numPr>
        <w:spacing w:after="90"/>
      </w:pPr>
      <w:r>
        <w:rPr>
          <w:rFonts w:ascii="Calibri" w:cs="Calibri" w:eastAsia="Calibri" w:hAnsi="Calibri"/>
          <w:sz w:val="21"/>
          <w:szCs w:val="21"/>
        </w:rPr>
        <w:t xml:space="preserve">Data retention &amp; deletion policy [NEW].</w:t>
      </w:r>
    </w:p>
    <w:p>
      <w:pPr>
        <w:pStyle w:val="ListParagraph"/>
        <w:numPr>
          <w:ilvl w:val="0"/>
          <w:numId w:val="1"/>
        </w:numPr>
        <w:spacing w:after="90"/>
      </w:pPr>
      <w:r>
        <w:rPr>
          <w:rFonts w:ascii="Calibri" w:cs="Calibri" w:eastAsia="Calibri" w:hAnsi="Calibri"/>
          <w:sz w:val="21"/>
          <w:szCs w:val="21"/>
        </w:rPr>
        <w:t xml:space="preserve">Backup encryption with a tested restore process [NEW].</w:t>
      </w:r>
    </w:p>
    <w:p>
      <w:pPr>
        <w:spacing w:after="80" w:before="180"/>
      </w:pPr>
      <w:r>
        <w:rPr>
          <w:rFonts w:ascii="Calibri" w:cs="Calibri" w:eastAsia="Calibri" w:hAnsi="Calibri"/>
          <w:b/>
          <w:bCs/>
          <w:color w:val="44546A"/>
          <w:sz w:val="22"/>
          <w:szCs w:val="22"/>
        </w:rPr>
        <w:t xml:space="preserve">AI / Agent-Specific Security</w:t>
      </w:r>
    </w:p>
    <w:p>
      <w:pPr>
        <w:pStyle w:val="ListParagraph"/>
        <w:numPr>
          <w:ilvl w:val="0"/>
          <w:numId w:val="1"/>
        </w:numPr>
        <w:spacing w:after="90"/>
      </w:pPr>
      <w:r>
        <w:rPr>
          <w:rFonts w:ascii="Calibri" w:cs="Calibri" w:eastAsia="Calibri" w:hAnsi="Calibri"/>
          <w:sz w:val="21"/>
          <w:szCs w:val="21"/>
        </w:rPr>
        <w:t xml:space="preserve">Hard sandboxing on the code-generation agent [NEW] — moot: this agent was formally excluded from the roster (Section 3).</w:t>
      </w:r>
    </w:p>
    <w:p>
      <w:pPr>
        <w:pStyle w:val="ListParagraph"/>
        <w:numPr>
          <w:ilvl w:val="0"/>
          <w:numId w:val="1"/>
        </w:numPr>
        <w:spacing w:after="90"/>
      </w:pPr>
      <w:r>
        <w:rPr>
          <w:rFonts w:ascii="Calibri" w:cs="Calibri" w:eastAsia="Calibri" w:hAnsi="Calibri"/>
          <w:sz w:val="21"/>
          <w:szCs w:val="21"/>
        </w:rPr>
        <w:t xml:space="preserve">Cross-tenant leakage testing at the LLM layer [NEW].</w:t>
      </w:r>
    </w:p>
    <w:p>
      <w:pPr>
        <w:pStyle w:val="ListParagraph"/>
        <w:numPr>
          <w:ilvl w:val="0"/>
          <w:numId w:val="1"/>
        </w:numPr>
        <w:spacing w:after="90"/>
      </w:pPr>
      <w:r>
        <w:rPr>
          <w:rFonts w:ascii="Calibri" w:cs="Calibri" w:eastAsia="Calibri" w:hAnsi="Calibri"/>
          <w:sz w:val="21"/>
          <w:szCs w:val="21"/>
        </w:rPr>
        <w:t xml:space="preserve">Prompt-injection defense hardening [NEW].</w:t>
      </w:r>
    </w:p>
    <w:p>
      <w:pPr>
        <w:pStyle w:val="ListParagraph"/>
        <w:numPr>
          <w:ilvl w:val="0"/>
          <w:numId w:val="1"/>
        </w:numPr>
        <w:spacing w:after="90"/>
      </w:pPr>
      <w:r>
        <w:rPr>
          <w:rFonts w:ascii="Calibri" w:cs="Calibri" w:eastAsia="Calibri" w:hAnsi="Calibri"/>
          <w:sz w:val="21"/>
          <w:szCs w:val="21"/>
        </w:rPr>
        <w:t xml:space="preserve">Token/cost abuse protection [NEW].</w:t>
      </w:r>
    </w:p>
    <w:p>
      <w:pPr>
        <w:spacing w:after="80" w:before="180"/>
      </w:pPr>
      <w:r>
        <w:rPr>
          <w:rFonts w:ascii="Calibri" w:cs="Calibri" w:eastAsia="Calibri" w:hAnsi="Calibri"/>
          <w:b/>
          <w:bCs/>
          <w:color w:val="44546A"/>
          <w:sz w:val="22"/>
          <w:szCs w:val="22"/>
        </w:rPr>
        <w:t xml:space="preserve">Monitoring &amp; Response</w:t>
      </w:r>
    </w:p>
    <w:p>
      <w:pPr>
        <w:pStyle w:val="ListParagraph"/>
        <w:numPr>
          <w:ilvl w:val="0"/>
          <w:numId w:val="1"/>
        </w:numPr>
        <w:spacing w:after="90"/>
      </w:pPr>
      <w:r>
        <w:rPr>
          <w:rFonts w:ascii="Calibri" w:cs="Calibri" w:eastAsia="Calibri" w:hAnsi="Calibri"/>
          <w:sz w:val="21"/>
          <w:szCs w:val="21"/>
        </w:rPr>
        <w:t xml:space="preserve">Centralized security logging with anomaly alerting [NEW].</w:t>
      </w:r>
    </w:p>
    <w:p>
      <w:pPr>
        <w:pStyle w:val="ListParagraph"/>
        <w:numPr>
          <w:ilvl w:val="0"/>
          <w:numId w:val="1"/>
        </w:numPr>
        <w:spacing w:after="90"/>
      </w:pPr>
      <w:r>
        <w:rPr>
          <w:rFonts w:ascii="Calibri" w:cs="Calibri" w:eastAsia="Calibri" w:hAnsi="Calibri"/>
          <w:sz w:val="21"/>
          <w:szCs w:val="21"/>
        </w:rPr>
        <w:t xml:space="preserve">An incident response runbook [NEW].</w:t>
      </w:r>
    </w:p>
    <w:p>
      <w:pPr>
        <w:pStyle w:val="ListParagraph"/>
        <w:numPr>
          <w:ilvl w:val="0"/>
          <w:numId w:val="1"/>
        </w:numPr>
        <w:spacing w:after="90"/>
      </w:pPr>
      <w:r>
        <w:rPr>
          <w:rFonts w:ascii="Calibri" w:cs="Calibri" w:eastAsia="Calibri" w:hAnsi="Calibri"/>
          <w:sz w:val="21"/>
          <w:szCs w:val="21"/>
        </w:rPr>
        <w:t xml:space="preserve">A vulnerability disclosure policy / security.txt [NEW].</w:t>
      </w:r>
    </w:p>
    <w:p>
      <w:pPr>
        <w:pStyle w:val="ListParagraph"/>
        <w:numPr>
          <w:ilvl w:val="0"/>
          <w:numId w:val="1"/>
        </w:numPr>
        <w:spacing w:after="90"/>
      </w:pPr>
      <w:r>
        <w:rPr>
          <w:rFonts w:ascii="Calibri" w:cs="Calibri" w:eastAsia="Calibri" w:hAnsi="Calibri"/>
          <w:sz w:val="21"/>
          <w:szCs w:val="21"/>
        </w:rPr>
        <w:t xml:space="preserve">A third-party penetration test [NEW] before the first Enterprise-tier sale.</w:t>
      </w:r>
    </w:p>
    <w:p>
      <w:pPr>
        <w:pStyle w:val="Heading2"/>
        <w:spacing w:after="100" w:before="240"/>
      </w:pPr>
      <w:r>
        <w:rPr>
          <w:rFonts w:ascii="Calibri" w:cs="Calibri" w:eastAsia="Calibri" w:hAnsi="Calibri"/>
          <w:b/>
          <w:bCs/>
          <w:color w:val="1F3864"/>
          <w:sz w:val="24"/>
          <w:szCs w:val="24"/>
        </w:rPr>
        <w:t xml:space="preserve">5.12 Full-Stack Software Engineer Agent — HITL Self-Healing Workflow</w:t>
      </w:r>
    </w:p>
    <w:p>
      <w:pPr>
        <w:spacing w:after="140"/>
      </w:pPr>
      <w:r>
        <w:rPr>
          <w:rFonts w:ascii="Calibri" w:cs="Calibri" w:eastAsia="Calibri" w:hAnsi="Calibri"/>
          <w:i w:val="false"/>
          <w:iCs w:val="false"/>
          <w:color w:val="000000"/>
          <w:sz w:val="21"/>
          <w:szCs w:val="21"/>
        </w:rPr>
        <w:t xml:space="preserve">Unchanged from August 18. Governs a proposed Agent #02 (Software Engineer / code_customizer.py) — note this predates the roster's formal exclusion of a code-generation agent (Section 3); reconcile before treating this section as active scope.</w:t>
      </w:r>
    </w:p>
    <w:p>
      <w:pPr>
        <w:pStyle w:val="ListParagraph"/>
        <w:numPr>
          <w:ilvl w:val="0"/>
          <w:numId w:val="1"/>
        </w:numPr>
        <w:spacing w:after="90"/>
      </w:pPr>
      <w:r>
        <w:rPr>
          <w:rFonts w:ascii="Calibri" w:cs="Calibri" w:eastAsia="Calibri" w:hAnsi="Calibri"/>
          <w:sz w:val="21"/>
          <w:szCs w:val="21"/>
        </w:rPr>
        <w:t xml:space="preserve">Detect: backend exceptions/tracebacks, failed test runs, compile_check.sh failures; frontend build failures, TypeScript errors, failed Jest/Playwright runs, browser console errors.</w:t>
      </w:r>
    </w:p>
    <w:p>
      <w:pPr>
        <w:pStyle w:val="ListParagraph"/>
        <w:numPr>
          <w:ilvl w:val="0"/>
          <w:numId w:val="1"/>
        </w:numPr>
        <w:spacing w:after="90"/>
      </w:pPr>
      <w:r>
        <w:rPr>
          <w:rFonts w:ascii="Calibri" w:cs="Calibri" w:eastAsia="Calibri" w:hAnsi="Calibri"/>
          <w:sz w:val="21"/>
          <w:szCs w:val="21"/>
        </w:rPr>
        <w:t xml:space="preserve">Diagnose: agent reads the error and relevant file(s) and drafts a diff — proposing a fix, never applying one directly.</w:t>
      </w:r>
    </w:p>
    <w:p>
      <w:pPr>
        <w:pStyle w:val="ListParagraph"/>
        <w:numPr>
          <w:ilvl w:val="0"/>
          <w:numId w:val="1"/>
        </w:numPr>
        <w:spacing w:after="90"/>
      </w:pPr>
      <w:r>
        <w:rPr>
          <w:rFonts w:ascii="Calibri" w:cs="Calibri" w:eastAsia="Calibri" w:hAnsi="Calibri"/>
          <w:sz w:val="21"/>
          <w:szCs w:val="21"/>
        </w:rPr>
        <w:t xml:space="preserve">Test-Gate (mandatory): every proposed diff runs the test suite, linter, and compile_check.sh in an isolated branch automatically before it is ever shown for approval.</w:t>
      </w:r>
    </w:p>
    <w:p>
      <w:pPr>
        <w:pStyle w:val="ListParagraph"/>
        <w:numPr>
          <w:ilvl w:val="0"/>
          <w:numId w:val="1"/>
        </w:numPr>
        <w:spacing w:after="90"/>
      </w:pPr>
      <w:r>
        <w:rPr>
          <w:rFonts w:ascii="Calibri" w:cs="Calibri" w:eastAsia="Calibri" w:hAnsi="Calibri"/>
          <w:sz w:val="21"/>
          <w:szCs w:val="21"/>
        </w:rPr>
        <w:t xml:space="preserve">Structural Restriction: agent write access is scoped to a feature branch only; PR-creation rights only, never merge rights.</w:t>
      </w:r>
    </w:p>
    <w:p>
      <w:pPr>
        <w:pStyle w:val="ListParagraph"/>
        <w:numPr>
          <w:ilvl w:val="0"/>
          <w:numId w:val="1"/>
        </w:numPr>
        <w:spacing w:after="90"/>
      </w:pPr>
      <w:r>
        <w:rPr>
          <w:rFonts w:ascii="Calibri" w:cs="Calibri" w:eastAsia="Calibri" w:hAnsi="Calibri"/>
          <w:sz w:val="21"/>
          <w:szCs w:val="21"/>
        </w:rPr>
        <w:t xml:space="preserve">Approve: a standard PR containing the diff, test-gate results, and original error trace.</w:t>
      </w:r>
    </w:p>
    <w:p>
      <w:pPr>
        <w:pStyle w:val="ListParagraph"/>
        <w:numPr>
          <w:ilvl w:val="0"/>
          <w:numId w:val="1"/>
        </w:numPr>
        <w:spacing w:after="90"/>
      </w:pPr>
      <w:r>
        <w:rPr>
          <w:rFonts w:ascii="Calibri" w:cs="Calibri" w:eastAsia="Calibri" w:hAnsi="Calibri"/>
          <w:sz w:val="21"/>
          <w:szCs w:val="21"/>
        </w:rPr>
        <w:t xml:space="preserve">Production Boundary: this loop applies to dev/staging only until real test coverage and CI/CD exist.</w:t>
      </w:r>
    </w:p>
    <w:p>
      <w:pPr>
        <w:pStyle w:val="Heading2"/>
        <w:spacing w:after="100" w:before="240"/>
      </w:pPr>
      <w:r>
        <w:rPr>
          <w:rFonts w:ascii="Calibri" w:cs="Calibri" w:eastAsia="Calibri" w:hAnsi="Calibri"/>
          <w:b/>
          <w:bCs/>
          <w:color w:val="1F3864"/>
          <w:sz w:val="24"/>
          <w:szCs w:val="24"/>
        </w:rPr>
        <w:t xml:space="preserve">5.13 Suggested Build Order (as of August 18 — superseded in part by Master Build List v1.2–v1.7)</w:t>
      </w:r>
    </w:p>
    <w:p>
      <w:pPr>
        <w:spacing w:after="140"/>
      </w:pPr>
      <w:r>
        <w:rPr>
          <w:rFonts w:ascii="Calibri" w:cs="Calibri" w:eastAsia="Calibri" w:hAnsi="Calibri"/>
          <w:i/>
          <w:iCs/>
          <w:color w:val="000000"/>
          <w:sz w:val="21"/>
          <w:szCs w:val="21"/>
        </w:rPr>
        <w:t xml:space="preserve">The founder-directed sequencing decision captured in Master Build List v1.3–v1.7 (billing and production deployment deferred to the very end; differentiation Tiers A/B built next) supersedes the ordering below. Retained here for historical reference only.</w:t>
      </w:r>
    </w:p>
    <w:p>
      <w:pPr>
        <w:pStyle w:val="ListParagraph"/>
        <w:numPr>
          <w:ilvl w:val="0"/>
          <w:numId w:val="1"/>
        </w:numPr>
        <w:spacing w:after="90"/>
      </w:pPr>
      <w:r>
        <w:rPr>
          <w:rFonts w:ascii="Calibri" w:cs="Calibri" w:eastAsia="Calibri" w:hAnsi="Calibri"/>
          <w:sz w:val="21"/>
          <w:szCs w:val="21"/>
        </w:rPr>
        <w:t xml:space="preserve">1. Foundation (5.1) — billing, RBAC, wire remaining mocks, persistence, baseline tests.</w:t>
      </w:r>
    </w:p>
    <w:p>
      <w:pPr>
        <w:pStyle w:val="ListParagraph"/>
        <w:numPr>
          <w:ilvl w:val="0"/>
          <w:numId w:val="1"/>
        </w:numPr>
        <w:spacing w:after="90"/>
      </w:pPr>
      <w:r>
        <w:rPr>
          <w:rFonts w:ascii="Calibri" w:cs="Calibri" w:eastAsia="Calibri" w:hAnsi="Calibri"/>
          <w:sz w:val="21"/>
          <w:szCs w:val="21"/>
        </w:rPr>
        <w:t xml:space="preserve">2. Fix the two live QA/defect items (Section 2.5 and Section 6).</w:t>
      </w:r>
    </w:p>
    <w:p>
      <w:pPr>
        <w:pStyle w:val="ListParagraph"/>
        <w:numPr>
          <w:ilvl w:val="0"/>
          <w:numId w:val="1"/>
        </w:numPr>
        <w:spacing w:after="90"/>
      </w:pPr>
      <w:r>
        <w:rPr>
          <w:rFonts w:ascii="Calibri" w:cs="Calibri" w:eastAsia="Calibri" w:hAnsi="Calibri"/>
          <w:sz w:val="21"/>
          <w:szCs w:val="21"/>
        </w:rPr>
        <w:t xml:space="preserve">3. Core security hardening (5.11).</w:t>
      </w:r>
    </w:p>
    <w:p>
      <w:pPr>
        <w:pStyle w:val="ListParagraph"/>
        <w:numPr>
          <w:ilvl w:val="0"/>
          <w:numId w:val="1"/>
        </w:numPr>
        <w:spacing w:after="90"/>
      </w:pPr>
      <w:r>
        <w:rPr>
          <w:rFonts w:ascii="Calibri" w:cs="Calibri" w:eastAsia="Calibri" w:hAnsi="Calibri"/>
          <w:sz w:val="21"/>
          <w:szCs w:val="21"/>
        </w:rPr>
        <w:t xml:space="preserve">4. One flagship AI differentiator (5.2).</w:t>
      </w:r>
    </w:p>
    <w:p>
      <w:pPr>
        <w:pStyle w:val="ListParagraph"/>
        <w:numPr>
          <w:ilvl w:val="0"/>
          <w:numId w:val="1"/>
        </w:numPr>
        <w:spacing w:after="90"/>
      </w:pPr>
      <w:r>
        <w:rPr>
          <w:rFonts w:ascii="Calibri" w:cs="Calibri" w:eastAsia="Calibri" w:hAnsi="Calibri"/>
          <w:sz w:val="21"/>
          <w:szCs w:val="21"/>
        </w:rPr>
        <w:t xml:space="preserve">5. One integration (5.4).</w:t>
      </w:r>
    </w:p>
    <w:p>
      <w:pPr>
        <w:pStyle w:val="ListParagraph"/>
        <w:numPr>
          <w:ilvl w:val="0"/>
          <w:numId w:val="1"/>
        </w:numPr>
        <w:spacing w:after="90"/>
      </w:pPr>
      <w:r>
        <w:rPr>
          <w:rFonts w:ascii="Calibri" w:cs="Calibri" w:eastAsia="Calibri" w:hAnsi="Calibri"/>
          <w:sz w:val="21"/>
          <w:szCs w:val="21"/>
        </w:rPr>
        <w:t xml:space="preserve">6. Containerize + CI/CD + baseline observability (5.6–5.7).</w:t>
      </w:r>
    </w:p>
    <w:p>
      <w:pPr>
        <w:pStyle w:val="ListParagraph"/>
        <w:numPr>
          <w:ilvl w:val="0"/>
          <w:numId w:val="1"/>
        </w:numPr>
        <w:spacing w:after="90"/>
      </w:pPr>
      <w:r>
        <w:rPr>
          <w:rFonts w:ascii="Calibri" w:cs="Calibri" w:eastAsia="Calibri" w:hAnsi="Calibri"/>
          <w:sz w:val="21"/>
          <w:szCs w:val="21"/>
        </w:rPr>
        <w:t xml:space="preserve">7. Stand up the Section 5.12 HITL self-healing workflow.</w:t>
      </w:r>
    </w:p>
    <w:p>
      <w:pPr>
        <w:pStyle w:val="ListParagraph"/>
        <w:numPr>
          <w:ilvl w:val="0"/>
          <w:numId w:val="1"/>
        </w:numPr>
        <w:spacing w:after="90"/>
      </w:pPr>
      <w:r>
        <w:rPr>
          <w:rFonts w:ascii="Calibri" w:cs="Calibri" w:eastAsia="Calibri" w:hAnsi="Calibri"/>
          <w:sz w:val="21"/>
          <w:szCs w:val="21"/>
        </w:rPr>
        <w:t xml:space="preserve">8. Onboarding polish + sample dataset (5.8).</w:t>
      </w:r>
    </w:p>
    <w:p>
      <w:pPr>
        <w:pStyle w:val="ListParagraph"/>
        <w:numPr>
          <w:ilvl w:val="0"/>
          <w:numId w:val="1"/>
        </w:numPr>
        <w:spacing w:after="90"/>
      </w:pPr>
      <w:r>
        <w:rPr>
          <w:rFonts w:ascii="Calibri" w:cs="Calibri" w:eastAsia="Calibri" w:hAnsi="Calibri"/>
          <w:sz w:val="21"/>
          <w:szCs w:val="21"/>
        </w:rPr>
        <w:t xml:space="preserve">9. Team roles &amp; the self-serve sandbox (5.10).</w:t>
      </w:r>
    </w:p>
    <w:p>
      <w:pPr>
        <w:pStyle w:val="ListParagraph"/>
        <w:numPr>
          <w:ilvl w:val="0"/>
          <w:numId w:val="1"/>
        </w:numPr>
        <w:spacing w:after="90"/>
      </w:pPr>
      <w:r>
        <w:rPr>
          <w:rFonts w:ascii="Calibri" w:cs="Calibri" w:eastAsia="Calibri" w:hAnsi="Calibri"/>
          <w:sz w:val="21"/>
          <w:szCs w:val="21"/>
        </w:rPr>
        <w:t xml:space="preserve">10. Enterprise trust items (5.3).</w:t>
      </w:r>
    </w:p>
    <w:p>
      <w:pPr>
        <w:pStyle w:val="ListParagraph"/>
        <w:numPr>
          <w:ilvl w:val="0"/>
          <w:numId w:val="1"/>
        </w:numPr>
        <w:spacing w:after="90"/>
      </w:pPr>
      <w:r>
        <w:rPr>
          <w:rFonts w:ascii="Calibri" w:cs="Calibri" w:eastAsia="Calibri" w:hAnsi="Calibri"/>
          <w:sz w:val="21"/>
          <w:szCs w:val="21"/>
        </w:rPr>
        <w:t xml:space="preserve">11. Benchmarking + usage-based billing (5.9).</w:t>
      </w:r>
    </w:p>
    <w:p>
      <w:pPr>
        <w:pStyle w:val="ListParagraph"/>
        <w:numPr>
          <w:ilvl w:val="0"/>
          <w:numId w:val="1"/>
        </w:numPr>
        <w:spacing w:after="90"/>
      </w:pPr>
      <w:r>
        <w:rPr>
          <w:rFonts w:ascii="Calibri" w:cs="Calibri" w:eastAsia="Calibri" w:hAnsi="Calibri"/>
          <w:sz w:val="21"/>
          <w:szCs w:val="21"/>
        </w:rPr>
        <w:t xml:space="preserve">12. Case studies (5.10).</w:t>
      </w:r>
    </w:p>
    <w:p>
      <w:pPr>
        <w:pStyle w:val="Heading1"/>
        <w:pBdr>
          <w:bottom w:val="single" w:color="B8C4D9" w:sz="4" w:space="4"/>
        </w:pBdr>
        <w:spacing w:after="140" w:before="320"/>
      </w:pPr>
      <w:r>
        <w:rPr>
          <w:rFonts w:ascii="Calibri" w:cs="Calibri" w:eastAsia="Calibri" w:hAnsi="Calibri"/>
          <w:b/>
          <w:bCs/>
          <w:color w:val="1F3864"/>
          <w:sz w:val="28"/>
          <w:szCs w:val="28"/>
        </w:rPr>
        <w:t xml:space="preserve">6. Dashboard QA Punch List</w:t>
      </w:r>
    </w:p>
    <w:p>
      <w:pPr>
        <w:spacing w:after="140"/>
      </w:pPr>
      <w:r>
        <w:rPr>
          <w:rFonts w:ascii="Calibri" w:cs="Calibri" w:eastAsia="Calibri" w:hAnsi="Calibri"/>
          <w:i w:val="false"/>
          <w:iCs w:val="false"/>
          <w:color w:val="000000"/>
          <w:sz w:val="21"/>
          <w:szCs w:val="21"/>
        </w:rPr>
        <w:t xml:space="preserve">Findings from direct screenshot review of the running dashboard, across two review rounds, as of August 18, 2026 — not re-verified this session.</w:t>
      </w:r>
    </w:p>
    <w:p>
      <w:pPr>
        <w:pStyle w:val="Heading2"/>
        <w:spacing w:after="100" w:before="240"/>
      </w:pPr>
      <w:r>
        <w:rPr>
          <w:rFonts w:ascii="Calibri" w:cs="Calibri" w:eastAsia="Calibri" w:hAnsi="Calibri"/>
          <w:b/>
          <w:bCs/>
          <w:color w:val="1F3864"/>
          <w:sz w:val="24"/>
          <w:szCs w:val="24"/>
        </w:rPr>
        <w:t xml:space="preserve">6.1 Round 1 Findings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2400"/>
        <w:gridCol w:w="3480"/>
      </w:tblGrid>
      <w:tr>
        <w:trPr>
          <w:tblHeader/>
        </w:trPr>
        <w:tc>
          <w:tcPr>
            <w:tcW w:type="dxa" w:w="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Sev.</w:t>
            </w:r>
          </w:p>
        </w:tc>
        <w:tc>
          <w:tcPr>
            <w:tcW w:type="dxa" w:w="33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Issue</w:t>
            </w:r>
          </w:p>
        </w:tc>
        <w:tc>
          <w:tcPr>
            <w:tcW w:type="dxa" w:w="2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Location</w:t>
            </w:r>
          </w:p>
        </w:tc>
        <w:tc>
          <w:tcPr>
            <w:tcW w:type="dxa" w:w="348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Fix</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HIGH</w:t>
            </w:r>
          </w:p>
        </w:tc>
        <w:tc>
          <w:tcPr>
            <w:tcW w:type="dxa" w:w="33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Raw backend error rendered in the UI</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Live Swarm Telemetry panel</w:t>
            </w:r>
          </w:p>
        </w:tc>
        <w:tc>
          <w:tcPr>
            <w:tcW w:type="dxa" w:w="348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Catch the connection failure and show a friendly state instead of the raw dev-mode message.</w:t>
            </w:r>
          </w:p>
        </w:tc>
      </w:tr>
      <w:tr>
        <w:tc>
          <w:tcPr>
            <w:tcW w:type="dxa" w:w="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MEDIUM</w:t>
            </w:r>
          </w:p>
        </w:tc>
        <w:tc>
          <w:tcPr>
            <w:tcW w:type="dxa" w:w="33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Virtual CFO Briefing shows bare "--" with no context</w:t>
            </w:r>
          </w:p>
        </w:tc>
        <w:tc>
          <w:tcPr>
            <w:tcW w:type="dxa" w:w="2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Virtual CFO Briefing section</w:t>
            </w:r>
          </w:p>
        </w:tc>
        <w:tc>
          <w:tcPr>
            <w:tcW w:type="dxa" w:w="348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Replace dashes with a guided empty state and a CTA — see Section 10 (DIFF-03/05) for a related, since-delivered improvement.</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MEDIUM</w:t>
            </w:r>
          </w:p>
        </w:tc>
        <w:tc>
          <w:tcPr>
            <w:tcW w:type="dxa" w:w="33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Strategic Advisory shows a flat empty message with no next action</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Strategic Advisory sub-panel</w:t>
            </w:r>
          </w:p>
        </w:tc>
        <w:tc>
          <w:tcPr>
            <w:tcW w:type="dxa" w:w="348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Pair the empty message with the same upload CTA.</w:t>
            </w:r>
          </w:p>
        </w:tc>
      </w:tr>
      <w:tr>
        <w:tc>
          <w:tcPr>
            <w:tcW w:type="dxa" w:w="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LOW</w:t>
            </w:r>
          </w:p>
        </w:tc>
        <w:tc>
          <w:tcPr>
            <w:tcW w:type="dxa" w:w="33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Search bar shows a single static example query</w:t>
            </w:r>
          </w:p>
        </w:tc>
        <w:tc>
          <w:tcPr>
            <w:tcW w:type="dxa" w:w="2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Universal Cognitive Search bar</w:t>
            </w:r>
          </w:p>
        </w:tc>
        <w:tc>
          <w:tcPr>
            <w:tcW w:type="dxa" w:w="348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Rotate 2–3 example queries in the placeholder.</w:t>
            </w:r>
          </w:p>
        </w:tc>
      </w:tr>
    </w:tbl>
    <w:p>
      <w:pPr>
        <w:spacing w:after="80" w:before="180"/>
      </w:pPr>
      <w:r>
        <w:rPr>
          <w:rFonts w:ascii="Calibri" w:cs="Calibri" w:eastAsia="Calibri" w:hAnsi="Calibri"/>
          <w:b/>
          <w:bCs/>
          <w:color w:val="44546A"/>
          <w:sz w:val="22"/>
          <w:szCs w:val="22"/>
        </w:rPr>
        <w:t xml:space="preserve">What's Already Working Well (Round 1)</w:t>
      </w:r>
    </w:p>
    <w:p>
      <w:pPr>
        <w:pStyle w:val="ListParagraph"/>
        <w:numPr>
          <w:ilvl w:val="0"/>
          <w:numId w:val="1"/>
        </w:numPr>
        <w:spacing w:after="90"/>
      </w:pPr>
      <w:r>
        <w:rPr>
          <w:rFonts w:ascii="Calibri" w:cs="Calibri" w:eastAsia="Calibri" w:hAnsi="Calibri"/>
          <w:sz w:val="21"/>
          <w:szCs w:val="21"/>
        </w:rPr>
        <w:t xml:space="preserve">Top status cards (System State / Runtime Security / Sub-Agent Network) give an immediate, at-a-glance trust signal.</w:t>
      </w:r>
    </w:p>
    <w:p>
      <w:pPr>
        <w:pStyle w:val="ListParagraph"/>
        <w:numPr>
          <w:ilvl w:val="0"/>
          <w:numId w:val="1"/>
        </w:numPr>
        <w:spacing w:after="90"/>
      </w:pPr>
      <w:r>
        <w:rPr>
          <w:rFonts w:ascii="Calibri" w:cs="Calibri" w:eastAsia="Calibri" w:hAnsi="Calibri"/>
          <w:sz w:val="21"/>
          <w:szCs w:val="21"/>
        </w:rPr>
        <w:t xml:space="preserve">Cost vs. revenue chart uses color well and stays readable without clutter.</w:t>
      </w:r>
    </w:p>
    <w:p>
      <w:pPr>
        <w:pStyle w:val="ListParagraph"/>
        <w:numPr>
          <w:ilvl w:val="0"/>
          <w:numId w:val="1"/>
        </w:numPr>
        <w:spacing w:after="90"/>
      </w:pPr>
      <w:r>
        <w:rPr>
          <w:rFonts w:ascii="Calibri" w:cs="Calibri" w:eastAsia="Calibri" w:hAnsi="Calibri"/>
          <w:sz w:val="21"/>
          <w:szCs w:val="21"/>
        </w:rPr>
        <w:t xml:space="preserve">"10/11 Active" sub-agent indicator communicates live system health without overwhelming detail.</w:t>
      </w:r>
    </w:p>
    <w:p>
      <w:pPr>
        <w:pStyle w:val="Heading2"/>
        <w:spacing w:after="100" w:before="240"/>
      </w:pPr>
      <w:r>
        <w:rPr>
          <w:rFonts w:ascii="Calibri" w:cs="Calibri" w:eastAsia="Calibri" w:hAnsi="Calibri"/>
          <w:b/>
          <w:bCs/>
          <w:color w:val="1F3864"/>
          <w:sz w:val="24"/>
          <w:szCs w:val="24"/>
        </w:rPr>
        <w:t xml:space="preserve">6.2 Round 2 Findings (updated screenshot, post 13-agent correction)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2000"/>
        <w:gridCol w:w="2680"/>
      </w:tblGrid>
      <w:tr>
        <w:trPr>
          <w:tblHeader/>
        </w:trPr>
        <w:tc>
          <w:tcPr>
            <w:tcW w:type="dxa" w:w="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Sev.</w:t>
            </w:r>
          </w:p>
        </w:tc>
        <w:tc>
          <w:tcPr>
            <w:tcW w:type="dxa" w:w="45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Issue</w:t>
            </w:r>
          </w:p>
        </w:tc>
        <w:tc>
          <w:tcPr>
            <w:tcW w:type="dxa" w:w="2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Location</w:t>
            </w:r>
          </w:p>
        </w:tc>
        <w:tc>
          <w:tcPr>
            <w:tcW w:type="dxa" w:w="268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Fix</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MEDIUM</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secondary widget reads a stale/duplicate loading state after the main search already completed</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Panel below the Stream Swarm input bar</w:t>
            </w:r>
          </w:p>
        </w:tc>
        <w:tc>
          <w:tcPr>
            <w:tcW w:type="dxa" w:w="268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Check whether this component listens for the same completion event as the main search result.</w:t>
            </w:r>
          </w:p>
        </w:tc>
      </w:tr>
      <w:tr>
        <w:tc>
          <w:tcPr>
            <w:tcW w:type="dxa" w:w="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MEDIUM</w:t>
            </w:r>
          </w:p>
        </w:tc>
        <w:tc>
          <w:tcPr>
            <w:tcW w:type="dxa" w:w="45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Gross Margin shows 99.8%, unusually high</w:t>
            </w:r>
          </w:p>
        </w:tc>
        <w:tc>
          <w:tcPr>
            <w:tcW w:type="dxa" w:w="2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Virtual CFO Briefing — Gross Margin metric</w:t>
            </w:r>
          </w:p>
        </w:tc>
        <w:tc>
          <w:tcPr>
            <w:tcW w:type="dxa" w:w="268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Likely sample/seed data; sanity-check the margin formula and cost-field mapping before a real client sees this.</w:t>
            </w:r>
          </w:p>
        </w:tc>
      </w:tr>
    </w:tbl>
    <w:p>
      <w:pPr>
        <w:spacing w:after="80" w:before="180"/>
      </w:pPr>
      <w:r>
        <w:rPr>
          <w:rFonts w:ascii="Calibri" w:cs="Calibri" w:eastAsia="Calibri" w:hAnsi="Calibri"/>
          <w:b/>
          <w:bCs/>
          <w:color w:val="44546A"/>
          <w:sz w:val="22"/>
          <w:szCs w:val="22"/>
        </w:rPr>
        <w:t xml:space="preserve">What's New &amp; Working Well (Round 2)</w:t>
      </w:r>
    </w:p>
    <w:p>
      <w:pPr>
        <w:pStyle w:val="ListParagraph"/>
        <w:numPr>
          <w:ilvl w:val="0"/>
          <w:numId w:val="1"/>
        </w:numPr>
        <w:spacing w:after="90"/>
      </w:pPr>
      <w:r>
        <w:rPr>
          <w:rFonts w:ascii="Calibri" w:cs="Calibri" w:eastAsia="Calibri" w:hAnsi="Calibri"/>
          <w:sz w:val="21"/>
          <w:szCs w:val="21"/>
        </w:rPr>
        <w:t xml:space="preserve">Sub-Agent Network now correctly reads "13/13 Active," matching the finalized agent architecture.</w:t>
      </w:r>
    </w:p>
    <w:p>
      <w:pPr>
        <w:pStyle w:val="ListParagraph"/>
        <w:numPr>
          <w:ilvl w:val="0"/>
          <w:numId w:val="1"/>
        </w:numPr>
        <w:spacing w:after="90"/>
      </w:pPr>
      <w:r>
        <w:rPr>
          <w:rFonts w:ascii="Calibri" w:cs="Calibri" w:eastAsia="Calibri" w:hAnsi="Calibri"/>
          <w:sz w:val="21"/>
          <w:szCs w:val="21"/>
        </w:rPr>
        <w:t xml:space="preserve">Universal Cognitive Search is fully functional end-to-end.</w:t>
      </w:r>
    </w:p>
    <w:p>
      <w:pPr>
        <w:pStyle w:val="ListParagraph"/>
        <w:numPr>
          <w:ilvl w:val="0"/>
          <w:numId w:val="1"/>
        </w:numPr>
        <w:spacing w:after="90"/>
      </w:pPr>
      <w:r>
        <w:rPr>
          <w:rFonts w:ascii="Calibri" w:cs="Calibri" w:eastAsia="Calibri" w:hAnsi="Calibri"/>
          <w:sz w:val="21"/>
          <w:szCs w:val="21"/>
        </w:rPr>
        <w:t xml:space="preserve">Virtual CFO Briefing is now populated with real numbers and three genuinely useful Strategic Advisory bullets.</w:t>
      </w:r>
    </w:p>
    <w:p>
      <w:pPr>
        <w:pStyle w:val="ListParagraph"/>
        <w:numPr>
          <w:ilvl w:val="0"/>
          <w:numId w:val="1"/>
        </w:numPr>
        <w:spacing w:after="90"/>
      </w:pPr>
      <w:r>
        <w:rPr>
          <w:rFonts w:ascii="Calibri" w:cs="Calibri" w:eastAsia="Calibri" w:hAnsi="Calibri"/>
          <w:sz w:val="21"/>
          <w:szCs w:val="21"/>
        </w:rPr>
        <w:t xml:space="preserve">New Data Engineer Audit (Agent #02) panel reads as legitimate BI output.</w:t>
      </w:r>
    </w:p>
    <w:p>
      <w:pPr>
        <w:pStyle w:val="Heading1"/>
        <w:pBdr>
          <w:bottom w:val="single" w:color="B8C4D9" w:sz="4" w:space="4"/>
        </w:pBdr>
        <w:spacing w:after="140" w:before="320"/>
      </w:pPr>
      <w:r>
        <w:rPr>
          <w:rFonts w:ascii="Calibri" w:cs="Calibri" w:eastAsia="Calibri" w:hAnsi="Calibri"/>
          <w:b/>
          <w:bCs/>
          <w:color w:val="1F3864"/>
          <w:sz w:val="28"/>
          <w:szCs w:val="28"/>
        </w:rPr>
        <w:t xml:space="preserve">7. One-Tap SMB Interface — PENDING DECISION</w:t>
      </w:r>
    </w:p>
    <w:p>
      <w:pPr>
        <w:pBdr>
          <w:left w:val="single" w:color="C0392B" w:sz="18" w:space="8"/>
        </w:pBdr>
        <w:shd w:fill="FBEFEA" w:val="clear"/>
        <w:spacing w:after="140" w:before="120"/>
      </w:pPr>
      <w:r>
        <w:rPr>
          <w:rFonts w:ascii="Calibri" w:cs="Calibri" w:eastAsia="Calibri" w:hAnsi="Calibri"/>
          <w:b/>
          <w:bCs/>
          <w:color w:val="8B2E1F"/>
          <w:sz w:val="21"/>
          <w:szCs w:val="21"/>
        </w:rPr>
        <w:t xml:space="preserve">⚑ OPEN FLAG — This section is not yet part of the committed roadmap</w:t>
      </w:r>
    </w:p>
    <w:p>
      <w:pPr>
        <w:pBdr>
          <w:left w:val="single" w:color="C0392B" w:sz="18" w:space="8"/>
        </w:pBdr>
        <w:shd w:fill="FBEFEA" w:val="clear"/>
        <w:spacing w:after="140"/>
      </w:pPr>
      <w:r>
        <w:rPr>
          <w:rFonts w:ascii="Calibri" w:cs="Calibri" w:eastAsia="Calibri" w:hAnsi="Calibri"/>
          <w:sz w:val="21"/>
          <w:szCs w:val="21"/>
        </w:rPr>
        <w:t xml:space="preserve">The six-button concept replaces the current dashboard-first landing view with an outcome-first one. That is a significant UX pivot, not an incremental addition — it needs an explicit go/no-go before Section 5's backlog treats it as committed work. Unchanged as of this update.</w:t>
      </w:r>
    </w:p>
    <w:p>
      <w:pPr>
        <w:pStyle w:val="Heading2"/>
        <w:spacing w:after="100" w:before="240"/>
      </w:pPr>
      <w:r>
        <w:rPr>
          <w:rFonts w:ascii="Calibri" w:cs="Calibri" w:eastAsia="Calibri" w:hAnsi="Calibri"/>
          <w:b/>
          <w:bCs/>
          <w:color w:val="1F3864"/>
          <w:sz w:val="24"/>
          <w:szCs w:val="24"/>
        </w:rPr>
        <w:t xml:space="preserve">7.1 Background</w:t>
      </w:r>
    </w:p>
    <w:p>
      <w:pPr>
        <w:spacing w:after="140"/>
      </w:pPr>
      <w:r>
        <w:rPr>
          <w:rFonts w:ascii="Calibri" w:cs="Calibri" w:eastAsia="Calibri" w:hAnsi="Calibri"/>
          <w:i w:val="false"/>
          <w:iCs w:val="false"/>
          <w:color w:val="000000"/>
          <w:sz w:val="21"/>
          <w:szCs w:val="21"/>
        </w:rPr>
        <w:t xml:space="preserve">An outside review (MSN Copilot) proposed reframing NexusFlow around six outcome-based buttons instead of exposing the agent architecture directly. The core positioning idea is sound; the specific agent mapping it proposed was fabricated and has been replaced with the real roster mapping below.</w:t>
      </w:r>
    </w:p>
    <w:p>
      <w:pPr>
        <w:pStyle w:val="Heading2"/>
        <w:spacing w:after="100" w:before="240"/>
      </w:pPr>
      <w:r>
        <w:rPr>
          <w:rFonts w:ascii="Calibri" w:cs="Calibri" w:eastAsia="Calibri" w:hAnsi="Calibri"/>
          <w:b/>
          <w:bCs/>
          <w:color w:val="1F3864"/>
          <w:sz w:val="24"/>
          <w:szCs w:val="24"/>
        </w:rPr>
        <w:t xml:space="preserve">7.2 What's Being Kept</w:t>
      </w:r>
    </w:p>
    <w:p>
      <w:pPr>
        <w:pStyle w:val="ListParagraph"/>
        <w:numPr>
          <w:ilvl w:val="0"/>
          <w:numId w:val="1"/>
        </w:numPr>
        <w:spacing w:after="90"/>
      </w:pPr>
      <w:r>
        <w:rPr>
          <w:rFonts w:ascii="Calibri" w:cs="Calibri" w:eastAsia="Calibri" w:hAnsi="Calibri"/>
          <w:sz w:val="21"/>
          <w:szCs w:val="21"/>
        </w:rPr>
        <w:t xml:space="preserve">Core positioning shift: lead with outcomes, not architecture.</w:t>
      </w:r>
    </w:p>
    <w:p>
      <w:pPr>
        <w:pStyle w:val="ListParagraph"/>
        <w:numPr>
          <w:ilvl w:val="0"/>
          <w:numId w:val="1"/>
        </w:numPr>
        <w:spacing w:after="90"/>
      </w:pPr>
      <w:r>
        <w:rPr>
          <w:rFonts w:ascii="Calibri" w:cs="Calibri" w:eastAsia="Calibri" w:hAnsi="Calibri"/>
          <w:sz w:val="21"/>
          <w:szCs w:val="21"/>
        </w:rPr>
        <w:t xml:space="preserve">Six-button concept: Business Snapshot, Cash Flow Forecast, Expense Optimization, Sales &amp; Revenue Insights, Compliance Checkup, Ask Anything.</w:t>
      </w:r>
    </w:p>
    <w:p>
      <w:pPr>
        <w:pStyle w:val="ListParagraph"/>
        <w:numPr>
          <w:ilvl w:val="0"/>
          <w:numId w:val="1"/>
        </w:numPr>
        <w:spacing w:after="90"/>
      </w:pPr>
      <w:r>
        <w:rPr>
          <w:rFonts w:ascii="Calibri" w:cs="Calibri" w:eastAsia="Calibri" w:hAnsi="Calibri"/>
          <w:sz w:val="21"/>
          <w:szCs w:val="21"/>
        </w:rPr>
        <w:t xml:space="preserve">Progressive disclosure, not permanent hiding: Core-tier users see the simple button; Enterprise-tier users can expand into the underlying agent trace and audit trail.</w:t>
      </w:r>
    </w:p>
    <w:p>
      <w:pPr>
        <w:pStyle w:val="Heading2"/>
        <w:spacing w:after="100" w:before="240"/>
      </w:pPr>
      <w:r>
        <w:rPr>
          <w:rFonts w:ascii="Calibri" w:cs="Calibri" w:eastAsia="Calibri" w:hAnsi="Calibri"/>
          <w:b/>
          <w:bCs/>
          <w:color w:val="1F3864"/>
          <w:sz w:val="24"/>
          <w:szCs w:val="24"/>
        </w:rPr>
        <w:t xml:space="preserve">7.3 Corrected Agent Mapping</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080"/>
      </w:tblGrid>
      <w:tr>
        <w:trPr>
          <w:tblHeader/>
        </w:trPr>
        <w:tc>
          <w:tcPr>
            <w:tcW w:type="dxa" w:w="18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Button</w:t>
            </w:r>
          </w:p>
        </w:tc>
        <w:tc>
          <w:tcPr>
            <w:tcW w:type="dxa" w:w="4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Real Agents Involved</w:t>
            </w:r>
          </w:p>
        </w:tc>
        <w:tc>
          <w:tcPr>
            <w:tcW w:type="dxa" w:w="308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Build Status</w:t>
            </w:r>
          </w:p>
        </w:tc>
      </w:tr>
      <w:tr>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Business Snapshot</w:t>
            </w:r>
          </w:p>
        </w:tc>
        <w:tc>
          <w:tcPr>
            <w:tcW w:type="dxa" w:w="4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Ingestion Engine (#01), Data Engineer (#02), BI Engineer (#05), Virtual CFO (#08)</w:t>
            </w:r>
          </w:p>
        </w:tc>
        <w:tc>
          <w:tcPr>
            <w:tcW w:type="dxa" w:w="308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 — CFO briefing UI exists; needs a single-glance "today" summary view.</w:t>
            </w:r>
          </w:p>
        </w:tc>
      </w:tr>
      <w:tr>
        <w:tc>
          <w:tcPr>
            <w:tcW w:type="dxa" w:w="18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Cash Flow Forecast</w:t>
            </w:r>
          </w:p>
        </w:tc>
        <w:tc>
          <w:tcPr>
            <w:tcW w:type="dxa" w:w="4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Schema Mapper (#03), Predictive Forecaster (#07), Virtual CFO (#08)</w:t>
            </w:r>
          </w:p>
        </w:tc>
        <w:tc>
          <w:tcPr>
            <w:tcW w:type="dxa" w:w="308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 — forecasting math is designed; needs a 7/30/90-day UI view.</w:t>
            </w:r>
          </w:p>
        </w:tc>
      </w:tr>
      <w:tr>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Expense Optimization</w:t>
            </w:r>
          </w:p>
        </w:tc>
        <w:tc>
          <w:tcPr>
            <w:tcW w:type="dxa" w:w="4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Engineer (#02), BI Engineer (#05), Virtual CFO (#08), SaaS Strategist (#10)</w:t>
            </w:r>
          </w:p>
        </w:tc>
        <w:tc>
          <w:tcPr>
            <w:tcW w:type="dxa" w:w="308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started.</w:t>
            </w:r>
          </w:p>
        </w:tc>
      </w:tr>
      <w:tr>
        <w:tc>
          <w:tcPr>
            <w:tcW w:type="dxa" w:w="18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Sales &amp; Revenue Insights</w:t>
            </w:r>
          </w:p>
        </w:tc>
        <w:tc>
          <w:tcPr>
            <w:tcW w:type="dxa" w:w="4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Analyst (#04), BI Engineer (#05), Predictive Forecaster (#07), BI Visualization Architect (#11)</w:t>
            </w:r>
          </w:p>
        </w:tc>
        <w:tc>
          <w:tcPr>
            <w:tcW w:type="dxa" w:w="308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Largely covered by existing Cognitive Search + chart suite.</w:t>
            </w:r>
          </w:p>
        </w:tc>
      </w:tr>
      <w:tr>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Compliance Checkup</w:t>
            </w:r>
          </w:p>
        </w:tc>
        <w:tc>
          <w:tcPr>
            <w:tcW w:type="dxa" w:w="4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Ops Shield (#09) only</w:t>
            </w:r>
          </w:p>
        </w:tc>
        <w:tc>
          <w:tcPr>
            <w:tcW w:type="dxa" w:w="308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Gap — see Section 7.4.</w:t>
            </w:r>
          </w:p>
        </w:tc>
      </w:tr>
      <w:tr>
        <w:tc>
          <w:tcPr>
            <w:tcW w:type="dxa" w:w="18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Ask Anything</w:t>
            </w:r>
          </w:p>
        </w:tc>
        <w:tc>
          <w:tcPr>
            <w:tcW w:type="dxa" w:w="4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Orchestrator (#00) routes to whichever specialist agent the query needs</w:t>
            </w:r>
          </w:p>
        </w:tc>
        <w:tc>
          <w:tcPr>
            <w:tcW w:type="dxa" w:w="308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Already live.</w:t>
            </w:r>
          </w:p>
        </w:tc>
      </w:tr>
    </w:tbl>
    <w:p>
      <w:pPr>
        <w:pStyle w:val="Heading2"/>
        <w:spacing w:after="100" w:before="240"/>
      </w:pPr>
      <w:r>
        <w:rPr>
          <w:rFonts w:ascii="Calibri" w:cs="Calibri" w:eastAsia="Calibri" w:hAnsi="Calibri"/>
          <w:b/>
          <w:bCs/>
          <w:color w:val="1F3864"/>
          <w:sz w:val="24"/>
          <w:szCs w:val="24"/>
        </w:rPr>
        <w:t xml:space="preserve">7.4 Locked Decision: "Compliance Checkup" Labeling</w:t>
      </w:r>
    </w:p>
    <w:p>
      <w:pPr>
        <w:spacing w:after="140"/>
      </w:pPr>
      <w:r>
        <w:rPr>
          <w:rFonts w:ascii="Calibri" w:cs="Calibri" w:eastAsia="Calibri" w:hAnsi="Calibri"/>
          <w:i w:val="false"/>
          <w:iCs w:val="false"/>
          <w:color w:val="000000"/>
          <w:sz w:val="21"/>
          <w:szCs w:val="21"/>
        </w:rPr>
        <w:t xml:space="preserve">Decision recorded: ship Option A (relabel "Security &amp; Data Health Checkup", scope to what Ops Shield + Schema Mapper can honestly report today) now; treat Option B (a real compliance agent) as a Phase 2 item. Do not market "Compliance Checkup" as regulatory compliance until an agent actually does that work. Unchanged as of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8. Pitch Deck Alignment — Open Flags</w:t>
      </w:r>
    </w:p>
    <w:p>
      <w:pPr>
        <w:spacing w:after="140"/>
      </w:pPr>
      <w:r>
        <w:rPr>
          <w:rFonts w:ascii="Calibri" w:cs="Calibri" w:eastAsia="Calibri" w:hAnsi="Calibri"/>
          <w:i w:val="false"/>
          <w:iCs w:val="false"/>
          <w:color w:val="000000"/>
          <w:sz w:val="21"/>
          <w:szCs w:val="21"/>
        </w:rPr>
        <w:t xml:space="preserve">As of August 18, 2026 — not re-verified this session. Four points needed resolution before the deck is treated as fully aligned with engineering reality:</w:t>
      </w:r>
    </w:p>
    <w:p>
      <w:pPr>
        <w:pBdr>
          <w:left w:val="single" w:color="C0392B" w:sz="18" w:space="8"/>
        </w:pBdr>
        <w:shd w:fill="FBEFEA" w:val="clear"/>
        <w:spacing w:after="140" w:before="120"/>
      </w:pPr>
      <w:r>
        <w:rPr>
          <w:rFonts w:ascii="Calibri" w:cs="Calibri" w:eastAsia="Calibri" w:hAnsi="Calibri"/>
          <w:b/>
          <w:bCs/>
          <w:color w:val="8B2E1F"/>
          <w:sz w:val="21"/>
          <w:szCs w:val="21"/>
        </w:rPr>
        <w:t xml:space="preserve">⚑ Flag 1 — Security claim is ahead of current implementation</w:t>
      </w:r>
    </w:p>
    <w:p>
      <w:pPr>
        <w:pBdr>
          <w:left w:val="single" w:color="C0392B" w:sz="18" w:space="8"/>
        </w:pBdr>
        <w:shd w:fill="FBEFEA" w:val="clear"/>
        <w:spacing w:after="140"/>
      </w:pPr>
      <w:r>
        <w:rPr>
          <w:rFonts w:ascii="Calibri" w:cs="Calibri" w:eastAsia="Calibri" w:hAnsi="Calibri"/>
          <w:sz w:val="21"/>
          <w:szCs w:val="21"/>
        </w:rPr>
        <w:t xml:space="preserve">Slide 6/7 state bank-grade/tenant-isolated security as present-tense, unqualified. Per Section 2.3, this is proven at the WebSocket layer only. Still true as of Master Build List v1.7 (RBAC/REST-layer isolation remains NOT MET).</w:t>
      </w:r>
    </w:p>
    <w:p>
      <w:pPr>
        <w:pBdr>
          <w:left w:val="single" w:color="C0392B" w:sz="18" w:space="8"/>
        </w:pBdr>
        <w:shd w:fill="FBEFEA" w:val="clear"/>
        <w:spacing w:after="140" w:before="120"/>
      </w:pPr>
      <w:r>
        <w:rPr>
          <w:rFonts w:ascii="Calibri" w:cs="Calibri" w:eastAsia="Calibri" w:hAnsi="Calibri"/>
          <w:b/>
          <w:bCs/>
          <w:color w:val="8B2E1F"/>
          <w:sz w:val="21"/>
          <w:szCs w:val="21"/>
        </w:rPr>
        <w:t xml:space="preserve">⚑ Flag 2 — The deck's live-demo CTA collides with two known bugs</w:t>
      </w:r>
    </w:p>
    <w:p>
      <w:pPr>
        <w:pBdr>
          <w:left w:val="single" w:color="C0392B" w:sz="18" w:space="8"/>
        </w:pBdr>
        <w:shd w:fill="FBEFEA" w:val="clear"/>
        <w:spacing w:after="140"/>
      </w:pPr>
      <w:r>
        <w:rPr>
          <w:rFonts w:ascii="Calibri" w:cs="Calibri" w:eastAsia="Calibri" w:hAnsi="Calibri"/>
          <w:sz w:val="21"/>
          <w:szCs w:val="21"/>
        </w:rPr>
        <w:t xml:space="preserve">The CSV upload false-success bug and the Virtual CFO .env API-key bug (Section 2.5) both sit directly on the demo path. Status not re-verified this session.</w:t>
      </w:r>
    </w:p>
    <w:p>
      <w:pPr>
        <w:pBdr>
          <w:left w:val="single" w:color="C0392B" w:sz="18" w:space="8"/>
        </w:pBdr>
        <w:shd w:fill="FBEFEA" w:val="clear"/>
        <w:spacing w:after="140" w:before="120"/>
      </w:pPr>
      <w:r>
        <w:rPr>
          <w:rFonts w:ascii="Calibri" w:cs="Calibri" w:eastAsia="Calibri" w:hAnsi="Calibri"/>
          <w:b/>
          <w:bCs/>
          <w:color w:val="8B2E1F"/>
          <w:sz w:val="21"/>
          <w:szCs w:val="21"/>
        </w:rPr>
        <w:t xml:space="preserve">⚑ Flag 3 — Unsourced marketing statistics</w:t>
      </w:r>
    </w:p>
    <w:p>
      <w:pPr>
        <w:pBdr>
          <w:left w:val="single" w:color="C0392B" w:sz="18" w:space="8"/>
        </w:pBdr>
        <w:shd w:fill="FBEFEA" w:val="clear"/>
        <w:spacing w:after="140"/>
      </w:pPr>
      <w:r>
        <w:rPr>
          <w:rFonts w:ascii="Calibri" w:cs="Calibri" w:eastAsia="Calibri" w:hAnsi="Calibri"/>
          <w:sz w:val="21"/>
          <w:szCs w:val="21"/>
        </w:rPr>
        <w:t xml:space="preserve">Slides 2 and 11 cite specific percentages and dollar figures not sourced anywhere else in the consolidated docs. Recommend sourcing or softening to qualitative framing. Unchanged.</w:t>
      </w:r>
    </w:p>
    <w:p>
      <w:pPr>
        <w:pBdr>
          <w:left w:val="single" w:color="C0392B" w:sz="18" w:space="8"/>
        </w:pBdr>
        <w:shd w:fill="FBEFEA" w:val="clear"/>
        <w:spacing w:after="140" w:before="120"/>
      </w:pPr>
      <w:r>
        <w:rPr>
          <w:rFonts w:ascii="Calibri" w:cs="Calibri" w:eastAsia="Calibri" w:hAnsi="Calibri"/>
          <w:b/>
          <w:bCs/>
          <w:color w:val="8B2E1F"/>
          <w:sz w:val="21"/>
          <w:szCs w:val="21"/>
        </w:rPr>
        <w:t xml:space="preserve">⚑ Flag 4 — Compliance Checkup must not be pitched prematurely</w:t>
      </w:r>
    </w:p>
    <w:p>
      <w:pPr>
        <w:pBdr>
          <w:left w:val="single" w:color="C0392B" w:sz="18" w:space="8"/>
        </w:pBdr>
        <w:shd w:fill="FBEFEA" w:val="clear"/>
        <w:spacing w:after="140"/>
      </w:pPr>
      <w:r>
        <w:rPr>
          <w:rFonts w:ascii="Calibri" w:cs="Calibri" w:eastAsia="Calibri" w:hAnsi="Calibri"/>
          <w:sz w:val="21"/>
          <w:szCs w:val="21"/>
        </w:rPr>
        <w:t xml:space="preserve">If Section 7's OneTap interface ships, sales copy must follow the Section 7.4 locked decision. Unchanged.</w:t>
      </w:r>
    </w:p>
    <w:p>
      <w:pPr>
        <w:pStyle w:val="Heading1"/>
        <w:pBdr>
          <w:bottom w:val="single" w:color="B8C4D9" w:sz="4" w:space="4"/>
        </w:pBdr>
        <w:spacing w:after="140" w:before="320"/>
      </w:pPr>
      <w:r>
        <w:rPr>
          <w:rFonts w:ascii="Calibri" w:cs="Calibri" w:eastAsia="Calibri" w:hAnsi="Calibri"/>
          <w:b/>
          <w:bCs/>
          <w:color w:val="1F3864"/>
          <w:sz w:val="28"/>
          <w:szCs w:val="28"/>
        </w:rPr>
        <w:t xml:space="preserve">9. Appendix — Proposed UX Enhancements (Not Yet Built)</w:t>
      </w:r>
    </w:p>
    <w:p>
      <w:pPr>
        <w:pStyle w:val="ListParagraph"/>
        <w:numPr>
          <w:ilvl w:val="0"/>
          <w:numId w:val="1"/>
        </w:numPr>
        <w:spacing w:after="90"/>
      </w:pPr>
      <w:r>
        <w:rPr>
          <w:rFonts w:ascii="Calibri" w:cs="Calibri" w:eastAsia="Calibri" w:hAnsi="Calibri"/>
          <w:sz w:val="21"/>
          <w:szCs w:val="21"/>
        </w:rPr>
        <w:t xml:space="preserve">Collapsible left navigation sidebar and a global command palette (Cmd/Ctrl+K).</w:t>
      </w:r>
    </w:p>
    <w:p>
      <w:pPr>
        <w:pStyle w:val="ListParagraph"/>
        <w:numPr>
          <w:ilvl w:val="0"/>
          <w:numId w:val="1"/>
        </w:numPr>
        <w:spacing w:after="90"/>
      </w:pPr>
      <w:r>
        <w:rPr>
          <w:rFonts w:ascii="Calibri" w:cs="Calibri" w:eastAsia="Calibri" w:hAnsi="Calibri"/>
          <w:sz w:val="21"/>
          <w:szCs w:val="21"/>
        </w:rPr>
        <w:t xml:space="preserve">Global time-range selector and quick chart-view toggles.</w:t>
      </w:r>
    </w:p>
    <w:p>
      <w:pPr>
        <w:pStyle w:val="ListParagraph"/>
        <w:numPr>
          <w:ilvl w:val="0"/>
          <w:numId w:val="1"/>
        </w:numPr>
        <w:spacing w:after="90"/>
      </w:pPr>
      <w:r>
        <w:rPr>
          <w:rFonts w:ascii="Calibri" w:cs="Calibri" w:eastAsia="Calibri" w:hAnsi="Calibri"/>
          <w:sz w:val="21"/>
          <w:szCs w:val="21"/>
        </w:rPr>
        <w:t xml:space="preserve">Export/share action bar and an interactive audit-trigger drawer.</w:t>
      </w:r>
    </w:p>
    <w:p>
      <w:pPr>
        <w:pStyle w:val="ListParagraph"/>
        <w:numPr>
          <w:ilvl w:val="0"/>
          <w:numId w:val="1"/>
        </w:numPr>
        <w:spacing w:after="90"/>
      </w:pPr>
      <w:r>
        <w:rPr>
          <w:rFonts w:ascii="Calibri" w:cs="Calibri" w:eastAsia="Calibri" w:hAnsi="Calibri"/>
          <w:sz w:val="21"/>
          <w:szCs w:val="21"/>
        </w:rPr>
        <w:t xml:space="preserve">Agent fine-tuning modal and a dedicated API/webhook management hub.</w:t>
      </w:r>
    </w:p>
    <w:p>
      <w:pPr>
        <w:pStyle w:val="Heading2"/>
        <w:spacing w:after="100" w:before="240"/>
      </w:pPr>
      <w:r>
        <w:rPr>
          <w:rFonts w:ascii="Calibri" w:cs="Calibri" w:eastAsia="Calibri" w:hAnsi="Calibri"/>
          <w:b/>
          <w:bCs/>
          <w:color w:val="1F3864"/>
          <w:sz w:val="24"/>
          <w:szCs w:val="24"/>
        </w:rPr>
        <w:t xml:space="preserve">9.1 Multi-Model Development Workflow (Process Note)</w:t>
      </w:r>
    </w:p>
    <w:p>
      <w:pPr>
        <w:spacing w:after="140"/>
      </w:pPr>
      <w:r>
        <w:rPr>
          <w:rFonts w:ascii="Calibri" w:cs="Calibri" w:eastAsia="Calibri" w:hAnsi="Calibri"/>
          <w:i w:val="false"/>
          <w:iCs w:val="false"/>
          <w:color w:val="000000"/>
          <w:sz w:val="21"/>
          <w:szCs w:val="21"/>
        </w:rPr>
        <w:t xml:space="preserve">The team's working method (Continuous Evolutionary Prototyping / Harness-Driven Development) assigns distinct AI collaborators to distinct SDLC roles, avoiding overlap:</w:t>
      </w:r>
    </w:p>
    <w:p>
      <w:pPr>
        <w:pStyle w:val="ListParagraph"/>
        <w:numPr>
          <w:ilvl w:val="0"/>
          <w:numId w:val="1"/>
        </w:numPr>
        <w:spacing w:after="90"/>
      </w:pPr>
      <w:r>
        <w:rPr>
          <w:rFonts w:ascii="Calibri" w:cs="Calibri" w:eastAsia="Calibri" w:hAnsi="Calibri"/>
          <w:sz w:val="21"/>
          <w:szCs w:val="21"/>
        </w:rPr>
        <w:t xml:space="preserve">Builder role: writes complete, production-ready code slices without placeholders, preserving existing logic unless a change is explicitly requested.</w:t>
      </w:r>
    </w:p>
    <w:p>
      <w:pPr>
        <w:pStyle w:val="ListParagraph"/>
        <w:numPr>
          <w:ilvl w:val="0"/>
          <w:numId w:val="1"/>
        </w:numPr>
        <w:spacing w:after="90"/>
      </w:pPr>
      <w:r>
        <w:rPr>
          <w:rFonts w:ascii="Calibri" w:cs="Calibri" w:eastAsia="Calibri" w:hAnsi="Calibri"/>
          <w:sz w:val="21"/>
          <w:szCs w:val="21"/>
        </w:rPr>
        <w:t xml:space="preserve">Adversarial auditor role: stress-tests code for multi-tenant isolation leaks, async concurrency races, idempotency faults, and mathematical/logic errors; reports findings by severity tier with exact file/line references.</w:t>
      </w:r>
    </w:p>
    <w:p>
      <w:pPr>
        <w:pStyle w:val="ListParagraph"/>
        <w:numPr>
          <w:ilvl w:val="0"/>
          <w:numId w:val="1"/>
        </w:numPr>
        <w:spacing w:after="90"/>
      </w:pPr>
      <w:r>
        <w:rPr>
          <w:rFonts w:ascii="Calibri" w:cs="Calibri" w:eastAsia="Calibri" w:hAnsi="Calibri"/>
          <w:sz w:val="21"/>
          <w:szCs w:val="21"/>
        </w:rPr>
        <w:t xml:space="preserve">Compliance/governance role: verifies environment configuration, dependency manifests, shell scripts, and documentation stay aligned with the approved architecture blueprint.</w:t>
      </w:r>
    </w:p>
    <w:p>
      <w:pPr>
        <w:pStyle w:val="Heading1"/>
        <w:pBdr>
          <w:bottom w:val="single" w:color="B8C4D9" w:sz="4" w:space="4"/>
        </w:pBdr>
        <w:spacing w:after="140" w:before="320"/>
      </w:pPr>
      <w:r>
        <w:rPr>
          <w:rFonts w:ascii="Calibri" w:cs="Calibri" w:eastAsia="Calibri" w:hAnsi="Calibri"/>
          <w:b/>
          <w:bCs/>
          <w:color w:val="1F3864"/>
          <w:sz w:val="28"/>
          <w:szCs w:val="28"/>
        </w:rPr>
        <w:t xml:space="preserve">10. Update — Phase 3 Tail &amp; Phase 4 Delivery (23 August 2026)</w:t>
      </w:r>
    </w:p>
    <w:p>
      <w:pPr>
        <w:spacing w:after="140"/>
      </w:pPr>
      <w:r>
        <w:rPr>
          <w:rFonts w:ascii="Calibri" w:cs="Calibri" w:eastAsia="Calibri" w:hAnsi="Calibri"/>
          <w:i w:val="false"/>
          <w:iCs w:val="false"/>
          <w:color w:val="000000"/>
          <w:sz w:val="21"/>
          <w:szCs w:val="21"/>
        </w:rPr>
        <w:t xml:space="preserve">This section is current, first-hand, and verified — unlike Sections 1–9 above, which reflect August 18, 2026. It records exactly what was built and delivered in the most recent engineering session, cross-referenced to Master Build List v1.7 for full detail.</w:t>
      </w:r>
    </w:p>
    <w:p>
      <w:pPr>
        <w:pStyle w:val="Heading2"/>
        <w:spacing w:after="100" w:before="240"/>
      </w:pPr>
      <w:r>
        <w:rPr>
          <w:rFonts w:ascii="Calibri" w:cs="Calibri" w:eastAsia="Calibri" w:hAnsi="Calibri"/>
          <w:b/>
          <w:bCs/>
          <w:color w:val="1F3864"/>
          <w:sz w:val="24"/>
          <w:szCs w:val="24"/>
        </w:rPr>
        <w:t xml:space="preserve">10.1 Phase 3 tail: AI-04 and FIN-01</w:t>
      </w:r>
    </w:p>
    <w:p>
      <w:pPr>
        <w:spacing w:after="140"/>
      </w:pPr>
      <w:r>
        <w:rPr>
          <w:rFonts w:ascii="Calibri" w:cs="Calibri" w:eastAsia="Calibri" w:hAnsi="Calibri"/>
          <w:b/>
          <w:bCs/>
          <w:i w:val="false"/>
          <w:iCs w:val="false"/>
          <w:color w:val="000000"/>
          <w:sz w:val="21"/>
          <w:szCs w:val="21"/>
        </w:rPr>
        <w:t xml:space="preserve">AI-04 — Model/version registry and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tools/model_regression_check.py runs a candidate model's real output against the currently-pinned baseline on the same real tenant data before a swap ships, distinguishing wording-only changes from real regressions.</w:t>
      </w:r>
    </w:p>
    <w:p>
      <w:pPr>
        <w:spacing w:after="140"/>
      </w:pPr>
      <w:r>
        <w:rPr>
          <w:rFonts w:ascii="Calibri" w:cs="Calibri" w:eastAsia="Calibri" w:hAnsi="Calibri"/>
          <w:b/>
          <w:bCs/>
          <w:i w:val="false"/>
          <w:iCs w:val="false"/>
          <w:color w:val="000000"/>
          <w:sz w:val="21"/>
          <w:szCs w:val="21"/>
        </w:rPr>
        <w:t xml:space="preserve">FIN-01 — Formal MRR definition and ground-truth test suite: </w:t>
      </w:r>
      <w:r>
        <w:rPr>
          <w:rFonts w:ascii="Calibri" w:cs="Calibri" w:eastAsia="Calibri" w:hAnsi="Calibri"/>
          <w:b w:val="false"/>
          <w:bCs w:val="false"/>
          <w:i w:val="false"/>
          <w:iCs w:val="false"/>
          <w:color w:val="000000"/>
          <w:sz w:val="21"/>
          <w:szCs w:val="21"/>
        </w:rPr>
        <w:t xml:space="preserve">get_mrr_summary computes real MRR only from transactions a tenant explicitly flags 'recurring'/'is_recurring' on upload; mrr_available is False and mrr is None until a tenant provides that flag — never silently backfilled or guessed. Verified end-to-end via run_verify_fin01_mrr.py, including correct reversion when a later upload omits the flag.</w:t>
      </w:r>
    </w:p>
    <w:p>
      <w:pPr>
        <w:pStyle w:val="Heading2"/>
        <w:spacing w:after="100" w:before="240"/>
      </w:pPr>
      <w:r>
        <w:rPr>
          <w:rFonts w:ascii="Calibri" w:cs="Calibri" w:eastAsia="Calibri" w:hAnsi="Calibri"/>
          <w:b/>
          <w:bCs/>
          <w:color w:val="1F3864"/>
          <w:sz w:val="24"/>
          <w:szCs w:val="24"/>
        </w:rPr>
        <w:t xml:space="preserve">10.2 Phase 4: the differentiation roadmap, complete</w:t>
      </w:r>
    </w:p>
    <w:p>
      <w:pPr>
        <w:spacing w:after="140"/>
      </w:pPr>
      <w:r>
        <w:rPr>
          <w:rFonts w:ascii="Calibri" w:cs="Calibri" w:eastAsia="Calibri" w:hAnsi="Calibri"/>
          <w:i w:val="false"/>
          <w:iCs w:val="false"/>
          <w:color w:val="000000"/>
          <w:sz w:val="21"/>
          <w:szCs w:val="21"/>
        </w:rPr>
        <w:t xml:space="preserve">All five Tier A/B differentiation candidates from Section 5.2 above (and Master Build List Section 2) are now built, backend and frontend, delivered in the founder's own recommended order:</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DIFF-03 "What I don't know yet" panel</w:t>
      </w:r>
      <w:r>
        <w:rPr>
          <w:rFonts w:ascii="Calibri" w:cs="Calibri" w:eastAsia="Calibri" w:hAnsi="Calibri"/>
          <w:sz w:val="21"/>
          <w:szCs w:val="21"/>
        </w:rPr>
        <w:t xml:space="preserve"> — backend/gaps.py's get_known_gaps() combines structural gaps with data-dependent gaps computed from cheap, non-LLM signals. Frontend: KnownGapsPanel.tsx.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DIFF-02 Assumption ledger</w:t>
      </w:r>
      <w:r>
        <w:rPr>
          <w:rFonts w:ascii="Calibri" w:cs="Calibri" w:eastAsia="Calibri" w:hAnsi="Calibri"/>
          <w:sz w:val="21"/>
          <w:szCs w:val="21"/>
        </w:rPr>
        <w:t xml:space="preserve"> — backend/assumptions.py reads real numeric constants live from the modules that actually use them — never a hand-copied duplicate.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DIFF-06 Auto-categorization suggestions</w:t>
      </w:r>
      <w:r>
        <w:rPr>
          <w:rFonts w:ascii="Calibri" w:cs="Calibri" w:eastAsia="Calibri" w:hAnsi="Calibri"/>
          <w:sz w:val="21"/>
          <w:szCs w:val="21"/>
        </w:rPr>
        <w:t xml:space="preserve"> — Deterministic keyword-overlap voting against a tenant's own already-categorized rows only — never an LLM guess, never auto-applied. Frontend: CategorySuggestionsWidget.tsx with an explicit Accept action.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DIFF-05 Guided first-insight onboarding</w:t>
      </w:r>
      <w:r>
        <w:rPr>
          <w:rFonts w:ascii="Calibri" w:cs="Calibri" w:eastAsia="Calibri" w:hAnsi="Calibri"/>
          <w:sz w:val="21"/>
          <w:szCs w:val="21"/>
        </w:rPr>
        <w:t xml:space="preserve"> — A lightweight progress checklist (not a full guided modal tour, per founder decision). Frontend: OnboardingChecklist.tsx, pure frontend, no new backend endpoint.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DIFF-01 Evidence trail</w:t>
      </w:r>
      <w:r>
        <w:rPr>
          <w:rFonts w:ascii="Calibri" w:cs="Calibri" w:eastAsia="Calibri" w:hAnsi="Calibri"/>
          <w:sz w:val="21"/>
          <w:szCs w:val="21"/>
        </w:rPr>
        <w:t xml:space="preserve"> — A real, sequence-backed row_id added to every ledger row (schema migration), plus a drill-down endpoint returning the exact rows behind a category/month filter. Frontend: LedgerRowExplorer.tsx. Explicit scope note: this does not yet rewrite every agent's LLM narrative to cite row_ids inline — that remains a separate, larger future step.</w:t>
      </w:r>
    </w:p>
    <w:p>
      <w:pPr>
        <w:pStyle w:val="Heading2"/>
        <w:spacing w:after="100" w:before="240"/>
      </w:pPr>
      <w:r>
        <w:rPr>
          <w:rFonts w:ascii="Calibri" w:cs="Calibri" w:eastAsia="Calibri" w:hAnsi="Calibri"/>
          <w:b/>
          <w:bCs/>
          <w:color w:val="1F3864"/>
          <w:sz w:val="24"/>
          <w:szCs w:val="24"/>
        </w:rPr>
        <w:t xml:space="preserve">10.3 Verification methodology</w:t>
      </w:r>
    </w:p>
    <w:p>
      <w:pPr>
        <w:spacing w:after="140"/>
      </w:pPr>
      <w:r>
        <w:rPr>
          <w:rFonts w:ascii="Calibri" w:cs="Calibri" w:eastAsia="Calibri" w:hAnsi="Calibri"/>
          <w:i w:val="false"/>
          <w:iCs w:val="false"/>
          <w:color w:val="000000"/>
          <w:sz w:val="21"/>
          <w:szCs w:val="21"/>
        </w:rPr>
        <w:t xml:space="preserve">Every backend change ran against a stub-based test harness (10 suites, ~200 checks total across the full regression sweep, zero failures). Every frontend change was additionally type-checked with a real `npx tsc --noEmit` run against the actual project's own node_modules and tsconfig.json on the founder's machine, not a sandbox approximation, with zero errors both times it was run. Each file was delivered to the live codebase individually, with a drift check immediately before every write, and zero rejected writes.</w:t>
      </w:r>
    </w:p>
    <w:p>
      <w:pPr>
        <w:pStyle w:val="Heading2"/>
        <w:spacing w:after="100" w:before="240"/>
      </w:pPr>
      <w:r>
        <w:rPr>
          <w:rFonts w:ascii="Calibri" w:cs="Calibri" w:eastAsia="Calibri" w:hAnsi="Calibri"/>
          <w:b/>
          <w:bCs/>
          <w:color w:val="1F3864"/>
          <w:sz w:val="24"/>
          <w:szCs w:val="24"/>
        </w:rPr>
        <w:t xml:space="preserve">10.4 What this changes about Sections 1–9 above</w:t>
      </w:r>
    </w:p>
    <w:p>
      <w:pPr>
        <w:pStyle w:val="ListParagraph"/>
        <w:numPr>
          <w:ilvl w:val="0"/>
          <w:numId w:val="1"/>
        </w:numPr>
        <w:spacing w:after="90"/>
      </w:pPr>
      <w:r>
        <w:rPr>
          <w:rFonts w:ascii="Calibri" w:cs="Calibri" w:eastAsia="Calibri" w:hAnsi="Calibri"/>
          <w:sz w:val="21"/>
          <w:szCs w:val="21"/>
        </w:rPr>
        <w:t xml:space="preserve">Section 5.2's differentiation candidate list: the items now marked (DELIVERED) inline are real and shipped, not proposed.</w:t>
      </w:r>
    </w:p>
    <w:p>
      <w:pPr>
        <w:pStyle w:val="ListParagraph"/>
        <w:numPr>
          <w:ilvl w:val="0"/>
          <w:numId w:val="1"/>
        </w:numPr>
        <w:spacing w:after="90"/>
      </w:pPr>
      <w:r>
        <w:rPr>
          <w:rFonts w:ascii="Calibri" w:cs="Calibri" w:eastAsia="Calibri" w:hAnsi="Calibri"/>
          <w:sz w:val="21"/>
          <w:szCs w:val="21"/>
        </w:rPr>
        <w:t xml:space="preserve">Section 5.8's "Guided onboarding with a seeded sample dataset" item: DIFF-05 delivers a lighter-weight version of this (a progress checklist, not a full guided tour with a seeded dataset) — the fuller version described in 5.8 remains open.</w:t>
      </w:r>
    </w:p>
    <w:p>
      <w:pPr>
        <w:pStyle w:val="ListParagraph"/>
        <w:numPr>
          <w:ilvl w:val="0"/>
          <w:numId w:val="1"/>
        </w:numPr>
        <w:spacing w:after="90"/>
      </w:pPr>
      <w:r>
        <w:rPr>
          <w:rFonts w:ascii="Calibri" w:cs="Calibri" w:eastAsia="Calibri" w:hAnsi="Calibri"/>
          <w:sz w:val="21"/>
          <w:szCs w:val="21"/>
        </w:rPr>
        <w:t xml:space="preserve">Section 6's Round 1 Virtual CFO/Strategic Advisory empty-state finding: DIFF-03 and DIFF-05 now give first-time users real, tenant-specific context elsewhere on the dashboard, but the exact Round 1 finding (bare "--" in the Virtual CFO Briefing widget itself) was not independently re-verified as fixed in this pass — do not assume it's resolved without checking.</w:t>
      </w:r>
    </w:p>
    <w:p>
      <w:pPr>
        <w:pStyle w:val="ListParagraph"/>
        <w:numPr>
          <w:ilvl w:val="0"/>
          <w:numId w:val="1"/>
        </w:numPr>
        <w:spacing w:after="90"/>
      </w:pPr>
      <w:r>
        <w:rPr>
          <w:rFonts w:ascii="Calibri" w:cs="Calibri" w:eastAsia="Calibri" w:hAnsi="Calibri"/>
          <w:sz w:val="21"/>
          <w:szCs w:val="21"/>
        </w:rPr>
        <w:t xml:space="preserve">Everything else in Sections 1–9 (known defects, pricing, pitch-deck flags, OneTap interface decision) is unchanged and not re-verified this session.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2026-08-23T07:06:13.370Z</dcterms:created>
  <dcterms:modified xsi:type="dcterms:W3CDTF">2026-08-23T07:06:13.370Z</dcterms:modified>
</cp:coreProperties>
</file>

<file path=docProps/custom.xml><?xml version="1.0" encoding="utf-8"?>
<Properties xmlns="http://schemas.openxmlformats.org/officeDocument/2006/custom-properties" xmlns:vt="http://schemas.openxmlformats.org/officeDocument/2006/docPropsVTypes"/>
</file>