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项目风险管理 v1.0</w:t>
      </w:r>
    </w:p>
    <w:p>
      <w:pPr>
        <w:pStyle w:val="Heading2"/>
      </w:pPr>
      <w:r>
        <w:t>一、性能风险</w:t>
      </w:r>
    </w:p>
    <w:p>
      <w:r>
        <w:t>风险：</w:t>
        <w:br/>
        <w:t>4核4G服务器无法承担多路转码。</w:t>
        <w:br/>
        <w:br/>
        <w:t>措施：</w:t>
        <w:br/>
        <w:t>默认直接转发H264，仅按需转码。</w:t>
      </w:r>
    </w:p>
    <w:p>
      <w:pPr>
        <w:pStyle w:val="Heading2"/>
      </w:pPr>
      <w:r>
        <w:t>二、摄像头兼容风险</w:t>
      </w:r>
    </w:p>
    <w:p>
      <w:r>
        <w:t>风险：</w:t>
        <w:br/>
        <w:t>未知品牌IPC。</w:t>
        <w:br/>
        <w:br/>
        <w:t>措施：</w:t>
        <w:br/>
        <w:t>采用RTSP通用协议，预留ONVIF扩展。</w:t>
      </w:r>
    </w:p>
    <w:p>
      <w:pPr>
        <w:pStyle w:val="Heading2"/>
      </w:pPr>
      <w:r>
        <w:t>三、客户端兼容风险</w:t>
      </w:r>
    </w:p>
    <w:p>
      <w:r>
        <w:t>风险：</w:t>
        <w:br/>
        <w:t>Qt32位限制。</w:t>
        <w:br/>
        <w:br/>
        <w:t>措施：</w:t>
        <w:br/>
        <w:t>使用匹配的x86 FFmpeg库。</w:t>
      </w:r>
    </w:p>
    <w:p>
      <w:pPr>
        <w:pStyle w:val="Heading2"/>
      </w:pPr>
      <w:r>
        <w:t>四、存储风险</w:t>
      </w:r>
    </w:p>
    <w:p>
      <w:r>
        <w:t>风险：</w:t>
        <w:br/>
        <w:t>40GB磁盘录像空间有限。</w:t>
        <w:br/>
        <w:br/>
        <w:t>措施：</w:t>
        <w:br/>
        <w:t>录像切片、定期清理、支持扩展云盘。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