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SmartHomeMonitoringSystem 开发环境搭建说明 v1.0</w:t>
      </w:r>
    </w:p>
    <w:p>
      <w:pPr>
        <w:pStyle w:val="Heading2"/>
      </w:pPr>
      <w:r>
        <w:t>一、Server开发环境</w:t>
      </w:r>
    </w:p>
    <w:p>
      <w:r>
        <w:t>操作系统：</w:t>
        <w:br/>
        <w:t>Ubuntu22.04</w:t>
        <w:br/>
        <w:br/>
        <w:t>编译环境：</w:t>
        <w:br/>
        <w:t>GCC/G++</w:t>
        <w:br/>
        <w:t>CMake</w:t>
        <w:br/>
        <w:t>Make</w:t>
        <w:br/>
        <w:br/>
        <w:t>依赖：</w:t>
        <w:br/>
        <w:t>FFmpeg</w:t>
        <w:br/>
        <w:t>MySQL Client</w:t>
        <w:br/>
        <w:t>pthread</w:t>
        <w:br/>
        <w:t>网络库相关依赖</w:t>
      </w:r>
    </w:p>
    <w:p>
      <w:pPr>
        <w:pStyle w:val="Heading2"/>
      </w:pPr>
      <w:r>
        <w:t>二、Qt客户端环境</w:t>
      </w:r>
    </w:p>
    <w:p>
      <w:r>
        <w:t>Windows环境。</w:t>
        <w:br/>
        <w:br/>
        <w:t>Qt版本：</w:t>
        <w:br/>
        <w:t>Qt5.14.2</w:t>
        <w:br/>
        <w:br/>
        <w:t>编译器：</w:t>
        <w:br/>
        <w:t>MSVC或MinGW 32位。</w:t>
        <w:br/>
        <w:br/>
        <w:t>注意：</w:t>
        <w:br/>
        <w:t>Qt32位必须匹配x86版本FFmpeg库。</w:t>
      </w:r>
    </w:p>
    <w:p>
      <w:pPr>
        <w:pStyle w:val="Heading2"/>
      </w:pPr>
      <w:r>
        <w:t>三、开发规范</w:t>
      </w:r>
    </w:p>
    <w:p>
      <w:r>
        <w:t>所有开发人员使用统一环境。</w:t>
        <w:br/>
        <w:br/>
        <w:t>代码提交前必须：</w:t>
        <w:br/>
        <w:t>- 编译通过</w:t>
        <w:br/>
        <w:t>- 功能验证</w:t>
        <w:br/>
        <w:t>- 更新文档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