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Bug管理规范 v1.0</w:t>
      </w:r>
    </w:p>
    <w:p>
      <w:pPr>
        <w:pStyle w:val="Heading2"/>
      </w:pPr>
      <w:r>
        <w:t>一、Bug等级</w:t>
      </w:r>
    </w:p>
    <w:p>
      <w:r>
        <w:t>S级：</w:t>
        <w:br/>
        <w:t>系统无法运行。</w:t>
        <w:br/>
        <w:br/>
        <w:t>A级：</w:t>
        <w:br/>
        <w:t>核心功能不可用。</w:t>
        <w:br/>
        <w:br/>
        <w:t>B级：</w:t>
        <w:br/>
        <w:t>重要功能异常。</w:t>
        <w:br/>
        <w:br/>
        <w:t>C级：</w:t>
        <w:br/>
        <w:t>界面或体验问题。</w:t>
      </w:r>
    </w:p>
    <w:p>
      <w:pPr>
        <w:pStyle w:val="Heading2"/>
      </w:pPr>
      <w:r>
        <w:t>二、Bug流程</w:t>
      </w:r>
    </w:p>
    <w:p>
      <w:r>
        <w:t>发现Bug。</w:t>
        <w:br/>
        <w:br/>
        <w:t>创建任务。</w:t>
        <w:br/>
        <w:br/>
        <w:t>开发修复。</w:t>
        <w:br/>
        <w:br/>
        <w:t>测试验证。</w:t>
        <w:br/>
        <w:br/>
        <w:t>关闭问题。</w:t>
      </w:r>
    </w:p>
    <w:p>
      <w:pPr>
        <w:pStyle w:val="Heading2"/>
      </w:pPr>
      <w:r>
        <w:t>三、记录内容</w:t>
      </w:r>
    </w:p>
    <w:p>
      <w:r>
        <w:t>包含：</w:t>
        <w:br/>
        <w:t>问题描述</w:t>
        <w:br/>
        <w:t>复现步骤</w:t>
        <w:br/>
        <w:t>影响范围</w:t>
        <w:br/>
        <w:t>解决方案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