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1F385C"/>
          <w:sz w:val="50"/>
        </w:rPr>
        <w:t>TP 3 — Réception et qualification des données</w:t>
      </w:r>
    </w:p>
    <w:p>
      <w:pPr>
        <w:jc w:val="center"/>
      </w:pPr>
      <w:r>
        <w:rPr>
          <w:color w:val="008080"/>
          <w:sz w:val="28"/>
        </w:rPr>
        <w:t>Audit, nettoyage, normalisation et consolidation des données de sécurité</w:t>
      </w:r>
    </w:p>
    <w:p/>
    <w:p>
      <w:pPr>
        <w:jc w:val="center"/>
      </w:pPr>
      <w:r>
        <w:rPr>
          <w:b/>
        </w:rPr>
        <w:t>Compte rendu simple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85C"/>
                <w:sz w:val="19"/>
              </w:rPr>
              <w:t>Objectif : vérifier si les données reçues sont exploitables pour la future classification et priorisation des événements de sécurité.</w:t>
            </w:r>
          </w:p>
        </w:tc>
      </w:tr>
    </w:tbl>
    <w:p>
      <w:pPr>
        <w:spacing w:after="0"/>
      </w:pPr>
    </w:p>
    <w:p>
      <w:pPr>
        <w:spacing w:before="1400"/>
        <w:jc w:val="center"/>
      </w:pPr>
      <w:r>
        <w:rPr>
          <w:color w:val="5A5A5A"/>
          <w:sz w:val="18"/>
        </w:rPr>
        <w:t>Fichiers analysés : authentication_logs.csv, edr_alerts.csv, assets.csv, users.csv</w:t>
      </w:r>
    </w:p>
    <w:p>
      <w:r>
        <w:br w:type="page"/>
      </w:r>
    </w:p>
    <w:p>
      <w:pPr>
        <w:pStyle w:val="Heading1"/>
      </w:pPr>
      <w:r>
        <w:t>1. Inventaire des sources</w:t>
      </w:r>
    </w:p>
    <w:p>
      <w:r>
        <w:t>Quatre fichiers CSV ont été reçus. Le sujet mentionne également un fichier README_ETUDIANTS.md, mais celui-ci n'a pas été fourni. Les propriétaires exacts, la fréquence officielle de mise à jour et certaines définitions de champs restent donc à confirmer.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1F385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1700"/>
            <w:shd w:fill="1F385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Contenu</w:t>
            </w:r>
          </w:p>
        </w:tc>
        <w:tc>
          <w:tcPr>
            <w:tcW w:type="dxa" w:w="1700"/>
            <w:shd w:fill="1F385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Volume</w:t>
            </w:r>
          </w:p>
        </w:tc>
        <w:tc>
          <w:tcPr>
            <w:tcW w:type="dxa" w:w="1700"/>
            <w:shd w:fill="1F385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Format</w:t>
            </w:r>
          </w:p>
        </w:tc>
        <w:tc>
          <w:tcPr>
            <w:tcW w:type="dxa" w:w="1700"/>
            <w:shd w:fill="1F385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Propriétaire</w:t>
            </w:r>
          </w:p>
        </w:tc>
        <w:tc>
          <w:tcPr>
            <w:tcW w:type="dxa" w:w="1700"/>
            <w:shd w:fill="1F385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Qualité initiale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authentication_logs.csv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Authentifications AD/VPN/RDP/MFA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4 992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CSV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À confirmer (IT/IAM probable)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Moyenne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edr_alerts.csv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Alertes EDR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1 929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CSV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À confirmer (Sécurité/IT probable)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Moyenne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assets.csv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Référentiel actifs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200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CSV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À confirmer (IT Infrastructure probable)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Moyenne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users.csv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Référentiel utilisateurs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400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CSV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À confirmer (RH/IAM probable)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Bonne</w:t>
            </w:r>
          </w:p>
        </w:tc>
      </w:tr>
    </w:tbl>
    <w:p>
      <w:pPr>
        <w:pStyle w:val="Heading2"/>
      </w:pPr>
      <w:r>
        <w:t>Période réellement couverte</w:t>
      </w:r>
    </w:p>
    <w:p>
      <w:pPr>
        <w:pStyle w:val="ListBullet"/>
        <w:spacing w:after="40"/>
      </w:pPr>
      <w:r>
        <w:t>Logs d'authentification : du 2 mars 2026 au 22 mars 2026.</w:t>
      </w:r>
    </w:p>
    <w:p>
      <w:pPr>
        <w:pStyle w:val="ListBullet"/>
        <w:spacing w:after="40"/>
      </w:pPr>
      <w:r>
        <w:t>Alertes EDR : du 2 mars 2026 au 22 mars 2026.</w:t>
      </w:r>
    </w:p>
    <w:p>
      <w:pPr>
        <w:pStyle w:val="ListBullet"/>
        <w:spacing w:after="40"/>
      </w:pPr>
      <w:r>
        <w:t>L'historique reçu représente donc environ 21 jours, ce qui est court pour une future modélisation robuste.</w:t>
      </w:r>
    </w:p>
    <w:p>
      <w:pPr>
        <w:pStyle w:val="Heading1"/>
      </w:pPr>
      <w:r>
        <w:t>2. Diagnostic de la qualité des données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385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3400"/>
            <w:shd w:fill="1F385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Constat principal</w:t>
            </w:r>
          </w:p>
        </w:tc>
        <w:tc>
          <w:tcPr>
            <w:tcW w:type="dxa" w:w="3400"/>
            <w:shd w:fill="1F385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Évaluation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Completeness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151 user_id manquants dans l'auth ; 234 décisions analyste manquantes ; 14 owners et 20 criticités manquants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Moyenne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Consistency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Dates sous 3 formats dans l'auth et 2 dans EDR ; casse incohérente des sévérités et résultats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À corriger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Validity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52 IP invalides ; références users/devices absentes des référentiels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Moyenne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Uniqueness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145 doublons auth, 74 doublons EDR, 5 doublons users ; 3 hostnames dupliqués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À corriger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Accuracy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Impossible à vérifier complètement sans validation métier ; comptes inactifs présents dans certains événements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À investiguer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Timeliness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Seulement 21 jours de logs reçus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Limitée</w:t>
            </w:r>
          </w:p>
        </w:tc>
      </w:tr>
    </w:tbl>
    <w:p>
      <w:pPr>
        <w:pStyle w:val="Heading2"/>
      </w:pPr>
      <w:r>
        <w:t>Points importants</w:t>
      </w:r>
    </w:p>
    <w:p>
      <w:pPr>
        <w:pStyle w:val="ListBullet"/>
        <w:spacing w:after="40"/>
      </w:pPr>
      <w:r>
        <w:t>Les formats d'identifiants Uxxxx, Dxxxx, AUTHxxxxxx et EDRxxxxxx sont cohérents.</w:t>
      </w:r>
    </w:p>
    <w:p>
      <w:pPr>
        <w:pStyle w:val="ListBullet"/>
        <w:spacing w:after="40"/>
      </w:pPr>
      <w:r>
        <w:t>Les sévérités sont présentes sous plusieurs formes : High, HIGH, high, etc.</w:t>
      </w:r>
    </w:p>
    <w:p>
      <w:pPr>
        <w:pStyle w:val="ListBullet"/>
        <w:spacing w:after="40"/>
      </w:pPr>
      <w:r>
        <w:t>Les résultats d'authentification utilisent SUCCESS / Success / success et FAILED / Failed / FAILURE.</w:t>
      </w:r>
    </w:p>
    <w:p>
      <w:pPr>
        <w:pStyle w:val="ListBullet"/>
        <w:spacing w:after="40"/>
      </w:pPr>
      <w:r>
        <w:t>Les événements contenant une anomalie ne doivent pas être supprimés automatiquement : l'anomalie peut être utile en cybersécurité.</w:t>
      </w:r>
    </w:p>
    <w:p>
      <w:pPr>
        <w:pStyle w:val="Heading2"/>
      </w:pPr>
      <w:r>
        <w:t>Qualité des labels EDR</w:t>
      </w:r>
    </w:p>
    <w:p>
      <w:pPr>
        <w:pStyle w:val="ListBullet"/>
        <w:spacing w:after="40"/>
      </w:pPr>
      <w:r>
        <w:t>1 456 faux positifs.</w:t>
      </w:r>
    </w:p>
    <w:p>
      <w:pPr>
        <w:pStyle w:val="ListBullet"/>
        <w:spacing w:after="40"/>
      </w:pPr>
      <w:r>
        <w:t>66 vrais positifs.</w:t>
      </w:r>
    </w:p>
    <w:p>
      <w:pPr>
        <w:pStyle w:val="ListBullet"/>
        <w:spacing w:after="40"/>
      </w:pPr>
      <w:r>
        <w:t>173 alertes à investiguer.</w:t>
      </w:r>
    </w:p>
    <w:p>
      <w:pPr>
        <w:pStyle w:val="ListBullet"/>
        <w:spacing w:after="40"/>
      </w:pPr>
      <w:r>
        <w:t>234 décisions non renseignées.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85C"/>
                <w:sz w:val="19"/>
              </w:rPr>
              <w:t>Le futur problème de classification est fortement déséquilibré : les vrais positifs sont rares. Cela devra être pris en compte lors de la modélisation.</w:t>
            </w:r>
          </w:p>
        </w:tc>
      </w:tr>
    </w:tbl>
    <w:p>
      <w:pPr>
        <w:spacing w:after="0"/>
      </w:pPr>
    </w:p>
    <w:p>
      <w:pPr>
        <w:pStyle w:val="Heading1"/>
      </w:pPr>
      <w:r>
        <w:t>3. Décisions de nettoyage et de normalisation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385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Problème</w:t>
            </w:r>
          </w:p>
        </w:tc>
        <w:tc>
          <w:tcPr>
            <w:tcW w:type="dxa" w:w="3400"/>
            <w:shd w:fill="1F385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Décision</w:t>
            </w:r>
          </w:p>
        </w:tc>
        <w:tc>
          <w:tcPr>
            <w:tcW w:type="dxa" w:w="3400"/>
            <w:shd w:fill="1F385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Pourquoi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Doublons stricts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Supprimer uniquement les copies identiques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Duplication certaine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Dates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Convertir en YYYY-MM-DD HH:MM:SS et garder timestamp_raw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Format commun + traçabilité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Sévérité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Uniformiser en LOW / MEDIUM / HIGH / CRITICAL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Éviter les variantes de casse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Résultat auth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Uniformiser en SUCCESS / FAILURE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Catégorie commune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IP invalide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Conserver la ligne, garder src_ip_raw, laisser src_ip normalisé vide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 pas perdre l'événement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User/device inconnu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Conserver et ajouter un quality_flag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Peut être une anomalie sécurité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Valeur manquante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 pas inventer la donnée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Pas de base fiable pour l'imputation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Hostname dupliqué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Conserver les assets, signaler l'anomalie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Les device_id sont différents</w:t>
            </w:r>
          </w:p>
        </w:tc>
      </w:tr>
    </w:tbl>
    <w:p>
      <w:pPr>
        <w:pStyle w:val="Heading2"/>
      </w:pPr>
      <w:r>
        <w:t>Résultat du nettoyage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385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2550"/>
            <w:shd w:fill="1F385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Lignes brutes</w:t>
            </w:r>
          </w:p>
        </w:tc>
        <w:tc>
          <w:tcPr>
            <w:tcW w:type="dxa" w:w="2550"/>
            <w:shd w:fill="1F385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Lignes nettoyées</w:t>
            </w:r>
          </w:p>
        </w:tc>
        <w:tc>
          <w:tcPr>
            <w:tcW w:type="dxa" w:w="2550"/>
            <w:shd w:fill="1F385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Doublons supprimés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Authentification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4 992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4 847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145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EDR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1 929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1 855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74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Assets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200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200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0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Users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400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395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</w:tr>
    </w:tbl>
    <w:p>
      <w:r>
        <w:br w:type="page"/>
      </w:r>
    </w:p>
    <w:p>
      <w:pPr>
        <w:pStyle w:val="Heading1"/>
      </w:pPr>
      <w:r>
        <w:t>4. Données manquantes ou non exploitables</w:t>
      </w:r>
    </w:p>
    <w:p>
      <w:r>
        <w:t>Aucun fichier n'est totalement inexploitable. En revanche, certaines valeurs ne peuvent pas être utilisées directement.</w:t>
      </w:r>
    </w:p>
    <w:p>
      <w:pPr>
        <w:pStyle w:val="ListBullet"/>
        <w:spacing w:after="40"/>
      </w:pPr>
      <w:r>
        <w:t>52 IP brutes sont invalides : elles ne peuvent pas être utilisées comme adresses IP, mais l'événement est conservé.</w:t>
      </w:r>
    </w:p>
    <w:p>
      <w:pPr>
        <w:pStyle w:val="ListBullet"/>
        <w:spacing w:after="40"/>
      </w:pPr>
      <w:r>
        <w:t>234 alertes EDR n'ont pas de décision analyste : elles ne peuvent pas servir directement de labels d'entraînement.</w:t>
      </w:r>
    </w:p>
    <w:p>
      <w:pPr>
        <w:pStyle w:val="ListBullet"/>
        <w:spacing w:after="40"/>
      </w:pPr>
      <w:r>
        <w:t>37 événements d'authentification pointent vers des utilisateurs absents du référentiel.</w:t>
      </w:r>
    </w:p>
    <w:p>
      <w:pPr>
        <w:pStyle w:val="ListBullet"/>
        <w:spacing w:after="40"/>
      </w:pPr>
      <w:r>
        <w:t>47 événements d'authentification et 33 alertes EDR pointent vers des devices absents du référentiel.</w:t>
      </w:r>
    </w:p>
    <w:p>
      <w:pPr>
        <w:pStyle w:val="ListBullet"/>
        <w:spacing w:after="40"/>
      </w:pPr>
      <w:r>
        <w:t>14 assets n'ont pas d'owner et 20 n'ont pas de criticité.</w:t>
      </w:r>
    </w:p>
    <w:p>
      <w:pPr>
        <w:pStyle w:val="ListBullet"/>
        <w:spacing w:after="40"/>
      </w:pPr>
      <w:r>
        <w:t>Le README_ETUDIANTS.md est manquant : certaines définitions et responsabilités ne peuvent pas être confirmées.</w:t>
      </w:r>
    </w:p>
    <w:p>
      <w:pPr>
        <w:pStyle w:val="ListBullet"/>
        <w:spacing w:after="40"/>
      </w:pPr>
      <w:r>
        <w:t>L'historique de 21 jours est suffisant pour le prototype de traitement, mais limité pour une modélisation définitive.</w:t>
      </w:r>
    </w:p>
    <w:p>
      <w:pPr>
        <w:pStyle w:val="Heading1"/>
      </w:pPr>
      <w:r>
        <w:t>5. Dataset consolidé</w:t>
      </w:r>
    </w:p>
    <w:p>
      <w:r>
        <w:t>Les deux sources événementielles ont été rapprochées dans un schéma commun puis enrichies avec users.csv et assets.csv lorsque les identifiants correspondent.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85C"/>
                <w:sz w:val="19"/>
              </w:rPr>
              <w:t>Dataset produit : security_events_consolidated.csv — 6 702 événements après déduplication.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4 847 événements d'authentification.</w:t>
      </w:r>
    </w:p>
    <w:p>
      <w:pPr>
        <w:pStyle w:val="ListBullet"/>
        <w:spacing w:after="40"/>
      </w:pPr>
      <w:r>
        <w:t>1 855 alertes EDR.</w:t>
      </w:r>
    </w:p>
    <w:p>
      <w:pPr>
        <w:pStyle w:val="ListBullet"/>
        <w:spacing w:after="40"/>
      </w:pPr>
      <w:r>
        <w:t>Champs communs : event_id, timestamp, source, event_type, severity, user_id, device_id et quality_flags.</w:t>
      </w:r>
    </w:p>
    <w:p>
      <w:pPr>
        <w:pStyle w:val="ListBullet"/>
        <w:spacing w:after="40"/>
      </w:pPr>
      <w:r>
        <w:t>Contexte utilisateur : département, rôle, statut, compte privilégié, localisation.</w:t>
      </w:r>
    </w:p>
    <w:p>
      <w:pPr>
        <w:pStyle w:val="ListBullet"/>
        <w:spacing w:after="40"/>
      </w:pPr>
      <w:r>
        <w:t>Contexte actif : hostname, type, département, owner, criticité, système d'exploitation.</w:t>
      </w:r>
    </w:p>
    <w:p>
      <w:pPr>
        <w:pStyle w:val="ListBullet"/>
        <w:spacing w:after="40"/>
      </w:pPr>
      <w:r>
        <w:t>Champs spécifiques conservés : résultat d'authentification, IP, processus EDR, statut et décision analyste.</w:t>
      </w:r>
    </w:p>
    <w:p>
      <w:pPr>
        <w:pStyle w:val="Heading1"/>
      </w:pPr>
      <w:r>
        <w:t>6. Documentation et traçabilité</w:t>
      </w:r>
    </w:p>
    <w:p>
      <w:r>
        <w:t>Le dépôt contient les documents suivants :</w:t>
      </w:r>
    </w:p>
    <w:p>
      <w:pPr>
        <w:pStyle w:val="ListBullet"/>
        <w:spacing w:after="40"/>
      </w:pPr>
      <w:r>
        <w:t>docs/source_inventory.md : inventaire et diagnostic des sources.</w:t>
      </w:r>
    </w:p>
    <w:p>
      <w:pPr>
        <w:pStyle w:val="ListBullet"/>
        <w:spacing w:after="40"/>
      </w:pPr>
      <w:r>
        <w:t>docs/data_quality_report.md : détail des problèmes de qualité.</w:t>
      </w:r>
    </w:p>
    <w:p>
      <w:pPr>
        <w:pStyle w:val="ListBullet"/>
        <w:spacing w:after="40"/>
      </w:pPr>
      <w:r>
        <w:t>docs/transformation_rules.md : règles de nettoyage.</w:t>
      </w:r>
    </w:p>
    <w:p>
      <w:pPr>
        <w:pStyle w:val="ListBullet"/>
        <w:spacing w:after="40"/>
      </w:pPr>
      <w:r>
        <w:t>docs/cleaning_decisions.md : journal des décisions.</w:t>
      </w:r>
    </w:p>
    <w:p>
      <w:pPr>
        <w:pStyle w:val="ListBullet"/>
        <w:spacing w:after="40"/>
      </w:pPr>
      <w:r>
        <w:t>src/clean_data.py : script reproductible.</w:t>
      </w:r>
    </w:p>
    <w:p>
      <w:pPr>
        <w:pStyle w:val="ListBullet"/>
        <w:spacing w:after="40"/>
      </w:pPr>
      <w:r>
        <w:t>tests/test_clean_data.py : tests simples des transformations.</w:t>
      </w:r>
    </w:p>
    <w:p>
      <w:pPr>
        <w:pStyle w:val="ListBullet"/>
        <w:spacing w:after="40"/>
      </w:pPr>
      <w:r>
        <w:t>data/raw/ : fichiers d'origine, jamais modifiés.</w:t>
      </w:r>
    </w:p>
    <w:p>
      <w:pPr>
        <w:pStyle w:val="ListBullet"/>
        <w:spacing w:after="40"/>
      </w:pPr>
      <w:r>
        <w:t>data/processed/ : fichiers nettoyés et dataset consolidé.</w:t>
      </w:r>
    </w:p>
    <w:p>
      <w:pPr>
        <w:pStyle w:val="Heading1"/>
      </w:pPr>
      <w:r>
        <w:t>7. Dépôt Git</w:t>
      </w:r>
    </w:p>
    <w:p>
      <w:r>
        <w:t>La structure demandée est mise en place :</w:t>
      </w:r>
    </w:p>
    <w:p>
      <w:r>
        <w:rPr>
          <w:rFonts w:ascii="Consolas" w:hAnsi="Consolas"/>
          <w:sz w:val="18"/>
        </w:rPr>
        <w:t>security-log-project/</w:t>
        <w:br/>
        <w:t>├── data/</w:t>
        <w:br/>
        <w:t>│   ├── raw/</w:t>
        <w:br/>
        <w:t>│   └── processed/</w:t>
        <w:br/>
        <w:t>├── notebooks/</w:t>
        <w:br/>
        <w:t>├── src/</w:t>
        <w:br/>
        <w:t>├── docs/</w:t>
        <w:br/>
        <w:t>├── tests/</w:t>
        <w:br/>
        <w:t>└── README.md</w:t>
      </w:r>
    </w:p>
    <w:p>
      <w:r>
        <w:t>L'historique Git est inclus dans l'archive du projet. Des commits séparés permettent de distinguer l'initialisation, le nettoyage et la documentation.</w:t>
      </w:r>
    </w:p>
    <w:p>
      <w:pPr>
        <w:pStyle w:val="Heading1"/>
      </w:pPr>
      <w:r>
        <w:t>8. Impact sur le backlog, le planning et les risques</w:t>
      </w:r>
    </w:p>
    <w:p>
      <w:pPr>
        <w:pStyle w:val="Heading2"/>
      </w:pPr>
      <w:r>
        <w:t>Backlog</w:t>
      </w:r>
    </w:p>
    <w:p>
      <w:pPr>
        <w:pStyle w:val="ListBullet"/>
        <w:spacing w:after="40"/>
      </w:pPr>
      <w:r>
        <w:t>Ajouter un contrôle automatique de Data Quality à l'entrée.</w:t>
      </w:r>
    </w:p>
    <w:p>
      <w:pPr>
        <w:pStyle w:val="ListBullet"/>
        <w:spacing w:after="40"/>
      </w:pPr>
      <w:r>
        <w:t>Conserver une tâche de normalisation des formats.</w:t>
      </w:r>
    </w:p>
    <w:p>
      <w:pPr>
        <w:pStyle w:val="ListBullet"/>
        <w:spacing w:after="40"/>
      </w:pPr>
      <w:r>
        <w:t>Prévoir le traitement des références utilisateurs / devices inconnues.</w:t>
      </w:r>
    </w:p>
    <w:p>
      <w:pPr>
        <w:pStyle w:val="ListBullet"/>
        <w:spacing w:after="40"/>
      </w:pPr>
      <w:r>
        <w:t>Prévoir la collecte de labels EDR supplémentaires.</w:t>
      </w:r>
    </w:p>
    <w:p>
      <w:pPr>
        <w:pStyle w:val="ListBullet"/>
        <w:spacing w:after="40"/>
      </w:pPr>
      <w:r>
        <w:t>Demander un historique plus long avant une validation finale du modèle.</w:t>
      </w:r>
    </w:p>
    <w:p>
      <w:pPr>
        <w:pStyle w:val="Heading2"/>
      </w:pPr>
      <w:r>
        <w:t>Planning</w:t>
      </w:r>
    </w:p>
    <w:p>
      <w:r>
        <w:t>Le Sprint 1 doit consacrer davantage de temps au nettoyage et à la compréhension des données. La modélisation doit démarrer seulement après validation du schéma commun et des labels disponibles.</w:t>
      </w:r>
    </w:p>
    <w:p>
      <w:pPr>
        <w:pStyle w:val="Heading2"/>
      </w:pPr>
      <w:r>
        <w:t>Risques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385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Risque</w:t>
            </w:r>
          </w:p>
        </w:tc>
        <w:tc>
          <w:tcPr>
            <w:tcW w:type="dxa" w:w="3400"/>
            <w:shd w:fill="1F385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Niveau</w:t>
            </w:r>
          </w:p>
        </w:tc>
        <w:tc>
          <w:tcPr>
            <w:tcW w:type="dxa" w:w="3400"/>
            <w:shd w:fill="1F385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Réponse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Données incomplètes / incohérentes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Élevé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Contrôles et quality_flags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Labels EDR déséquilibrés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Élevé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Plus de qualification analyste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Référentiels incomplets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Moyen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Investigation et mise à jour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Historique trop court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Moyen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Demander plus de données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Nettoyage trop agressif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Élevé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 supprimer que les doublons certains</w:t>
            </w:r>
          </w:p>
        </w:tc>
      </w:tr>
    </w:tbl>
    <w:p>
      <w:pPr>
        <w:pStyle w:val="Heading1"/>
      </w:pPr>
      <w:r>
        <w:t>Conclusion</w:t>
      </w:r>
    </w:p>
    <w:p>
      <w:r>
        <w:t>Les données reçues sont imparfaites mais exploitables pour poursuivre le prototype. Le nettoyage a supprimé uniquement les doublons certains et a conservé les anomalies sous forme de flags. Le dataset consolidé peut servir à la prochaine phase, mais un historique plus long et davantage de labels fiables seront nécessaires avant de considérer un modèle de classification comme robuste.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TP 3 — Réception et qualification des données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8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8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8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