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420" w:lineRule="auto" w:before="1800"/>
        <w:jc w:val="center"/>
      </w:pPr>
      <w:r>
        <w:rPr>
          <w:color w:val="6B7C8F"/>
          <w:sz w:val="22"/>
        </w:rPr>
      </w:r>
      <w:r>
        <w:rPr>
          <w:rFonts w:ascii="Microsoft YaHei" w:eastAsia="Microsoft YaHei" w:hAnsi="Microsoft YaHei" w:cs="Microsoft YaHei" w:hint="eastAsia"/>
          <w:color w:val="6B7C8F"/>
          <w:sz w:val="22"/>
          <w:lang w:eastAsia="zh-CN"/>
        </w:rPr>
        <w:t>系统需求分析与设计文档</w:t>
      </w:r>
      <w:r>
        <w:rPr>
          <w:color w:val="6B7C8F"/>
          <w:sz w:val="22"/>
        </w:rPr>
        <w:t xml:space="preserve"> · </w:t>
      </w:r>
      <w:r>
        <w:rPr>
          <w:rFonts w:ascii="Microsoft YaHei" w:eastAsia="Microsoft YaHei" w:hAnsi="Microsoft YaHei" w:cs="Microsoft YaHei" w:hint="eastAsia"/>
          <w:color w:val="6B7C8F"/>
          <w:sz w:val="22"/>
          <w:lang w:eastAsia="zh-CN"/>
        </w:rPr>
        <w:t>第</w:t>
      </w:r>
      <w:r>
        <w:rPr>
          <w:color w:val="6B7C8F"/>
          <w:sz w:val="22"/>
        </w:rPr>
        <w:t xml:space="preserve"> 2 </w:t>
      </w:r>
      <w:r>
        <w:rPr>
          <w:rFonts w:ascii="Microsoft YaHei" w:eastAsia="Microsoft YaHei" w:hAnsi="Microsoft YaHei" w:cs="Microsoft YaHei" w:hint="eastAsia"/>
          <w:color w:val="6B7C8F"/>
          <w:sz w:val="22"/>
          <w:lang w:eastAsia="zh-CN"/>
        </w:rPr>
        <w:t>册</w:t>
      </w:r>
    </w:p>
    <w:p>
      <w:pPr>
        <w:pStyle w:val="Heading1"/>
        <w:spacing w:before="480" w:after="160"/>
        <w:jc w:val="center"/>
        <w:pBdr>
          <w:bottom w:val="none" w:sz="6" w:space="0" w:color="auto"/>
        </w:pBdr>
      </w:pPr>
      <w:r>
        <w:rPr>
          <w:rFonts w:ascii="Microsoft YaHei" w:hAnsi="Microsoft YaHei" w:eastAsia="Microsoft YaHei" w:cs="Microsoft YaHei" w:hint="eastAsia"/>
          <w:b/>
          <w:color w:val="1F4E79"/>
          <w:sz w:val="52"/>
          <w:lang w:eastAsia="zh-CN"/>
        </w:rPr>
        <w:t>智选云 AI 电商在线售货系统</w:t>
      </w:r>
    </w:p>
    <w:p>
      <w:pPr>
        <w:pStyle w:val="Heading2"/>
        <w:spacing w:before="0" w:after="240"/>
        <w:jc w:val="center"/>
      </w:pPr>
      <w:r>
        <w:rPr>
          <w:rFonts w:ascii="Microsoft YaHei" w:eastAsia="Microsoft YaHei" w:hAnsi="Microsoft YaHei" w:cs="Microsoft YaHei" w:hint="eastAsia"/>
          <w:b/>
          <w:color w:val="2E5C8A"/>
          <w:sz w:val="40"/>
          <w:lang w:eastAsia="zh-CN"/>
        </w:rPr>
        <w:t>系统设计报告</w:t>
      </w:r>
    </w:p>
    <w:p>
      <w:pPr>
        <w:spacing w:line="420" w:lineRule="auto" w:after="960"/>
        <w:jc w:val="center"/>
      </w:pPr>
      <w:r>
        <w:rPr>
          <w:color w:val="6B7C8F"/>
          <w:sz w:val="22"/>
        </w:rPr>
        <w:t>AI-ECP (AI E-Commerce Platform) — Software Design Description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文档编号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>AIECP-SDD-001</w:t>
            </w:r>
          </w:p>
        </w:tc>
      </w:tr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文档版本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>V1.0</w:t>
            </w:r>
          </w:p>
        </w:tc>
      </w:tr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系统代号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>AI-ECP</w:t>
            </w:r>
          </w:p>
        </w:tc>
      </w:tr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建模语言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>UML 2.5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（包图、类图、组件图、部署图、状态图、时序图）</w:t>
            </w:r>
          </w:p>
        </w:tc>
      </w:tr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上游文档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>《智选云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 xml:space="preserve"> AI 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电商在线售货系统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需求分析报告》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AIECP-SRS-001</w:t>
            </w:r>
          </w:p>
        </w:tc>
      </w:tr>
      <w:tr>
        <w:tc>
          <w:tcPr>
            <w:tcW w:type="dxa" w:w="680"/>
            <w:shd w:fill="EEF3F8" w:val="clear" w:color="auto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b/>
                <w:color w:val="1A1A1A"/>
                <w:sz w:val="22"/>
              </w:rPr>
              <w:t>编制日期</w:t>
            </w:r>
          </w:p>
        </w:tc>
        <w:tc>
          <w:tcPr>
            <w:tcW w:type="dxa" w:w="432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20" w:type="dxa"/>
              <w:bottom w:w="120" w:type="dxa"/>
              <w:left w:w="200" w:type="dxa"/>
              <w:right w:w="200" w:type="dxa"/>
            </w:tcMar>
          </w:tcPr>
          <w:p>
            <w:pPr>
              <w:spacing w:line="240" w:lineRule="auto" w:before="55" w:after="55"/>
            </w:pPr>
            <w:r>
              <w:rPr>
                <w:color w:val="1A1A1A"/>
                <w:sz w:val="22"/>
              </w:rPr>
              <w:t xml:space="preserve">2026 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年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 xml:space="preserve"> 9 </w:t>
            </w:r>
            <w:r>
              <w:rPr>
                <w:color w:val="1A1A1A"/>
                <w:sz w:val="22"/>
              </w:rPr>
              <w:t xml:space="preserve"> </w:t>
            </w:r>
            <w:r>
              <w:rPr>
                <w:color w:val="1A1A1A"/>
                <w:sz w:val="22"/>
              </w:rPr>
              <w:t>月</w:t>
            </w:r>
          </w:p>
        </w:tc>
      </w:tr>
    </w:tbl>
    <w:p>
      <w:r/>
    </w:p>
    <w:p>
      <w:pPr>
        <w:sectPr>
          <w:type w:val="nextPage"/>
          <w:pgSz w:w="11906" w:h="16838"/>
          <w:pgMar w:top="1361" w:bottom="1247" w:left="1474" w:right="1474"/>
        </w:sectPr>
      </w:pPr>
    </w:p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1 引言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1.1 编写目的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本报告承接《需求分析报告》（</w:t>
      </w:r>
      <w:r>
        <w:rPr>
          <w:sz w:val="21"/>
        </w:rPr>
        <w:t>AIECP-SRS-001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），把需求基线转化为可实现的软件设计。文档以</w:t>
      </w:r>
      <w:r>
        <w:rPr>
          <w:sz w:val="21"/>
        </w:rPr>
        <w:t xml:space="preserve"> UML 2.5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为统一建模语言，给出系统的逻辑架构、静态结构、组件契约、部署形态、动态行为、数据模型与接口定义，是开发实现、联调测试与后期演进的直接依据。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本文档的预期读者包括：系统架构师、后端与前端开发工程师、测试工程师、运维工程师，以及参与项目评审的技术专家。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1.2 设计范围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本报告覆盖消费者商城、商家管理后台、运营数据看板三类客户端所共用的服务端系统，以及内建的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能力中台。客户端界面视觉设计、第三方支付与物流系统的内部实现不在本报告范围内。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1.3 设计依据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《智选云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电商在线售货系统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需求分析报告》（</w:t>
      </w:r>
      <w:r>
        <w:rPr>
          <w:sz w:val="21"/>
        </w:rPr>
        <w:t>AIECP-SRS-001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</w:t>
      </w:r>
    </w:p>
    <w:p>
      <w:pPr>
        <w:pStyle w:val="ListBullet"/>
        <w:spacing w:line="408" w:lineRule="auto" w:after="60"/>
      </w:pPr>
      <w:r>
        <w:rPr>
          <w:sz w:val="21"/>
        </w:rPr>
        <w:t xml:space="preserve">OAuth2.0 / OpenID Connect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鉴权规范、</w:t>
      </w:r>
      <w:r>
        <w:rPr>
          <w:sz w:val="21"/>
        </w:rPr>
        <w:t xml:space="preserve">RESTful API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设计规范</w:t>
      </w:r>
    </w:p>
    <w:p>
      <w:pPr>
        <w:pStyle w:val="ListBullet"/>
        <w:spacing w:line="408" w:lineRule="auto" w:after="60"/>
      </w:pPr>
      <w:r>
        <w:rPr>
          <w:sz w:val="21"/>
        </w:rPr>
        <w:t xml:space="preserve">OWASP ASVS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应用安全验证标准、</w:t>
      </w:r>
      <w:r>
        <w:rPr>
          <w:sz w:val="21"/>
        </w:rPr>
        <w:t xml:space="preserve">OWASP LLM Top 10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大模型应用安全风险</w:t>
      </w:r>
    </w:p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2 设计目标与原则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2.1 设计目标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382"/>
        <w:gridCol w:w="2592"/>
        <w:gridCol w:w="4666"/>
      </w:tblGrid>
      <w:tr>
        <w:tc>
          <w:tcPr>
            <w:tcW w:type="pct" w:w="8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目标</w:t>
            </w:r>
          </w:p>
        </w:tc>
        <w:tc>
          <w:tcPr>
            <w:tcW w:type="pct" w:w="15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设计含义</w:t>
            </w:r>
          </w:p>
        </w:tc>
        <w:tc>
          <w:tcPr>
            <w:tcW w:type="pct" w:w="2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落地手段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结构可演化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品类与属性的变化不触碰代码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品类树与属性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全部数据化，业务读取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后动态渲染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能力可复用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三项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能力共享同一套基础设施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能力中台统一提供模型网关、向量检索、提示词管理、工具注册与安全护栏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依赖可替换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大模型与算法组件可按需替换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以接口隔离外部依赖，通过工厂与适配器模式实现运行时选择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链路可降级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异常不阻断交易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调用全部包在降级策略内，超时或异常即回落到规则策略</w:t>
            </w:r>
          </w:p>
        </w:tc>
      </w:tr>
      <w:tr>
        <w:tc>
          <w:tcPr>
            <w:tcW w:type="pct" w:w="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风险可观测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行为可追溯、成本可控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全量记录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调用、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token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消耗、工具调用与护栏命中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2.2 设计原则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分层与依赖倒置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：表现层、应用层、领域层、智能能力层、基础设施层自上而下单向依赖；领域层与智能能力层只依赖抽象接口，基础设施层反向实现这些接口。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契约先行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：组件之间以接口契约协作，接口一经发布即保持向后兼容；新增字段而非修改字段。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关注点分离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：业务编排（应用层）、业务规则（领域层）、</w:t>
      </w:r>
      <w:r>
        <w:rPr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决策（智能能力层）、技术实现（基础设施层）四者严格分离。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配置优于编码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：提示词、路由权重、召回路数、排序权重、业务过滤规则均以配置形式管理，支持热更新与灰度。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可测与可回滚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：所有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能力提供离线回放能力；品类版本支持整体回滚。</w:t>
      </w:r>
    </w:p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3 总体架构设计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3.1 架构视图总览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系统采用分层架构</w:t>
      </w:r>
      <w:r>
        <w:rPr>
          <w:sz w:val="21"/>
        </w:rPr>
        <w:t xml:space="preserve"> +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能力中台的组合形态，共分为五层与一个横切公共层：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2419"/>
        <w:gridCol w:w="4666"/>
      </w:tblGrid>
      <w:tr>
        <w:tc>
          <w:tcPr>
            <w:tcW w:type="pct" w:w="9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层次</w:t>
            </w:r>
          </w:p>
        </w:tc>
        <w:tc>
          <w:tcPr>
            <w:tcW w:type="pct" w:w="14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职责</w:t>
            </w:r>
          </w:p>
        </w:tc>
        <w:tc>
          <w:tcPr>
            <w:tcW w:type="pct" w:w="2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主要内容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表现层</w:t>
            </w:r>
          </w:p>
        </w:tc>
        <w:tc>
          <w:tcPr>
            <w:tcW w:type="pct" w:w="1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协议适配与视图渲染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商城端、商家端、运营端三组控制器；统一参数校验与异常转换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应用层</w:t>
            </w:r>
          </w:p>
        </w:tc>
        <w:tc>
          <w:tcPr>
            <w:tcW w:type="pct" w:w="1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用例编排与事务边界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品类应用服务、商品应用服务、订单应用服务、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应用服务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领域层</w:t>
            </w:r>
          </w:p>
        </w:tc>
        <w:tc>
          <w:tcPr>
            <w:tcW w:type="pct" w:w="1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业务规则与领域模型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品类聚合、商品聚合、订单聚合、推荐领域服务、组货领域服务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智能能力层</w:t>
            </w:r>
          </w:p>
        </w:tc>
        <w:tc>
          <w:tcPr>
            <w:tcW w:type="pct" w:w="1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决策与模型协作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能力抽象与策略集、模型网关适配、向量检索、提示词模板、工具注册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基础设施层</w:t>
            </w:r>
          </w:p>
        </w:tc>
        <w:tc>
          <w:tcPr>
            <w:tcW w:type="pct" w:w="1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技术设施实现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持久化、缓存、消息、检索引擎、外部接口适配器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公共层（横切）</w:t>
            </w:r>
          </w:p>
        </w:tc>
        <w:tc>
          <w:tcPr>
            <w:tcW w:type="pct" w:w="1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跨层通用能力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统一响应封装、全局异常体系、通用工具与常量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3.2 分层包图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分层包图给出后端代码的包结构与依赖方向。图中 </w:t>
      </w:r>
      <w:r>
        <w:rPr>
          <w:rFonts w:ascii="Consolas" w:hAnsi="Consolas"/>
          <w:color w:val="8A2B2B"/>
          <w:sz w:val="19"/>
          <w:shd w:val="clear" w:color="auto" w:fill="F4F6F8"/>
        </w:rPr>
        <w:t>domain &lt;.. infrastructure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的反向依赖虚线即为依赖倒置的体现：领域层定义仓储接口，基础设施层提供实现。</w:t>
      </w:r>
      <w:r/>
      <w:r>
        <w:drawing>
          <wp:inline xmlns:a="http://schemas.openxmlformats.org/drawingml/2006/main" xmlns:pic="http://schemas.openxmlformats.org/drawingml/2006/picture">
            <wp:extent cx="38506400" cy="35509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506400" cy="35509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4-1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系统分层包图（源文件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04-01_pkg_layered.puml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765"/>
        <w:gridCol w:w="5875"/>
      </w:tblGrid>
      <w:tr>
        <w:tc>
          <w:tcPr>
            <w:tcW w:type="pct" w:w="1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包路径</w:t>
            </w:r>
          </w:p>
        </w:tc>
        <w:tc>
          <w:tcPr>
            <w:tcW w:type="pct" w:w="34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com.aiecp.presentation.mall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消费者端接口，含商品、购物车、订单、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助手入口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com.aiecp.presentation.merchant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商家端接口，含品类导入、商品发布、库存与营销管理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com.aiecp.presentation.console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运营端接口，含看板、权限、模型与知识库配置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com.aiecp.application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应用服务，负责用例编排、事务边界与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DTO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转换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com.aiecp.domain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聚合、实体、值对象与领域服务，不含任何框架依赖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com.aiecp.ai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能力策略、模型适配、检索增强、提示词与工具注册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com.aiecp.infrastructure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仓储实现、缓存、消息、检索引擎与外部系统适配器</w:t>
            </w:r>
          </w:p>
        </w:tc>
      </w:tr>
      <w:tr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com.aiecp.common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统一响应、异常、工具与常量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4 静态结构设计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4.1 核心服务设计类图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核心服务设计类图给出控制层、应用服务层、领域层、智能能力层与仓储层的关键类及其依赖关系。设计上做了三处关键切分：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品类导入的「解析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校验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建树</w:t>
      </w:r>
      <w:r>
        <w:rPr>
          <w:sz w:val="21"/>
        </w:rPr>
        <w:t xml:space="preserve"> /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衍生生成」被拆为四个独立领域服务，各自可单独测试与复用；</w:t>
      </w:r>
    </w:p>
    <w:p>
      <w:pPr>
        <w:pStyle w:val="ListBullet"/>
        <w:spacing w:line="408" w:lineRule="auto" w:after="60"/>
      </w:pPr>
      <w:r>
        <w:rPr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能力以抽象类</w:t>
      </w:r>
      <w:r>
        <w:rPr>
          <w:sz w:val="21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AiCapability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为基类，三项能力作为具体策略实现，由 </w:t>
      </w:r>
      <w:r>
        <w:rPr>
          <w:rFonts w:ascii="Consolas" w:hAnsi="Consolas"/>
          <w:color w:val="8A2B2B"/>
          <w:sz w:val="19"/>
          <w:shd w:val="clear" w:color="auto" w:fill="F4F6F8"/>
        </w:rPr>
        <w:t>AiCapabilityFactory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按场景选择；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仓储以接口形式定义在领域侧，实现类下沉至基础设施层。</w:t>
      </w:r>
      <w:r/>
      <w:r>
        <w:drawing>
          <wp:inline xmlns:a="http://schemas.openxmlformats.org/drawingml/2006/main" xmlns:pic="http://schemas.openxmlformats.org/drawingml/2006/picture">
            <wp:extent cx="58064400" cy="396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0" cy="396875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4-2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核心服务设计类图（源文件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04-02_class_service.puml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4.1.1 关键类说明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1210"/>
        <w:gridCol w:w="5184"/>
      </w:tblGrid>
      <w:tr>
        <w:tc>
          <w:tcPr>
            <w:tcW w:type="pct" w:w="13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类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 xml:space="preserve"> / </w:t>
            </w:r>
            <w:r>
              <w:rPr>
                <w:b/>
                <w:color w:val="FFFFFF"/>
                <w:sz w:val="19"/>
              </w:rPr>
              <w:t xml:space="preserve"> </w:t>
            </w:r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type="pct" w:w="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pct" w:w="30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职责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CategoryApplicationService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应用服务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编排品类导入用例：调用解析器、校验器、树构建器与动态表单生成器，在单个事务内完成落库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JsonCategoryParser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领域服务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把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文本反序列化为品类草稿对象；语法异常时返回可定位的错误指针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CategorySchemaValidator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领域服务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执行编码唯一性、层级深度、类型白名单、枚举完备性、区间合法性与循环引用等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12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项校验，一次性返回全部错误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CategoryTreeBuilder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领域服务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把品类草稿折叠为品类树，并按继承规则抽取属性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IndexMappingGenerator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领域服务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按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filterable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searchable</w:t>
            </w:r>
            <w:r>
              <w:rPr>
                <w:color w:val="1A1A1A"/>
                <w:sz w:val="19"/>
              </w:rPr>
              <w:t xml:space="preserve"> 标记生成检索引擎的字段映射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DynamicFormGenerator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领域服务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把属性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转换为前端表单描述（字段类型、校验规则、布局分组）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AiApplicationService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应用服务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统一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能力入口，做场景鉴权、参数规整、降级控制与结果后处理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AiCapabilityFactory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工厂类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按场景标识返回对应能力策略；支持运行时注册新能力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AiCapability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抽象类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定义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execute</w:t>
            </w:r>
            <w:r>
              <w:rPr>
                <w:color w:val="1A1A1A"/>
                <w:sz w:val="19"/>
              </w:rPr>
              <w:t xml:space="preserve"> 模板方法与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buildPrompt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postProcess</w:t>
            </w:r>
            <w:r>
              <w:rPr>
                <w:color w:val="1A1A1A"/>
                <w:sz w:val="19"/>
              </w:rPr>
              <w:t xml:space="preserve"> 两个抽象步骤，体现模板方法模式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CategoryRepository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接口</w:t>
            </w:r>
          </w:p>
        </w:tc>
        <w:tc>
          <w:tcPr>
            <w:tcW w:type="pct" w:w="3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品类树的持久化契约，由基础设施层实现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4.2 AI 能力引擎类图</w:t>
      </w:r>
    </w:p>
    <w:p>
      <w:pPr>
        <w:spacing w:line="420" w:lineRule="auto"/>
        <w:jc w:val="both"/>
      </w:pPr>
      <w:r>
        <w:rPr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能力引擎类图是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能力中台的静态结构细化，围绕四条主线组织：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能力抽象与策略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color w:val="8A2B2B"/>
          <w:sz w:val="19"/>
          <w:shd w:val="clear" w:color="auto" w:fill="F4F6F8"/>
        </w:rPr>
        <w:t>AiCapability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作为抽象基类固定执行骨架，三项能力实现差异化提示词构建与后处理；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模型适配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</w:t>
      </w:r>
      <w:r>
        <w:rPr>
          <w:rFonts w:ascii="Consolas" w:hAnsi="Consolas"/>
          <w:color w:val="8A2B2B"/>
          <w:sz w:val="19"/>
          <w:shd w:val="clear" w:color="auto" w:fill="F4F6F8"/>
        </w:rPr>
        <w:t>ILlmGateway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作为统一模型契约，本地模型与云端模型各自适配，</w:t>
      </w:r>
      <w:r>
        <w:rPr>
          <w:rFonts w:ascii="Consolas" w:hAnsi="Consolas"/>
          <w:color w:val="8A2B2B"/>
          <w:sz w:val="19"/>
          <w:shd w:val="clear" w:color="auto" w:fill="F4F6F8"/>
        </w:rPr>
        <w:t>LlmRouter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负责按策略路由与故障转移；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检索增强与工具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：向量检索、重排、提示词模板与工具注册共同构成</w:t>
      </w:r>
      <w:r>
        <w:t xml:space="preserve"> RAG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与工具调用能力；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会话、安全与可观测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：会话记忆、安全护栏、调用审计与</w:t>
      </w:r>
      <w:r>
        <w:rPr>
          <w:sz w:val="21"/>
        </w:rPr>
        <w:t xml:space="preserve"> token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计量对所有能力统一生效。</w:t>
      </w:r>
      <w:r/>
      <w:r>
        <w:drawing>
          <wp:inline xmlns:a="http://schemas.openxmlformats.org/drawingml/2006/main" xmlns:pic="http://schemas.openxmlformats.org/drawingml/2006/picture">
            <wp:extent cx="38468300" cy="517017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68300" cy="517017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4-3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</w:t>
      </w:r>
      <w:r>
        <w:rPr>
          <w:color w:val="444444"/>
          <w:sz w:val="19"/>
        </w:rPr>
        <w:t xml:space="preserve">AI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能力引擎类图（源文件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04-03_class_ai.puml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4.2.1 AiCapability 的模板方法</w:t>
      </w:r>
    </w:p>
    <w:p>
      <w:pPr>
        <w:spacing w:line="420" w:lineRule="auto"/>
        <w:jc w:val="both"/>
      </w:pPr>
      <w:r>
        <w:rPr>
          <w:rFonts w:ascii="Consolas" w:hAnsi="Consolas"/>
          <w:color w:val="8A2B2B"/>
          <w:sz w:val="19"/>
          <w:shd w:val="clear" w:color="auto" w:fill="F4F6F8"/>
        </w:rPr>
        <w:t>AiCapability.execute()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固定以下执行骨架，子类只实现差异化步骤，从而保证三项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能力的安全护栏、审计与降级行为完全一致：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输入护栏检查（提示注入、越权意图、敏感词）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上下文装配（会话记忆、用户画像、页面上下文、品类</w:t>
      </w:r>
      <w:r>
        <w:rPr>
          <w:sz w:val="21"/>
        </w:rPr>
        <w:t xml:space="preserve"> Schema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片段）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调用 </w:t>
      </w:r>
      <w:r>
        <w:rPr>
          <w:rFonts w:ascii="Consolas" w:hAnsi="Consolas"/>
          <w:color w:val="8A2B2B"/>
          <w:sz w:val="19"/>
          <w:shd w:val="clear" w:color="auto" w:fill="F4F6F8"/>
        </w:rPr>
        <w:t>buildPrompt()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构建提示词（子类实现）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按需执行检索增强与工具调用（由子类在提示词中声明的工具集决定）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经 </w:t>
      </w:r>
      <w:r>
        <w:rPr>
          <w:rFonts w:ascii="Consolas" w:hAnsi="Consolas"/>
          <w:color w:val="8A2B2B"/>
          <w:sz w:val="19"/>
          <w:shd w:val="clear" w:color="auto" w:fill="F4F6F8"/>
        </w:rPr>
        <w:t>ILlmGateway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生成结果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调用 </w:t>
      </w:r>
      <w:r>
        <w:rPr>
          <w:rFonts w:ascii="Consolas" w:hAnsi="Consolas"/>
          <w:color w:val="8A2B2B"/>
          <w:sz w:val="19"/>
          <w:shd w:val="clear" w:color="auto" w:fill="F4F6F8"/>
        </w:rPr>
        <w:t>postProcess()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做结构化解构与业务校验（子类实现）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输出护栏检查与安全过滤</w:t>
      </w:r>
    </w:p>
    <w:p>
      <w:pPr>
        <w:pStyle w:val="ListNumber"/>
        <w:numPr>
          <w:ilvl w:val="0"/>
          <w:numId w:val="10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写入调用审计与</w:t>
      </w:r>
      <w:r>
        <w:rPr>
          <w:sz w:val="21"/>
        </w:rPr>
        <w:t xml:space="preserve"> token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计量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4.3 设计模式应用说明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2246"/>
        <w:gridCol w:w="4666"/>
      </w:tblGrid>
      <w:tr>
        <w:tc>
          <w:tcPr>
            <w:tcW w:type="pct" w:w="10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pct" w:w="13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应用位置</w:t>
            </w:r>
          </w:p>
        </w:tc>
        <w:tc>
          <w:tcPr>
            <w:tcW w:type="pct" w:w="2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解决的问题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模板方法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AiCapability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及其子类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统一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能力的执行骨架与安全约束，避免策略实现者遗漏护栏与审计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策略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CustomerServiceCapability / ProductSelectionCapability / BundleCompositionCapability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三项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能力的提示词、检索与后处理差异被封装为可替换策略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工厂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AiCapabilityFactory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按场景标识解耦调用方与具体能力实现，新增能力无需修改调用方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适配器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QwenLlmAdapter / DeepSeekLlmAdapter / CloudApiLlmAdapter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屏蔽不同模型服务在协议、鉴权与参数上的差异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仓储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CategoryRepository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及其实现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隔离领域模型与持久化技术，支持替换存储实现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建造者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CategoryTreeBuilder / DynamicFormGenerator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把复杂的品类树与表单构建过程拆为可测试的分步操作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责任链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业务规则过滤链（下架、无库存、限购、合规）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推荐结果的过滤规则可插拔、可排序、可单独开关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断路器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LlmRouter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的故障转移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单一模型服务异常时自动切换，避免级联故障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5 组件与部署设计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5.1 系统组件图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系统组件图从物理实现视角给出组件划分与依赖关系：客户端经接入层（网关、鉴权、限流）访问应用服务层与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能力中台；</w:t>
      </w:r>
      <w:r>
        <w:rPr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能力中台通过大模型网关统一出口访问模型，通过向量检索服务访问向量库；数据层由关系库、缓存、检索、向量库、对象存储与消息队列共同构成。</w:t>
      </w:r>
      <w:r/>
      <w:r>
        <w:drawing>
          <wp:inline xmlns:a="http://schemas.openxmlformats.org/drawingml/2006/main" xmlns:pic="http://schemas.openxmlformats.org/drawingml/2006/picture">
            <wp:extent cx="24993600" cy="3714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993600" cy="371475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4-4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系统组件图（源文件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04-04_comp_overall.puml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5.2 AI 能力中台组件与接口</w:t>
      </w:r>
    </w:p>
    <w:p>
      <w:pPr>
        <w:spacing w:line="420" w:lineRule="auto"/>
        <w:jc w:val="both"/>
      </w:pPr>
      <w:r>
        <w:rPr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能力中台组件与接口图以</w:t>
      </w:r>
      <w:r>
        <w:rPr>
          <w:sz w:val="21"/>
        </w:rPr>
        <w:t xml:space="preserve"> UML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的「供给接口（</w:t>
      </w:r>
      <w:r>
        <w:rPr>
          <w:sz w:val="21"/>
        </w:rPr>
        <w:t>ball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）」与「需求接口（</w:t>
      </w:r>
      <w:r>
        <w:rPr>
          <w:sz w:val="21"/>
        </w:rPr>
        <w:t>socket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）」刻画组件契约。三个业务能力组件统一供给</w:t>
      </w:r>
      <w:r>
        <w:rPr>
          <w:sz w:val="21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IAiCapability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接口，统一需求 </w:t>
      </w:r>
      <w:r>
        <w:rPr>
          <w:rFonts w:ascii="Consolas" w:hAnsi="Consolas"/>
          <w:color w:val="8A2B2B"/>
          <w:sz w:val="19"/>
          <w:shd w:val="clear" w:color="auto" w:fill="F4F6F8"/>
        </w:rPr>
        <w:t>ILlmGateway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与 </w:t>
      </w:r>
      <w:r>
        <w:rPr>
          <w:rFonts w:ascii="Consolas" w:hAnsi="Consolas"/>
          <w:color w:val="8A2B2B"/>
          <w:sz w:val="19"/>
          <w:shd w:val="clear" w:color="auto" w:fill="F4F6F8"/>
        </w:rPr>
        <w:t>IVectorSearch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；智能选品额外需求画像与商品查询接口；智能组货额外需求规则引擎与商品查询接口。这种契约设计使组件可独立替换与独立扩容。</w:t>
      </w:r>
      <w:r/>
      <w:r>
        <w:drawing>
          <wp:inline xmlns:a="http://schemas.openxmlformats.org/drawingml/2006/main" xmlns:pic="http://schemas.openxmlformats.org/drawingml/2006/picture">
            <wp:extent cx="15405100" cy="2973069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405100" cy="29730699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4-5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</w:t>
      </w:r>
      <w:r>
        <w:rPr>
          <w:color w:val="444444"/>
          <w:sz w:val="19"/>
        </w:rPr>
        <w:t xml:space="preserve">AI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能力中台组件与接口图（源文件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04-05_comp_ai.puml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3"/>
      </w:pPr>
      <w:r>
        <w:rPr>
          <w:rFonts w:ascii="Microsoft YaHei" w:eastAsia="Microsoft YaHei" w:hAnsi="Microsoft YaHei" w:cs="Microsoft YaHei" w:hint="eastAsia"/>
          <w:b/>
          <w:color w:val="2E5C8A"/>
          <w:sz w:val="23"/>
          <w:lang w:eastAsia="zh-CN"/>
        </w:rPr>
        <w:t>5.2.1 核心接口契约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1037"/>
        <w:gridCol w:w="5875"/>
      </w:tblGrid>
      <w:tr>
        <w:tc>
          <w:tcPr>
            <w:tcW w:type="pct" w:w="10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type="pct" w:w="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类型</w:t>
            </w:r>
          </w:p>
        </w:tc>
        <w:tc>
          <w:tcPr>
            <w:tcW w:type="pct" w:w="34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契约说明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IAiCapability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供给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execute(AiContext): AiResult</w:t>
            </w:r>
            <w:r>
              <w:rPr>
                <w:color w:val="1A1A1A"/>
                <w:sz w:val="19"/>
              </w:rPr>
              <w:t xml:space="preserve"> ；约定输入上下文字段、输出结构化结果与降级语义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ILlmGateway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供给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+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需求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chat(Prompt): Completion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stream(Prompt): Flux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embedding(List): List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IVectorSearch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供给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+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需求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retrieve(query, topK): List&lt;Chunk&gt;</w:t>
            </w:r>
            <w:r>
              <w:rPr>
                <w:color w:val="1A1A1A"/>
                <w:sz w:val="19"/>
              </w:rPr>
              <w:t xml:space="preserve"> ；返回带相似度得分的知识片段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IProfileService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需求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getProfile(userId): Profile</w:t>
            </w:r>
            <w:r>
              <w:rPr>
                <w:color w:val="1A1A1A"/>
                <w:sz w:val="19"/>
              </w:rPr>
              <w:t xml:space="preserve"> ；返回偏好品类、价格带与活跃度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IProductQuery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需求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queryByIds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checkAvailability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；供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能力做商品事实校验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IRuleEngine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需求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rulesOf(mainSkuId, scene)</w:t>
            </w:r>
            <w:r>
              <w:rPr>
                <w:color w:val="1A1A1A"/>
                <w:sz w:val="19"/>
              </w:rPr>
              <w:t xml:space="preserve"> ；返回关联规则候选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IAuditLog</w:t>
            </w:r>
          </w:p>
        </w:tc>
        <w:tc>
          <w:tcPr>
            <w:tcW w:type="pct" w:w="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供给</w:t>
            </w:r>
          </w:p>
        </w:tc>
        <w:tc>
          <w:tcPr>
            <w:tcW w:type="pct" w:w="3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log(AiCallRecord)</w:t>
            </w:r>
            <w:r>
              <w:rPr>
                <w:color w:val="1A1A1A"/>
                <w:sz w:val="19"/>
              </w:rPr>
              <w:t xml:space="preserve"> ；统一审计出口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5.3 部署设计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部署图给出生产环境的物理拓扑。整体划分为用户终端、接入与静态资源区、接入区（</w:t>
      </w:r>
      <w:r>
        <w:rPr>
          <w:sz w:val="21"/>
        </w:rPr>
        <w:t>DMZ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）、应用服务区（</w:t>
      </w:r>
      <w:r>
        <w:rPr>
          <w:sz w:val="21"/>
        </w:rPr>
        <w:t xml:space="preserve">Kubernetes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集群）、</w:t>
      </w:r>
      <w:r>
        <w:rPr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推理区与数据区，第三方服务位于系统信任边界之外。</w:t>
      </w:r>
      <w:r/>
      <w:r>
        <w:drawing>
          <wp:inline xmlns:a="http://schemas.openxmlformats.org/drawingml/2006/main" xmlns:pic="http://schemas.openxmlformats.org/drawingml/2006/picture">
            <wp:extent cx="40767000" cy="272796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67000" cy="272796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4-6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系统部署图（源文件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04-06_deploy.puml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2246"/>
        <w:gridCol w:w="4493"/>
      </w:tblGrid>
      <w:tr>
        <w:tc>
          <w:tcPr>
            <w:tcW w:type="pct" w:w="1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分区</w:t>
            </w:r>
          </w:p>
        </w:tc>
        <w:tc>
          <w:tcPr>
            <w:tcW w:type="pct" w:w="13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部署内容</w:t>
            </w:r>
          </w:p>
        </w:tc>
        <w:tc>
          <w:tcPr>
            <w:tcW w:type="pct" w:w="2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设计要点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接入与静态资源区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CDN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Nginx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反向代理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静态资源全量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CDN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化；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Nginx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承担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TLS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卸载、压缩与静态缓存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接入区（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DMZ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）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API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网关节点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×2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双向冗余，承担路由、鉴权、限流、熔断与黑白名单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应用服务区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业务服务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Pod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能力服务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Pod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、定时任务与消息消费者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业务与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服务独立部署、独立扩缩容；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服务故障不影响业务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Pod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推理区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大模型推理服务、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Embedding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与重排服务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可私有化部署，也可经大模型网关路由至云端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API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；支持多模型并行与灰度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数据区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MySQL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主从、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Redis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集群、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Elasticsearch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、向量数据库、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Kafka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、对象存储</w:t>
            </w:r>
          </w:p>
        </w:tc>
        <w:tc>
          <w:tcPr>
            <w:tcW w:type="pct" w:w="2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仅内网可达；读写分离；向量库与检索库独立扩容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6 动态行为设计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6.1 订单状态机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订单状态图定义订单对象从创建到终态的完整生命周期。设计上把「已支付」建模为复合状态，内部包含分单子流程，便于后续扩展多仓拆单与波次分拣。</w:t>
      </w:r>
      <w:r/>
      <w:r>
        <w:drawing>
          <wp:inline xmlns:a="http://schemas.openxmlformats.org/drawingml/2006/main" xmlns:pic="http://schemas.openxmlformats.org/drawingml/2006/picture">
            <wp:extent cx="18326100" cy="342138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8326100" cy="342138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4-7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订单状态图（源文件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04-07_state_order.puml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1210"/>
        <w:gridCol w:w="2592"/>
        <w:gridCol w:w="3629"/>
      </w:tblGrid>
      <w:tr>
        <w:tc>
          <w:tcPr>
            <w:tcW w:type="pct" w:w="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源状态</w:t>
            </w:r>
          </w:p>
        </w:tc>
        <w:tc>
          <w:tcPr>
            <w:tcW w:type="pct" w:w="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目标状态</w:t>
            </w:r>
          </w:p>
        </w:tc>
        <w:tc>
          <w:tcPr>
            <w:tcW w:type="pct" w:w="15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触发事件</w:t>
            </w:r>
          </w:p>
        </w:tc>
        <w:tc>
          <w:tcPr>
            <w:tcW w:type="pct" w:w="2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守卫条件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—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待支付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创建订单成功</w:t>
            </w:r>
          </w:p>
        </w:tc>
        <w:tc>
          <w:tcPr>
            <w:tcW w:type="pct" w:w="2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库存锁定成功且金额计算完成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待支付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已支付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支付成功回调</w:t>
            </w:r>
          </w:p>
        </w:tc>
        <w:tc>
          <w:tcPr>
            <w:tcW w:type="pct" w:w="2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验签通过且幂等校验通过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待支付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已关闭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用户取消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超时未支付</w:t>
            </w:r>
          </w:p>
        </w:tc>
        <w:tc>
          <w:tcPr>
            <w:tcW w:type="pct" w:w="2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解除库存锁定成功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已支付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待发货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商家确认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自动审核通过</w:t>
            </w:r>
          </w:p>
        </w:tc>
        <w:tc>
          <w:tcPr>
            <w:tcW w:type="pct" w:w="2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风控校验通过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待发货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已发货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出库并录入运单号</w:t>
            </w:r>
          </w:p>
        </w:tc>
        <w:tc>
          <w:tcPr>
            <w:tcW w:type="pct" w:w="2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运单号非空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已发货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已完成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确认收货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超时自动确认</w:t>
            </w:r>
          </w:p>
        </w:tc>
        <w:tc>
          <w:tcPr>
            <w:tcW w:type="pct" w:w="2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无进行中的售后退款单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已支付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待发货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已发货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退款中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申请退款</w:t>
            </w:r>
          </w:p>
        </w:tc>
        <w:tc>
          <w:tcPr>
            <w:tcW w:type="pct" w:w="2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订单未被关闭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退款中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已退款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退款成功</w:t>
            </w:r>
          </w:p>
        </w:tc>
        <w:tc>
          <w:tcPr>
            <w:tcW w:type="pct" w:w="2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支付网关返回退款成功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退款中</w:t>
            </w:r>
          </w:p>
        </w:tc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已发货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商家驳回退款</w:t>
            </w:r>
          </w:p>
        </w:tc>
        <w:tc>
          <w:tcPr>
            <w:tcW w:type="pct" w:w="2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订单仍处于可发货状态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6.2 自定义品类 JSON 解析与入库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该时序图细化图</w:t>
      </w:r>
      <w:r>
        <w:rPr>
          <w:sz w:val="21"/>
        </w:rPr>
        <w:t xml:space="preserve"> 3-6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的活动流程，明确了两级校验的先后顺序与两处异常出口，并把「索引映射生成」置于落库之前、事务之外，避免长事务。</w:t>
      </w:r>
      <w:r/>
      <w:r>
        <w:drawing>
          <wp:inline xmlns:a="http://schemas.openxmlformats.org/drawingml/2006/main" xmlns:pic="http://schemas.openxmlformats.org/drawingml/2006/picture">
            <wp:extent cx="45923200" cy="275844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923200" cy="275844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4-9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自定义品类</w:t>
      </w:r>
      <w:r>
        <w:rPr>
          <w:color w:val="444444"/>
          <w:sz w:val="19"/>
        </w:rPr>
        <w:t xml:space="preserve"> JSON 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解析与入库时序图（源文件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04-09_seq_json_import.puml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6.3 下单与支付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下单支付时序图把交易链路的关键一致性点显式表达出来：下单前先锁定库存、支付成功后扣减实际库存、支付结果回调必须幂等、履约通过消息队列解耦触发。</w:t>
      </w:r>
      <w:r/>
      <w:r>
        <w:drawing>
          <wp:inline xmlns:a="http://schemas.openxmlformats.org/drawingml/2006/main" xmlns:pic="http://schemas.openxmlformats.org/drawingml/2006/picture">
            <wp:extent cx="33845500" cy="324612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845500" cy="324612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4-10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消费者下单与支付时序图（源文件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04-10_seq_order.puml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6912"/>
      </w:tblGrid>
      <w:tr>
        <w:tc>
          <w:tcPr>
            <w:tcW w:type="pct" w:w="10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一致性要点</w:t>
            </w:r>
          </w:p>
        </w:tc>
        <w:tc>
          <w:tcPr>
            <w:tcW w:type="pct" w:w="40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设计措施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库存不超卖</w:t>
            </w:r>
          </w:p>
        </w:tc>
        <w:tc>
          <w:tcPr>
            <w:tcW w:type="pct" w:w="4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锁定与扣减均在数据库事务内以行级锁完成，并在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维度增加版本号做乐观校验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支付幂等</w:t>
            </w:r>
          </w:p>
        </w:tc>
        <w:tc>
          <w:tcPr>
            <w:tcW w:type="pct" w:w="4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以支付单号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+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渠道交易号建立唯一索引，重复回调直接返回成功而不重复变更状态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超时关单</w:t>
            </w:r>
          </w:p>
        </w:tc>
        <w:tc>
          <w:tcPr>
            <w:tcW w:type="pct" w:w="4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定时任务扫描超时未支付订单，关闭订单并释放锁定的库存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履约解耦</w:t>
            </w:r>
          </w:p>
        </w:tc>
        <w:tc>
          <w:tcPr>
            <w:tcW w:type="pct" w:w="4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支付成功后仅发布领域事件，履约与通知由独立消费者处理，失败可重试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6.4 智能客服咨询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智能客服时序图体现「意图分流」这一核心设计：知识咨询型意图走检索增强生成，业务工具型意图走受控工具调用，两类意图的结果统一交由大模型组织自然语言答复，最后经安全护栏过滤并以流式方式返回。</w:t>
      </w:r>
      <w:r/>
      <w:r>
        <w:drawing>
          <wp:inline xmlns:a="http://schemas.openxmlformats.org/drawingml/2006/main" xmlns:pic="http://schemas.openxmlformats.org/drawingml/2006/picture">
            <wp:extent cx="38303200" cy="267335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8303200" cy="267335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4-11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智能客服咨询时序图（源文件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04-11_seq_cs.puml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设计要点</w:t>
            </w:r>
          </w:p>
        </w:tc>
        <w:tc>
          <w:tcPr>
            <w:tcW w:type="pct" w:w="39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意图分流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业务事实类问题必须走工具调用获取真实数据，禁止由模型凭上下文推断金额与时效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检索增强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检索结果须经重排后再入提示词，控制上下文长度并提升相关性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流式返回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采用服务端推送，首字延迟优先于完整生成时延，改善体感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降级与转人工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置信度低于阈值或用户主动要求时转人工，并携带会话摘要降低重复沟通成本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6.5 智能选品推荐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智能选品时序图给出推荐链路的请求编排：画像装载、多路并行召回、精排打分、业务规则过滤与多样性重排，最后按结果条数决定正排输出或冷启动兜底。</w:t>
      </w:r>
      <w:r/>
      <w:r>
        <w:drawing>
          <wp:inline xmlns:a="http://schemas.openxmlformats.org/drawingml/2006/main" xmlns:pic="http://schemas.openxmlformats.org/drawingml/2006/picture">
            <wp:extent cx="35941000" cy="270129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5941000" cy="270129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4-12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智能选品推荐时序图（源文件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04-12_seq_selection.puml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6.6 智能组货搭配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智能组货时序图把「大模型生成」与「业务事实校验」明确分离：大模型只负责生成搭配理由与文案，而候选商品的可行性、价格与毛利全部由业务服务计算。这保证了组合方案的商业正确性。</w:t>
      </w:r>
      <w:r/>
      <w:r>
        <w:drawing>
          <wp:inline xmlns:a="http://schemas.openxmlformats.org/drawingml/2006/main" xmlns:pic="http://schemas.openxmlformats.org/drawingml/2006/picture">
            <wp:extent cx="33591500" cy="253111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3591500" cy="253111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4-13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智能组货搭配时序图（源文件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04-13_seq_grouping.puml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7 数据设计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7.1 核心数据模型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核心数据模型图给出</w:t>
      </w:r>
      <w:r>
        <w:rPr>
          <w:sz w:val="21"/>
        </w:rPr>
        <w:t xml:space="preserve"> 18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张核心表及其主外键关联。设计上把「品类结构」与「商品属性」彻底分离：品类与属性表描述「这个品类允许有哪些特征」，商品的属性取值表记录「这个</w:t>
      </w:r>
      <w:r>
        <w:rPr>
          <w:sz w:val="21"/>
        </w:rPr>
        <w:t xml:space="preserve"> SKU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的特征值是什么」，从而支持同一套表结构承载任意自定义品类。</w:t>
      </w:r>
      <w:r/>
      <w:r>
        <w:drawing>
          <wp:inline xmlns:a="http://schemas.openxmlformats.org/drawingml/2006/main" xmlns:pic="http://schemas.openxmlformats.org/drawingml/2006/picture">
            <wp:extent cx="60197999" cy="310769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197999" cy="31076900"/>
                    </a:xfrm>
                    <a:prstGeom prst="rect"/>
                  </pic:spPr>
                </pic:pic>
              </a:graphicData>
            </a:graphic>
          </wp:inline>
        </w:drawing>
      </w:r>
      <w:r/>
    </w:p>
    <w:p>
      <w:pPr>
        <w:spacing w:line="420" w:lineRule="auto" w:before="80" w:after="280"/>
        <w:ind w:firstLine="0"/>
        <w:jc w:val="center"/>
      </w:pP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图</w:t>
      </w:r>
      <w:r>
        <w:rPr>
          <w:color w:val="444444"/>
          <w:sz w:val="19"/>
        </w:rPr>
        <w:t xml:space="preserve"> 4-8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 xml:space="preserve">　核心数据模型图（源文件</w:t>
      </w:r>
      <w:r>
        <w:rPr>
          <w:color w:val="444444"/>
          <w:sz w:val="19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04-08_erd.puml</w:t>
      </w:r>
      <w:r>
        <w:rPr>
          <w:rFonts w:ascii="Microsoft YaHei" w:eastAsia="Microsoft YaHei" w:hAnsi="Microsoft YaHei" w:cs="Microsoft YaHei" w:hint="eastAsia"/>
          <w:color w:val="444444"/>
          <w:sz w:val="19"/>
          <w:lang w:eastAsia="zh-CN"/>
        </w:rPr>
        <w:t>）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7.2 核心表清单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246"/>
        <w:gridCol w:w="1728"/>
        <w:gridCol w:w="4666"/>
      </w:tblGrid>
      <w:tr>
        <w:tc>
          <w:tcPr>
            <w:tcW w:type="pct" w:w="13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表名</w:t>
            </w:r>
          </w:p>
        </w:tc>
        <w:tc>
          <w:tcPr>
            <w:tcW w:type="pct" w:w="10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中文名称</w:t>
            </w:r>
          </w:p>
        </w:tc>
        <w:tc>
          <w:tcPr>
            <w:tcW w:type="pct" w:w="2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关键设计说明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t_category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以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path</w:t>
            </w:r>
            <w:r>
              <w:rPr>
                <w:color w:val="1A1A1A"/>
                <w:sz w:val="19"/>
              </w:rPr>
              <w:t xml:space="preserve"> 冗余全路径便于子树查询；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version</w:t>
            </w:r>
            <w:r>
              <w:rPr>
                <w:color w:val="1A1A1A"/>
                <w:sz w:val="19"/>
              </w:rPr>
              <w:t xml:space="preserve"> 支持品类版本管理与回滚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t_category_attr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品类属性表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的落库形态；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value_range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以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存储枚举项或数值区间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t_index_mapping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索引映射表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记录品类到检索引擎字段映射的关系与同步状态，支持重建索引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t_product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SPU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主表，挂载品类与商家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t_sku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规格、售价与市场价；规格文本冗余便于检索展示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t_sku_attr_value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属性值表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以「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SKU +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属性」为维度的稀疏表，承载任意自定义属性取值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t_inventory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库存表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version</w:t>
            </w:r>
            <w:r>
              <w:rPr>
                <w:color w:val="1A1A1A"/>
                <w:sz w:val="19"/>
              </w:rPr>
              <w:t xml:space="preserve"> 字段支持乐观锁；总库存与锁定量分离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t_user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用户表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手机号唯一索引；敏感字段加密存储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t_user_profile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用户画像表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偏好品类以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存储，便于画像迭代不锁表结构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t_user_behavior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用户行为表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按时间分区；承载推荐系统的样本回流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t_order / t_order_item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订单表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订单明细表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订单号全局唯一；明细保留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source</w:t>
            </w:r>
            <w:r>
              <w:rPr>
                <w:color w:val="1A1A1A"/>
                <w:sz w:val="19"/>
              </w:rPr>
              <w:t xml:space="preserve"> 字段用于识别组货来源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t_payment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支付单表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渠道交易号唯一索引，保证回调幂等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t_conversation / t_message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会话表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消息表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支持多轮上下文回放；保留置信度用于质量分析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t_knowledge_chunk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知识片段表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记录切片内容与向量标识，支撑检索增强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t_bundle / t_bundle_item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组货方案表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/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组货明细表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记录场景标签、组合价、毛利率与策略标识，用于效果归因</w:t>
            </w:r>
          </w:p>
        </w:tc>
      </w:tr>
      <w:tr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t_recommend_log</w:t>
            </w:r>
          </w:p>
        </w:tc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推荐日志表</w:t>
            </w:r>
          </w:p>
        </w:tc>
        <w:tc>
          <w:tcPr>
            <w:tcW w:type="pct" w:w="2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记录场景、策略与结果快照，支持离线回放与实验分析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7.3 索引与容量设计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6739"/>
      </w:tblGrid>
      <w:tr>
        <w:tc>
          <w:tcPr>
            <w:tcW w:type="pct" w:w="1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pct" w:w="39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设计策略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品类子树查询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在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t_category.path</w:t>
            </w:r>
            <w:r>
              <w:rPr>
                <w:color w:val="1A1A1A"/>
                <w:sz w:val="19"/>
              </w:rPr>
              <w:t xml:space="preserve"> 上建立前缀索引，子树查询以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LIKE 'path%'</w:t>
            </w:r>
            <w:r>
              <w:rPr>
                <w:color w:val="1A1A1A"/>
                <w:sz w:val="19"/>
              </w:rPr>
              <w:t xml:space="preserve"> 实现，避免递归查询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商品检索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由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Elasticsearch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承载；索引字段随品类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动态生成，字段类型由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dataType</w:t>
            </w:r>
            <w:r>
              <w:rPr>
                <w:color w:val="1A1A1A"/>
                <w:sz w:val="19"/>
              </w:rPr>
              <w:t xml:space="preserve"> 映射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向量检索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知识片段与商品描述向量分别建集合；采用近似最近邻索引以控制检索延迟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行为数据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t_user_behavior</w:t>
            </w:r>
            <w:r>
              <w:rPr>
                <w:color w:val="1A1A1A"/>
                <w:sz w:val="19"/>
              </w:rPr>
              <w:t xml:space="preserve"> 与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t_recommend_log</w:t>
            </w:r>
            <w:r>
              <w:rPr>
                <w:color w:val="1A1A1A"/>
                <w:sz w:val="19"/>
              </w:rPr>
              <w:t xml:space="preserve"> 按月分区，历史分区归档至对象存储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缓存策略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品类树与属性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长驻缓存并在导入成功后主动失效；推荐结果按用户与场景短时缓存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分库分表</w:t>
            </w:r>
          </w:p>
        </w:tc>
        <w:tc>
          <w:tcPr>
            <w:tcW w:type="pct" w:w="3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订单与行为类大表按用户标识分片；品类与商品表数据量可控，暂不拆分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8 接口设计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8.1 接口风格与统一约定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对外接口采用</w:t>
      </w:r>
      <w:r>
        <w:rPr>
          <w:sz w:val="21"/>
        </w:rPr>
        <w:t xml:space="preserve"> RESTful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风格，路径以</w:t>
      </w:r>
      <w:r>
        <w:rPr>
          <w:sz w:val="21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/api/v1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为前缀；</w:t>
      </w:r>
      <w:r>
        <w:rPr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流式接口采用服务端推送。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统一响应体：</w:t>
      </w:r>
      <w:r>
        <w:rPr>
          <w:rFonts w:ascii="Consolas" w:hAnsi="Consolas"/>
          <w:color w:val="8A2B2B"/>
          <w:sz w:val="19"/>
          <w:shd w:val="clear" w:color="auto" w:fill="F4F6F8"/>
        </w:rPr>
        <w:t>{ code, message, data, traceId }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；</w:t>
      </w:r>
      <w:r>
        <w:rPr>
          <w:rFonts w:ascii="Consolas" w:hAnsi="Consolas"/>
          <w:color w:val="8A2B2B"/>
          <w:sz w:val="19"/>
          <w:shd w:val="clear" w:color="auto" w:fill="F4F6F8"/>
        </w:rPr>
        <w:t>code</w:t>
      </w:r>
      <w:r>
        <w:rPr>
          <w:sz w:val="21"/>
        </w:rPr>
        <w:t xml:space="preserve">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为</w:t>
      </w:r>
      <w:r>
        <w:rPr>
          <w:sz w:val="21"/>
        </w:rPr>
        <w:t xml:space="preserve"> 0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表示成功。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统一鉴权：请求头携带访问令牌；网关完成令牌校验与用户上下文注入。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统一幂等：写接口支持幂等键请求头，相同幂等键在有效期内只生效一次。</w:t>
      </w:r>
    </w:p>
    <w:p>
      <w:pPr>
        <w:pStyle w:val="ListBullet"/>
        <w:spacing w:line="408" w:lineRule="auto" w:after="60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统一追踪：全链路透传 </w:t>
      </w:r>
      <w:r>
        <w:rPr>
          <w:rFonts w:ascii="Consolas" w:hAnsi="Consolas"/>
          <w:color w:val="8A2B2B"/>
          <w:sz w:val="19"/>
          <w:shd w:val="clear" w:color="auto" w:fill="F4F6F8"/>
        </w:rPr>
        <w:t>traceId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，</w:t>
      </w:r>
      <w:r>
        <w:rPr>
          <w:sz w:val="21"/>
        </w:rPr>
        <w:t xml:space="preserve">AI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调用额外透传</w:t>
      </w:r>
      <w:r>
        <w:rPr>
          <w:sz w:val="21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aiTraceId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以便关联模型调用日志。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8.2 关键接口清单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691"/>
        <w:gridCol w:w="2765"/>
        <w:gridCol w:w="2246"/>
        <w:gridCol w:w="2938"/>
      </w:tblGrid>
      <w:tr>
        <w:tc>
          <w:tcPr>
            <w:tcW w:type="pct" w:w="4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方法</w:t>
            </w:r>
          </w:p>
        </w:tc>
        <w:tc>
          <w:tcPr>
            <w:tcW w:type="pct" w:w="16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路径</w:t>
            </w:r>
          </w:p>
        </w:tc>
        <w:tc>
          <w:tcPr>
            <w:tcW w:type="pct" w:w="13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说明</w:t>
            </w:r>
          </w:p>
        </w:tc>
        <w:tc>
          <w:tcPr>
            <w:tcW w:type="pct" w:w="1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对应需求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/api/v1/merchant/categories/validate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校验（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dry-run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，无副作用）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FR-07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FR-08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/api/v1/merchant/categories/import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正式导入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FR-07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FR-08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GET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/api/v1/merchant/categories/{id}/form-schema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获取动态商品发布表单描述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FR-09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GET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/api/v1/mall/categories/tree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获取品类树（消费者端）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FR-01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GET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/api/v1/mall/products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商品检索与筛选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FR-01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GET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/api/v1/mall/products/{id}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商品详情与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SKU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列表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FR-02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/api/v1/mall/cart/items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加入购物车（支持单品与组合）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FR-03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FR-23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/api/v1/mall/orders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创建订单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FR-04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/api/v1/mall/payments/{orderId}/pay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发起支付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FR-04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/api/v1/callback/payment/{channel}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支付结果回调（验签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+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幂等）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FR-04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GET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/api/v1/mall/orders/{id}/logistics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物流轨迹查询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FR-05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/api/v1/ai/customer-service/chat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智能客服对话（流式）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FR-13 ~ FR-16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/api/v1/ai/recommend/selection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智能选品推荐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FR-17 ~ FR-20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/api/v1/ai/bundle/compose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智能组货方案生成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FR-21 ~ FR-23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/api/v1/console/ai/prompts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提示词模板发布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FR-27</w:t>
            </w:r>
          </w:p>
        </w:tc>
      </w:tr>
      <w:tr>
        <w:tc>
          <w:tcPr>
            <w:tcW w:type="pct" w:w="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POST</w:t>
            </w:r>
          </w:p>
        </w:tc>
        <w:tc>
          <w:tcPr>
            <w:tcW w:type="pct" w:w="16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/api/v1/console/knowledge/documents</w:t>
            </w:r>
          </w:p>
        </w:tc>
        <w:tc>
          <w:tcPr>
            <w:tcW w:type="pct" w:w="1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知识库文档导入与切片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FR-27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8.3 品类导入接口详细设计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接口：</w:t>
      </w:r>
      <w:r>
        <w:rPr>
          <w:rFonts w:ascii="Consolas" w:hAnsi="Consolas"/>
          <w:color w:val="8A2B2B"/>
          <w:sz w:val="19"/>
          <w:shd w:val="clear" w:color="auto" w:fill="F4F6F8"/>
        </w:rPr>
        <w:t>POST /api/v1/merchant/categories/import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555"/>
        <w:gridCol w:w="7085"/>
      </w:tblGrid>
      <w:tr>
        <w:tc>
          <w:tcPr>
            <w:tcW w:type="pct" w:w="9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pct" w:w="4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请求体</w:t>
            </w:r>
          </w:p>
        </w:tc>
        <w:tc>
          <w:tcPr>
            <w:tcW w:type="pct" w:w="4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{ "mode": "dryRun | commit", "jsonText": "&lt;品类定义 JSON 字符串&gt;", "overwrite": false }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成功响应</w:t>
            </w:r>
          </w:p>
        </w:tc>
        <w:tc>
          <w:tcPr>
            <w:tcW w:type="pct" w:w="4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{ "code":0, "data": { "categoryId":"...", "version":3, "generated": { "attrCount":12, "indexFields":7, "formSchemaId":"..." } } }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语法错误响应</w:t>
            </w:r>
          </w:p>
        </w:tc>
        <w:tc>
          <w:tcPr>
            <w:tcW w:type="pct" w:w="4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{ "code":40001, "message":"JSON 语法错误", "data": { "line":37, "column":12, "path":"category.children[1]", "detail":"Expected ',' or '}'" } }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校验错误响应</w:t>
            </w:r>
          </w:p>
        </w:tc>
        <w:tc>
          <w:tcPr>
            <w:tcW w:type="pct" w:w="4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{ "code":42201, "message":"品类结构校验未通过", "data": { "errors":[ {"rule":"V-03","path":"category.children[0].code","detail":"品类编码重复"} ] } }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幂等要求</w:t>
            </w:r>
          </w:p>
        </w:tc>
        <w:tc>
          <w:tcPr>
            <w:tcW w:type="pct" w:w="4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相同幂等键的重复提交返回首次结果，不重复创建品类版本</w:t>
            </w:r>
          </w:p>
        </w:tc>
      </w:tr>
      <w:tr>
        <w:tc>
          <w:tcPr>
            <w:tcW w:type="pct" w:w="9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事务边界</w:t>
            </w:r>
          </w:p>
        </w:tc>
        <w:tc>
          <w:tcPr>
            <w:tcW w:type="pct" w:w="4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仅落库阶段处于事务内；解析、校验与索引映射生成均在事务外完成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8.4 AI 能力接口详细设计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901"/>
        <w:gridCol w:w="2592"/>
        <w:gridCol w:w="4147"/>
      </w:tblGrid>
      <w:tr>
        <w:tc>
          <w:tcPr>
            <w:tcW w:type="pct" w:w="11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接口</w:t>
            </w:r>
          </w:p>
        </w:tc>
        <w:tc>
          <w:tcPr>
            <w:tcW w:type="pct" w:w="15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关键请求字段</w:t>
            </w:r>
          </w:p>
        </w:tc>
        <w:tc>
          <w:tcPr>
            <w:tcW w:type="pct" w:w="24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关键响应字段与降级语义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智能客服对话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sessionId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question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pageContext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stream</w:t>
            </w:r>
          </w:p>
        </w:tc>
        <w:tc>
          <w:tcPr>
            <w:tcW w:type="pct" w:w="2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流式返回增量文本；结束帧携带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intent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confidence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citations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relatedOrder</w:t>
            </w:r>
            <w:r>
              <w:rPr>
                <w:color w:val="1A1A1A"/>
                <w:sz w:val="19"/>
              </w:rPr>
              <w:t xml:space="preserve"> ；置信度不足时携带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transferToAgent</w:t>
            </w:r>
            <w:r>
              <w:rPr>
                <w:color w:val="1A1A1A"/>
                <w:sz w:val="19"/>
              </w:rPr>
              <w:t xml:space="preserve"> 建议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智能选品推荐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scene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pageContext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limit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experimentTag</w:t>
            </w:r>
          </w:p>
        </w:tc>
        <w:tc>
          <w:tcPr>
            <w:tcW w:type="pct" w:w="2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返回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items[]</w:t>
            </w:r>
            <w:r>
              <w:rPr>
                <w:color w:val="1A1A1A"/>
                <w:sz w:val="19"/>
              </w:rPr>
              <w:t xml:space="preserve"> （含商品标识、排序分、推荐理由、召回来源）；冷启动时返回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fallback=true</w:t>
            </w:r>
            <w:r>
              <w:rPr>
                <w:color w:val="1A1A1A"/>
                <w:sz w:val="19"/>
              </w:rPr>
              <w:t xml:space="preserve"> 与热门列表</w:t>
            </w:r>
          </w:p>
        </w:tc>
      </w:tr>
      <w:tr>
        <w:tc>
          <w:tcPr>
            <w:tcW w:type="pct" w:w="11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智能组货生成</w:t>
            </w:r>
          </w:p>
        </w:tc>
        <w:tc>
          <w:tcPr>
            <w:tcW w:type="pct" w:w="15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mainSkuId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sceneTag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budgetRange</w:t>
            </w:r>
            <w:r>
              <w:rPr>
                <w:color w:val="1A1A1A"/>
                <w:sz w:val="19"/>
              </w:rPr>
              <w:t xml:space="preserve"> 、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limit</w:t>
            </w:r>
          </w:p>
        </w:tc>
        <w:tc>
          <w:tcPr>
            <w:tcW w:type="pct" w:w="24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返回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bundles[]</w:t>
            </w:r>
            <w:r>
              <w:rPr>
                <w:color w:val="1A1A1A"/>
                <w:sz w:val="19"/>
              </w:rPr>
              <w:t xml:space="preserve"> （含主推标识、组合价、优惠明细、毛利等级、搭配理由）；无可行组合时返回 </w:t>
            </w:r>
            <w:r>
              <w:rPr>
                <w:rFonts w:ascii="Consolas" w:hAnsi="Consolas"/>
                <w:color w:val="1A1A1A"/>
                <w:sz w:val="19"/>
                <w:shd w:val="clear" w:color="auto" w:fill="F4F6F8"/>
              </w:rPr>
              <w:t>degraded=true</w:t>
            </w:r>
            <w:r>
              <w:rPr>
                <w:color w:val="1A1A1A"/>
                <w:sz w:val="19"/>
              </w:rPr>
              <w:t xml:space="preserve"> 与同类单品列表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  <w:color w:val="000000"/>
              </w:rPr>
              <w:t>降级契约：</w:t>
            </w:r>
          </w:p>
          <w:p>
            <w:r>
              <w:t xml:space="preserve">所有 AI 接口在响应体中必须携带 </w:t>
            </w:r>
            <w:r>
              <w:rPr>
                <w:rFonts w:ascii="Consolas" w:hAnsi="Consolas" w:eastAsia="Consolas"/>
                <w:color w:val="8A2B2B"/>
                <w:sz w:val="19"/>
              </w:rPr>
              <w:t>degraded</w:t>
            </w:r>
          </w:p>
          <w:p>
            <w:r>
              <w:t xml:space="preserve"> 与 </w:t>
            </w:r>
            <w:r>
              <w:rPr>
                <w:rFonts w:ascii="Consolas" w:hAnsi="Consolas" w:eastAsia="Consolas"/>
                <w:color w:val="8A2B2B"/>
                <w:sz w:val="19"/>
              </w:rPr>
              <w:t>degradeReason</w:t>
            </w:r>
          </w:p>
          <w:p>
            <w:r>
              <w:t xml:space="preserve"> 字段。调用方据此决定前端提示文案，禁止把降级结果当作正常结果呈现给用户。</w:t>
              <w:br/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9 非功能性设计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210"/>
        <w:gridCol w:w="7430"/>
      </w:tblGrid>
      <w:tr>
        <w:tc>
          <w:tcPr>
            <w:tcW w:type="pct" w:w="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维度</w:t>
            </w:r>
          </w:p>
        </w:tc>
        <w:tc>
          <w:tcPr>
            <w:tcW w:type="pct" w:w="43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设计措施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性能</w:t>
            </w:r>
          </w:p>
        </w:tc>
        <w:tc>
          <w:tcPr>
            <w:tcW w:type="pct" w:w="4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热点数据多级缓存（本地缓存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+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分布式缓存）；商品检索下沉至检索引擎；推荐结果短时缓存；品类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长驻内存；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推理侧支持结果流式返回与批量向量化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可用性</w:t>
            </w:r>
          </w:p>
        </w:tc>
        <w:tc>
          <w:tcPr>
            <w:tcW w:type="pct" w:w="4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网关与应用服务多副本；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能力具备模型级故障转移与规则级降级；关键依赖配置熔断与限流阈值；数据存储主从与定期备份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安全</w:t>
            </w:r>
          </w:p>
        </w:tc>
        <w:tc>
          <w:tcPr>
            <w:tcW w:type="pct" w:w="4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统一鉴权与细粒度授权；传输加密；敏感字段加密存储与日志脱敏；支付回调验签与防重放；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侧实施输入输出双向护栏、工具白名单与参数白名单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可扩展</w:t>
            </w:r>
          </w:p>
        </w:tc>
        <w:tc>
          <w:tcPr>
            <w:tcW w:type="pct" w:w="4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品类结构、提示词、模型路由、召回路数与排序权重全部配置化；组件间以接口契约协作；新增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能力只需实现策略并注册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可观测</w:t>
            </w:r>
          </w:p>
        </w:tc>
        <w:tc>
          <w:tcPr>
            <w:tcW w:type="pct" w:w="4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全链路追踪贯通业务与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调用；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调用记录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token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消耗、首字时延、总时延、护栏命中与工具调用明细；按业务指标与资源指标分级告警</w:t>
            </w:r>
          </w:p>
        </w:tc>
      </w:tr>
      <w:tr>
        <w:tc>
          <w:tcPr>
            <w:tcW w:type="pct" w:w="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可维护</w:t>
            </w:r>
          </w:p>
        </w:tc>
        <w:tc>
          <w:tcPr>
            <w:tcW w:type="pct" w:w="4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严格分层与依赖倒置；领域层无框架依赖；核心领域服务可脱离容器独立单测；品类解析与校验具备完整用例集</w:t>
            </w:r>
          </w:p>
        </w:tc>
      </w:tr>
    </w:tbl>
    <w:p>
      <w:pPr>
        <w:pStyle w:val="Heading1"/>
      </w:pPr>
      <w:r>
        <w:rPr>
          <w:rFonts w:ascii="Microsoft YaHei" w:hAnsi="Microsoft YaHei" w:eastAsia="Microsoft YaHei" w:cs="Microsoft YaHei" w:hint="eastAsia"/>
          <w:b/>
          <w:color w:val="1F4E79"/>
          <w:sz w:val="32"/>
          <w:lang w:eastAsia="zh-CN"/>
        </w:rPr>
        <w:t>10 实施与交付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10.1 代码结构约定</w:t>
      </w:r>
    </w:p>
    <w:p>
      <w:pPr>
        <w:spacing w:line="420" w:lineRule="auto"/>
        <w:jc w:val="both"/>
      </w:pPr>
      <w:r>
        <w:rPr>
          <w:rFonts w:ascii="Microsoft YaHei" w:eastAsia="Microsoft YaHei" w:hAnsi="Microsoft YaHei" w:cs="Microsoft YaHei" w:hint="eastAsia"/>
          <w:sz w:val="21"/>
          <w:lang w:eastAsia="zh-CN"/>
        </w:rPr>
        <w:t>后端采用多模块工程：</w:t>
      </w:r>
      <w:r>
        <w:rPr>
          <w:rFonts w:ascii="Consolas" w:hAnsi="Consolas"/>
          <w:color w:val="8A2B2B"/>
          <w:sz w:val="19"/>
          <w:shd w:val="clear" w:color="auto" w:fill="F4F6F8"/>
        </w:rPr>
        <w:t>aiecp-common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color w:val="8A2B2B"/>
          <w:sz w:val="19"/>
          <w:shd w:val="clear" w:color="auto" w:fill="F4F6F8"/>
        </w:rPr>
        <w:t>aiecp-domain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color w:val="8A2B2B"/>
          <w:sz w:val="19"/>
          <w:shd w:val="clear" w:color="auto" w:fill="F4F6F8"/>
        </w:rPr>
        <w:t>aiecp-ai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color w:val="8A2B2B"/>
          <w:sz w:val="19"/>
          <w:shd w:val="clear" w:color="auto" w:fill="F4F6F8"/>
        </w:rPr>
        <w:t>aiecp-application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color w:val="8A2B2B"/>
          <w:sz w:val="19"/>
          <w:shd w:val="clear" w:color="auto" w:fill="F4F6F8"/>
        </w:rPr>
        <w:t>aiecp-infrastructure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、</w:t>
      </w:r>
      <w:r>
        <w:rPr>
          <w:rFonts w:ascii="Consolas" w:hAnsi="Consolas"/>
          <w:color w:val="8A2B2B"/>
          <w:sz w:val="19"/>
          <w:shd w:val="clear" w:color="auto" w:fill="F4F6F8"/>
        </w:rPr>
        <w:t>aiecp-bootstrap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。前端分为消费者端、商家端与运营端三个独立工程，共用组件库与接口</w:t>
      </w:r>
      <w:r>
        <w:rPr>
          <w:sz w:val="21"/>
        </w:rPr>
        <w:t xml:space="preserve"> SDK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。</w:t>
      </w:r>
    </w:p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10.2 技术选型建议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1728"/>
        <w:gridCol w:w="2938"/>
        <w:gridCol w:w="3974"/>
      </w:tblGrid>
      <w:tr>
        <w:tc>
          <w:tcPr>
            <w:tcW w:type="pct" w:w="10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层次</w:t>
            </w:r>
          </w:p>
        </w:tc>
        <w:tc>
          <w:tcPr>
            <w:tcW w:type="pct" w:w="17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选型建议</w:t>
            </w:r>
          </w:p>
        </w:tc>
        <w:tc>
          <w:tcPr>
            <w:tcW w:type="pct" w:w="23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说明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后端框架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Java 17 + Spring Boot 3.x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生态成熟，与容器化部署、可观测组件衔接顺畅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关系数据库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MySQL 8.x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JSON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字段，便于承载画像与索引映射等半结构化数据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缓存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Redis 7.x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承担会话记忆、热点数据与计数器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检索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Elasticsearch 8.x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支持动态字段映射，契合品类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Schema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动态生成索引的需求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向量检索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向量数据库（支持近似最近邻索引）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承载知识片段与商品语义向量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消息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Kafka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承载订单事件、行为埋点与索引同步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容器编排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Kubernetes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业务与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AI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服务独立扩缩容</w:t>
            </w:r>
          </w:p>
        </w:tc>
      </w:tr>
      <w:tr>
        <w:tc>
          <w:tcPr>
            <w:tcW w:type="pct" w:w="10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大模型</w:t>
            </w:r>
          </w:p>
        </w:tc>
        <w:tc>
          <w:tcPr>
            <w:tcW w:type="pct" w:w="17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统一接入网关，支持私有化与云端双通道</w:t>
            </w:r>
          </w:p>
        </w:tc>
        <w:tc>
          <w:tcPr>
            <w:tcW w:type="pct" w:w="23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通过配置路由，避免业务代码绑定具体模型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10.3 交付物清单</w:t>
      </w:r>
    </w:p>
    <w:tbl>
      <w:tblPr>
        <w:tblW w:type="pct" w:w="5000"/>
        <w:tblLayout w:type="autofit"/>
        <w:tblLook w:firstColumn="1" w:firstRow="1" w:lastColumn="0" w:lastRow="0" w:noHBand="0" w:noVBand="1" w:val="04A0"/>
      </w:tblPr>
      <w:tblGrid>
        <w:gridCol w:w="2074"/>
        <w:gridCol w:w="6566"/>
      </w:tblGrid>
      <w:tr>
        <w:tc>
          <w:tcPr>
            <w:tcW w:type="pct" w:w="12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交付物</w:t>
            </w:r>
          </w:p>
        </w:tc>
        <w:tc>
          <w:tcPr>
            <w:tcW w:type="pct" w:w="3800"/>
            <w:shd w:fill="1F4E79" w:val="clear" w:color="auto"/>
            <w:tcBorders>
              <w:top w:val="single" w:sz="6" w:space="0" w:color="1F4E79"/>
              <w:bottom w:val="single" w:sz="6" w:space="0" w:color="1F4E79"/>
              <w:left w:val="single" w:sz="6" w:space="0" w:color="1F4E79"/>
              <w:right w:val="single" w:sz="6" w:space="0" w:color="1F4E79"/>
            </w:tcBorders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  <w:spacing w:line="240" w:lineRule="auto" w:before="47" w:after="47"/>
            </w:pPr>
            <w:r>
              <w:rPr>
                <w:b/>
                <w:color w:val="FFFFFF"/>
                <w:sz w:val="19"/>
              </w:rPr>
              <w:t>内容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需求分析报告</w:t>
            </w:r>
          </w:p>
        </w:tc>
        <w:tc>
          <w:tcPr>
            <w:tcW w:type="pct" w:w="3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AIECP-SRS-001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Word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文档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+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静态网页版）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系统设计报告</w:t>
            </w:r>
          </w:p>
        </w:tc>
        <w:tc>
          <w:tcPr>
            <w:tcW w:type="pct" w:w="3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AIECP-SDD-001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Word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文档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+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静态网页版）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UML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模型源文件</w:t>
            </w:r>
          </w:p>
        </w:tc>
        <w:tc>
          <w:tcPr>
            <w:tcW w:type="pct" w:w="3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22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个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 PlantUML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源文件，覆盖用例图、活动图、类图、包图、组件图、部署图、状态图、时序图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UML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渲染图集</w:t>
            </w:r>
          </w:p>
        </w:tc>
        <w:tc>
          <w:tcPr>
            <w:tcW w:type="pct" w:w="3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 xml:space="preserve">22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幅矢量图（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SVG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）与高分辨率位图（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PNG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，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200 DPI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）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整合静态站点</w:t>
            </w:r>
          </w:p>
        </w:tc>
        <w:tc>
          <w:tcPr>
            <w:tcW w:type="pct" w:w="3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含渲染脚本、站点构建脚本与可离线浏览的完整站点</w:t>
            </w:r>
          </w:p>
        </w:tc>
      </w:tr>
      <w:tr>
        <w:tc>
          <w:tcPr>
            <w:tcW w:type="pct" w:w="12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需求追踪矩阵</w:t>
            </w:r>
          </w:p>
        </w:tc>
        <w:tc>
          <w:tcPr>
            <w:tcW w:type="pct" w:w="3800"/>
            <w:vAlign w:val="center"/>
            <w:tcBorders>
              <w:top w:val="single" w:sz="6" w:space="0" w:color="B7C6D6"/>
              <w:bottom w:val="single" w:sz="6" w:space="0" w:color="B7C6D6"/>
              <w:left w:val="single" w:sz="6" w:space="0" w:color="B7C6D6"/>
              <w:right w:val="single" w:sz="6" w:space="0" w:color="B7C6D6"/>
            </w:tcBorders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line="240" w:lineRule="auto" w:before="47" w:after="47"/>
            </w:pPr>
            <w:r>
              <w:rPr>
                <w:color w:val="1A1A1A"/>
                <w:sz w:val="19"/>
              </w:rPr>
              <w:t>需求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用例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 xml:space="preserve">—UML 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图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—</w:t>
            </w:r>
            <w:r>
              <w:rPr>
                <w:color w:val="1A1A1A"/>
                <w:sz w:val="19"/>
              </w:rPr>
              <w:t xml:space="preserve"> </w:t>
            </w:r>
            <w:r>
              <w:rPr>
                <w:color w:val="1A1A1A"/>
                <w:sz w:val="19"/>
              </w:rPr>
              <w:t>设计章节的双向追溯关系</w:t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b/>
          <w:color w:val="1F4E79"/>
          <w:sz w:val="26"/>
          <w:lang w:eastAsia="zh-CN"/>
        </w:rPr>
        <w:t>10.4 后续演进建议</w:t>
      </w:r>
    </w:p>
    <w:p>
      <w:pPr>
        <w:pStyle w:val="ListNumber"/>
        <w:numPr>
          <w:ilvl w:val="0"/>
          <w:numId w:val="11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品类规范演进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：为品类</w:t>
      </w:r>
      <w:r>
        <w:rPr>
          <w:sz w:val="21"/>
        </w:rPr>
        <w:t xml:space="preserve"> JSON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引入</w:t>
      </w:r>
      <w:r>
        <w:rPr>
          <w:sz w:val="21"/>
        </w:rPr>
        <w:t xml:space="preserve"> </w:t>
      </w:r>
      <w:r>
        <w:rPr>
          <w:rFonts w:ascii="Consolas" w:hAnsi="Consolas"/>
          <w:color w:val="8A2B2B"/>
          <w:sz w:val="19"/>
          <w:shd w:val="clear" w:color="auto" w:fill="F4F6F8"/>
        </w:rPr>
        <w:t>extensions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 xml:space="preserve"> 保留字段，允许在不破坏兼容性的前提下扩展自定义语义。</w:t>
      </w:r>
    </w:p>
    <w:p>
      <w:pPr>
        <w:pStyle w:val="ListNumber"/>
        <w:numPr>
          <w:ilvl w:val="0"/>
          <w:numId w:val="11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AI 能力增强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：在智能客服引入多模态输入（图片识别商品），在智能组货引入季节与地域约束。</w:t>
      </w:r>
    </w:p>
    <w:p>
      <w:pPr>
        <w:pStyle w:val="ListNumber"/>
        <w:numPr>
          <w:ilvl w:val="0"/>
          <w:numId w:val="11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推荐体系深化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：建设统一的特征平台与在线学习链路，缩短模型迭代周期。</w:t>
      </w:r>
    </w:p>
    <w:p>
      <w:pPr>
        <w:pStyle w:val="ListNumber"/>
        <w:numPr>
          <w:ilvl w:val="0"/>
          <w:numId w:val="11"/>
        </w:numPr>
        <w:spacing w:line="408" w:lineRule="auto" w:after="60"/>
      </w:pPr>
      <w:r>
        <w:rPr>
          <w:rFonts w:ascii="Microsoft YaHei" w:eastAsia="Microsoft YaHei" w:hAnsi="Microsoft YaHei" w:cs="Microsoft YaHei" w:hint="eastAsia"/>
          <w:b/>
          <w:sz w:val="21"/>
          <w:lang w:eastAsia="zh-CN"/>
        </w:rPr>
        <w:t>成本治理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：建立按业务场景的</w:t>
      </w:r>
      <w:r>
        <w:rPr>
          <w:sz w:val="21"/>
        </w:rPr>
        <w:t xml:space="preserve"> token </w:t>
      </w:r>
      <w:r>
        <w:rPr>
          <w:rFonts w:ascii="Microsoft YaHei" w:eastAsia="Microsoft YaHei" w:hAnsi="Microsoft YaHei" w:cs="Microsoft YaHei" w:hint="eastAsia"/>
          <w:sz w:val="21"/>
          <w:lang w:eastAsia="zh-CN"/>
        </w:rPr>
        <w:t>预算与配额机制，避免</w:t>
      </w:r>
      <w:r>
        <w:rPr>
          <w:sz w:val="21"/>
        </w:rPr>
        <w:t xml:space="preserve"> AI </w:t>
      </w:r>
      <w:r>
        <w:rPr>
          <w:rFonts w:ascii="Microsoft YaHei" w:eastAsia="Microsoft YaHei" w:hAnsi="Microsoft YaHei" w:cs="Microsoft YaHei" w:hint="eastAsia"/>
          <w:lang w:eastAsia="zh-CN"/>
        </w:rPr>
        <w:t>成本失控。</w:t>
      </w:r>
      <w:r/>
      <w:r/>
      <w:r/>
    </w:p>
    <w:sectPr w:rsidR="00FC693F" w:rsidRPr="0006063C" w:rsidSect="00034616">
      <w:footerReference w:type="default" r:id="rId22"/>
      <w:pgSz w:w="11906" w:h="16838"/>
      <w:pgMar w:top="1361" w:right="1474" w:bottom="1247" w:left="1474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479" w:val="center"/>
        <w:tab w:pos="8958" w:val="right"/>
      </w:tabs>
    </w:pPr>
    <w:r>
      <w:tab/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ab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57" w:lineRule="auto"/>
      <w:jc w:val="both"/>
    </w:pPr>
    <w:rPr>
      <w:rFonts w:ascii="Microsoft YaHei" w:hAnsi="Microsoft YaHei" w:eastAsia="Microsoft YaHei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200"/>
      <w:outlineLvl w:val="0"/>
    </w:pPr>
    <w:rPr>
      <w:rFonts w:ascii="Microsoft YaHei" w:hAnsi="Microsoft YaHei" w:eastAsia="Microsoft YaHe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6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/>
      <w:b/>
      <w:bCs/>
      <w:color w:val="2E5C8A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100"/>
      <w:outlineLvl w:val="3"/>
    </w:pPr>
    <w:rPr>
      <w:rFonts w:asciiTheme="majorHAnsi" w:eastAsiaTheme="majorEastAsia" w:hAnsiTheme="majorHAnsi" w:cstheme="majorBidi"/>
      <w:b/>
      <w:bCs/>
      <w:i/>
      <w:iCs/>
      <w:color w:val="2E5C8A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