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5DD723">
      <w:pPr>
        <w:spacing w:before="0" w:after="0" w:line="500" w:lineRule="exact"/>
        <w:ind w:firstLine="0"/>
        <w:jc w:val="center"/>
        <w:rPr>
          <w:rFonts w:ascii="方正小标宋简体" w:hAnsi="方正小标宋简体" w:eastAsia="方正小标宋简体" w:cs="方正小标宋简体"/>
          <w:b w:val="0"/>
          <w:sz w:val="44"/>
        </w:rPr>
      </w:pPr>
      <w:r>
        <w:rPr>
          <w:rFonts w:ascii="方正小标宋简体" w:hAnsi="方正小标宋简体" w:eastAsia="方正小标宋简体" w:cs="方正小标宋简体"/>
          <w:b w:val="0"/>
          <w:sz w:val="44"/>
        </w:rPr>
        <w:t>沁源县决策式AI智能体辅助监测平台</w:t>
      </w:r>
    </w:p>
    <w:p w14:paraId="72080B3C">
      <w:pPr>
        <w:spacing w:before="0" w:after="0" w:line="500" w:lineRule="exact"/>
        <w:ind w:firstLine="0"/>
        <w:jc w:val="center"/>
        <w:rPr>
          <w:rFonts w:hint="eastAsia" w:ascii="方正小标宋简体" w:hAnsi="方正小标宋简体" w:eastAsia="方正小标宋简体" w:cs="方正小标宋简体"/>
          <w:b w:val="0"/>
          <w:sz w:val="44"/>
          <w:lang w:eastAsia="zh-CN"/>
        </w:rPr>
      </w:pPr>
      <w:r>
        <w:rPr>
          <w:rFonts w:ascii="方正小标宋简体" w:hAnsi="方正小标宋简体" w:eastAsia="方正小标宋简体" w:cs="方正小标宋简体"/>
          <w:b w:val="0"/>
          <w:sz w:val="44"/>
        </w:rPr>
        <w:t>建设方案</w:t>
      </w:r>
    </w:p>
    <w:p w14:paraId="790C7A26">
      <w:pPr>
        <w:spacing w:before="0" w:after="0" w:line="500" w:lineRule="exact"/>
        <w:ind w:firstLine="0"/>
        <w:jc w:val="center"/>
        <w:rPr>
          <w:rFonts w:hint="eastAsia" w:ascii="方正小标宋简体" w:hAnsi="方正小标宋简体" w:eastAsia="方正小标宋简体" w:cs="方正小标宋简体"/>
          <w:b w:val="0"/>
          <w:sz w:val="44"/>
          <w:lang w:eastAsia="zh-CN"/>
        </w:rPr>
      </w:pPr>
    </w:p>
    <w:p w14:paraId="5B276E33">
      <w:pPr>
        <w:spacing w:before="0" w:after="0" w:line="500" w:lineRule="exact"/>
        <w:ind w:firstLine="1000"/>
      </w:pPr>
      <w:r>
        <w:rPr>
          <w:rFonts w:ascii="黑体" w:hAnsi="黑体" w:eastAsia="黑体" w:cs="黑体"/>
          <w:b w:val="0"/>
          <w:sz w:val="32"/>
        </w:rPr>
        <w:t>一、建设背景与总体目标</w:t>
      </w:r>
    </w:p>
    <w:p w14:paraId="6B8F020E">
      <w:pPr>
        <w:spacing w:before="0" w:after="0" w:line="500" w:lineRule="exact"/>
        <w:ind w:firstLine="1000"/>
      </w:pPr>
      <w:r>
        <w:rPr>
          <w:rFonts w:ascii="楷体_GB2312" w:hAnsi="楷体_GB2312" w:eastAsia="楷体_GB2312" w:cs="楷体_GB2312"/>
          <w:b w:val="0"/>
          <w:sz w:val="32"/>
        </w:rPr>
        <w:t>（一）建设背景</w:t>
      </w:r>
    </w:p>
    <w:p w14:paraId="1130EAFA">
      <w:pPr>
        <w:spacing w:before="0" w:after="0" w:line="500" w:lineRule="exact"/>
        <w:ind w:firstLine="1000"/>
      </w:pPr>
      <w:r>
        <w:rPr>
          <w:rFonts w:ascii="仿宋_GB2312" w:hAnsi="仿宋_GB2312" w:eastAsia="仿宋_GB2312" w:cs="仿宋_GB2312"/>
          <w:b w:val="0"/>
          <w:sz w:val="32"/>
        </w:rPr>
        <w:t>为进一步提升沁源县煤矿智能化监管效能，筑牢安全生产防线，强化产能运行管控，结合我</w:t>
      </w:r>
      <w:bookmarkStart w:id="0" w:name="_GoBack"/>
      <w:bookmarkEnd w:id="0"/>
      <w:r>
        <w:rPr>
          <w:rFonts w:ascii="仿宋_GB2312" w:hAnsi="仿宋_GB2312" w:eastAsia="仿宋_GB2312" w:cs="仿宋_GB2312"/>
          <w:b w:val="0"/>
          <w:sz w:val="32"/>
        </w:rPr>
        <w:t>县煤矿监管实际与现有信息化基础，依托决策式AI智能体技术，充分复用现有系统数据资源，构建覆盖事前预警、事中响应、事后复盘的全链条监管体系。平台坚持不新增井下硬件、不干扰企业生产、不增加额外负担的建设方向，通过专业数学模型与智能算法释放数据价值，推动监管模式由被动处置向主动预判转变。</w:t>
      </w:r>
    </w:p>
    <w:p w14:paraId="5190920E">
      <w:pPr>
        <w:spacing w:before="0" w:after="0" w:line="500" w:lineRule="exact"/>
        <w:ind w:firstLine="1000"/>
      </w:pPr>
      <w:r>
        <w:rPr>
          <w:rFonts w:ascii="仿宋_GB2312" w:hAnsi="仿宋_GB2312" w:eastAsia="仿宋_GB2312" w:cs="仿宋_GB2312"/>
          <w:b w:val="0"/>
          <w:sz w:val="32"/>
        </w:rPr>
        <w:t>当前沁源县各矿井已建成人员定位、安全监测监控、主通风机监控等安全系统，积累了大量基础数据。但各系统数据分散存储、独立运行，未能形成监管合力。部分矿井填报数据与实际生产存在偏差，传统人工核查方式效率有限、覆盖不足。建设决策式AI智能体辅助监测平台，旨在通过技术手段打通数据壁垒，实现安全风险智能预警和生产数据交叉核验，为县级监管部门提供高效精准的辅助决策支撑。</w:t>
      </w:r>
    </w:p>
    <w:p w14:paraId="5BB5073C">
      <w:pPr>
        <w:spacing w:before="0" w:after="0" w:line="500" w:lineRule="exact"/>
        <w:ind w:firstLine="1000"/>
      </w:pPr>
      <w:r>
        <w:rPr>
          <w:rFonts w:ascii="楷体_GB2312" w:hAnsi="楷体_GB2312" w:eastAsia="楷体_GB2312" w:cs="楷体_GB2312"/>
          <w:b w:val="0"/>
          <w:sz w:val="32"/>
        </w:rPr>
        <w:t>（二）总体目标</w:t>
      </w:r>
    </w:p>
    <w:p w14:paraId="52A28BAD">
      <w:pPr>
        <w:spacing w:before="0" w:after="0" w:line="500" w:lineRule="exact"/>
        <w:ind w:firstLine="1000"/>
      </w:pPr>
      <w:r>
        <w:rPr>
          <w:rFonts w:ascii="仿宋_GB2312" w:hAnsi="仿宋_GB2312" w:eastAsia="仿宋_GB2312" w:cs="仿宋_GB2312"/>
          <w:b/>
          <w:sz w:val="32"/>
        </w:rPr>
        <w:t>1.事前预警</w:t>
      </w:r>
    </w:p>
    <w:p w14:paraId="7E0A5FDF">
      <w:pPr>
        <w:spacing w:before="0" w:after="0" w:line="500" w:lineRule="exact"/>
        <w:ind w:firstLine="1000"/>
      </w:pPr>
      <w:r>
        <w:rPr>
          <w:rFonts w:ascii="仿宋_GB2312" w:hAnsi="仿宋_GB2312" w:eastAsia="仿宋_GB2312" w:cs="仿宋_GB2312"/>
          <w:b w:val="0"/>
          <w:sz w:val="32"/>
        </w:rPr>
        <w:t>依托实时采集的安全类数据与定期报送的生产类数据，通过智能体自动识别人员超员、瓦斯浓度异常、通风系统运行异常等安全风险，同步研判生产填报数据的异常偏差，推动监管关口前移，做到风险隐患早发现、早提醒、早介入。</w:t>
      </w:r>
    </w:p>
    <w:p w14:paraId="0879725E">
      <w:pPr>
        <w:spacing w:before="0" w:after="0" w:line="500" w:lineRule="exact"/>
        <w:ind w:firstLine="1000"/>
      </w:pPr>
      <w:r>
        <w:rPr>
          <w:rFonts w:ascii="仿宋_GB2312" w:hAnsi="仿宋_GB2312" w:eastAsia="仿宋_GB2312" w:cs="仿宋_GB2312"/>
          <w:b/>
          <w:sz w:val="32"/>
        </w:rPr>
        <w:t>2.事中响应</w:t>
      </w:r>
    </w:p>
    <w:p w14:paraId="032FE71C">
      <w:pPr>
        <w:spacing w:before="0" w:after="0" w:line="500" w:lineRule="exact"/>
        <w:ind w:firstLine="1000"/>
      </w:pPr>
      <w:r>
        <w:rPr>
          <w:rFonts w:ascii="仿宋_GB2312" w:hAnsi="仿宋_GB2312" w:eastAsia="仿宋_GB2312" w:cs="仿宋_GB2312"/>
          <w:b w:val="0"/>
          <w:sz w:val="32"/>
        </w:rPr>
        <w:t>建立标准化预警处置机制，预警信息生成后第一时间推送至对应监管部门与属地责任单位，全程跟踪处置进度，督促隐患及时核查管控，确保风险响应迅速、处置闭环到位，有效防范隐患升级扩大。</w:t>
      </w:r>
    </w:p>
    <w:p w14:paraId="2CD6CFA7">
      <w:pPr>
        <w:spacing w:before="0" w:after="0" w:line="500" w:lineRule="exact"/>
        <w:ind w:firstLine="1000"/>
      </w:pPr>
      <w:r>
        <w:rPr>
          <w:rFonts w:ascii="仿宋_GB2312" w:hAnsi="仿宋_GB2312" w:eastAsia="仿宋_GB2312" w:cs="仿宋_GB2312"/>
          <w:b/>
          <w:sz w:val="32"/>
        </w:rPr>
        <w:t>3.事后复盘</w:t>
      </w:r>
    </w:p>
    <w:p w14:paraId="3AA08D3C">
      <w:pPr>
        <w:spacing w:before="0" w:after="0" w:line="500" w:lineRule="exact"/>
        <w:ind w:firstLine="1000"/>
      </w:pPr>
      <w:r>
        <w:rPr>
          <w:rFonts w:ascii="仿宋_GB2312" w:hAnsi="仿宋_GB2312" w:eastAsia="仿宋_GB2312" w:cs="仿宋_GB2312"/>
          <w:b w:val="0"/>
          <w:sz w:val="32"/>
        </w:rPr>
        <w:t>对已办结的预警事件、核查事项进行全流程回溯分析，总结风险发生规律，查找监管薄弱环节，持续优化模型参数，实现监管能力的闭环提升与持续完善。</w:t>
      </w:r>
    </w:p>
    <w:p w14:paraId="596E3BC5">
      <w:pPr>
        <w:spacing w:before="0" w:after="0" w:line="500" w:lineRule="exact"/>
        <w:ind w:firstLine="1000"/>
      </w:pPr>
      <w:r>
        <w:rPr>
          <w:rFonts w:ascii="黑体" w:hAnsi="黑体" w:eastAsia="黑体" w:cs="黑体"/>
          <w:b w:val="0"/>
          <w:sz w:val="32"/>
        </w:rPr>
        <w:t>二、核心建设原则</w:t>
      </w:r>
    </w:p>
    <w:p w14:paraId="056A44CE">
      <w:pPr>
        <w:spacing w:before="0" w:after="0" w:line="500" w:lineRule="exact"/>
        <w:ind w:firstLine="1000"/>
      </w:pPr>
      <w:r>
        <w:rPr>
          <w:rFonts w:ascii="楷体_GB2312" w:hAnsi="楷体_GB2312" w:eastAsia="楷体_GB2312" w:cs="楷体_GB2312"/>
          <w:b w:val="0"/>
          <w:sz w:val="32"/>
        </w:rPr>
        <w:t>（一）坚持利旧挖潜，严控新增投入</w:t>
      </w:r>
    </w:p>
    <w:p w14:paraId="2F9DAD78">
      <w:pPr>
        <w:spacing w:before="0" w:after="0" w:line="500" w:lineRule="exact"/>
        <w:ind w:firstLine="1000"/>
      </w:pPr>
      <w:r>
        <w:rPr>
          <w:rFonts w:ascii="仿宋_GB2312" w:hAnsi="仿宋_GB2312" w:eastAsia="仿宋_GB2312" w:cs="仿宋_GB2312"/>
          <w:b w:val="0"/>
          <w:sz w:val="32"/>
        </w:rPr>
        <w:t>平台充分复用矿井已建成的人员定位、安全监测监控、主通风机监控等系统资源，用电量数据优先从市能源局平台自动调取，出煤量数据优先从煤矿产量监测系统接入，不再新增井下采集设备，避免重复建设，节约财政资金，减轻企业负担。</w:t>
      </w:r>
    </w:p>
    <w:p w14:paraId="5AD24324">
      <w:pPr>
        <w:spacing w:before="0" w:after="0" w:line="500" w:lineRule="exact"/>
        <w:ind w:firstLine="1000"/>
      </w:pPr>
      <w:r>
        <w:rPr>
          <w:rFonts w:ascii="楷体_GB2312" w:hAnsi="楷体_GB2312" w:eastAsia="楷体_GB2312" w:cs="楷体_GB2312"/>
          <w:b w:val="0"/>
          <w:sz w:val="32"/>
        </w:rPr>
        <w:t>（二）坚持权责清晰，做到监而不控</w:t>
      </w:r>
    </w:p>
    <w:p w14:paraId="53271C42">
      <w:pPr>
        <w:spacing w:before="0" w:after="0" w:line="500" w:lineRule="exact"/>
        <w:ind w:firstLine="1000"/>
      </w:pPr>
      <w:r>
        <w:rPr>
          <w:rFonts w:ascii="仿宋_GB2312" w:hAnsi="仿宋_GB2312" w:eastAsia="仿宋_GB2312" w:cs="仿宋_GB2312"/>
          <w:b w:val="0"/>
          <w:sz w:val="32"/>
        </w:rPr>
        <w:t>智能体仅对各系统数据进行只读式调取与分析，绝不干预矿井生产控制系统运行，不承担生产侧管理责任。煤矿企业对人工填报数据的真实性、完整性负主体责任，填报数据作为生产监管的主要依据，智能体核验结果为监管工作提供线索参考。</w:t>
      </w:r>
    </w:p>
    <w:p w14:paraId="27EE509F">
      <w:pPr>
        <w:spacing w:before="0" w:after="0" w:line="500" w:lineRule="exact"/>
        <w:ind w:firstLine="1000"/>
      </w:pPr>
      <w:r>
        <w:rPr>
          <w:rFonts w:ascii="楷体_GB2312" w:hAnsi="楷体_GB2312" w:eastAsia="楷体_GB2312" w:cs="楷体_GB2312"/>
          <w:b w:val="0"/>
          <w:sz w:val="32"/>
        </w:rPr>
        <w:t>（三）坚持试点先行，稳步有序推进</w:t>
      </w:r>
    </w:p>
    <w:p w14:paraId="340EF60A">
      <w:pPr>
        <w:spacing w:before="0" w:after="0" w:line="500" w:lineRule="exact"/>
        <w:ind w:firstLine="1000"/>
      </w:pPr>
      <w:r>
        <w:rPr>
          <w:rFonts w:ascii="仿宋_GB2312" w:hAnsi="仿宋_GB2312" w:eastAsia="仿宋_GB2312" w:cs="仿宋_GB2312"/>
          <w:b w:val="0"/>
          <w:sz w:val="32"/>
        </w:rPr>
        <w:t>优先选取管理规范、数据基础扎实的矿井开展试点验证，校准本地算法参数与核验标准，确认实效后逐步扩大覆盖范围。功能落地遵循先安全后生产、先基础后深化的节奏，稳步推进平台能力升级。</w:t>
      </w:r>
    </w:p>
    <w:p w14:paraId="28572AD7">
      <w:pPr>
        <w:spacing w:before="0" w:after="0" w:line="500" w:lineRule="exact"/>
        <w:ind w:firstLine="1000"/>
      </w:pPr>
      <w:r>
        <w:rPr>
          <w:rFonts w:ascii="楷体_GB2312" w:hAnsi="楷体_GB2312" w:eastAsia="楷体_GB2312" w:cs="楷体_GB2312"/>
          <w:b w:val="0"/>
          <w:sz w:val="32"/>
        </w:rPr>
        <w:t>（四）坚持问题导向，突出实效优先</w:t>
      </w:r>
    </w:p>
    <w:p w14:paraId="6CEAFE50">
      <w:pPr>
        <w:spacing w:before="0" w:after="0" w:line="500" w:lineRule="exact"/>
        <w:ind w:firstLine="1000"/>
      </w:pPr>
      <w:r>
        <w:rPr>
          <w:rFonts w:ascii="仿宋_GB2312" w:hAnsi="仿宋_GB2312" w:eastAsia="仿宋_GB2312" w:cs="仿宋_GB2312"/>
          <w:b w:val="0"/>
          <w:sz w:val="32"/>
        </w:rPr>
        <w:t>平台建设立足解决实际监管问题，不追求大而全的系统架构，聚焦安全预警和产量核验两个核心场景，确保每项功能对应明确的监管需求。建设过程中根据试点反馈持续调整优化，以实际监管效果作为检验标准。</w:t>
      </w:r>
    </w:p>
    <w:p w14:paraId="34758DB4">
      <w:pPr>
        <w:spacing w:before="0" w:after="0" w:line="500" w:lineRule="exact"/>
        <w:ind w:firstLine="1000"/>
      </w:pPr>
      <w:r>
        <w:rPr>
          <w:rFonts w:ascii="黑体" w:hAnsi="黑体" w:eastAsia="黑体" w:cs="黑体"/>
          <w:b w:val="0"/>
          <w:sz w:val="32"/>
        </w:rPr>
        <w:t>三、两级部署架构</w:t>
      </w:r>
    </w:p>
    <w:p w14:paraId="0E7DA227">
      <w:pPr>
        <w:spacing w:before="0" w:after="0" w:line="500" w:lineRule="exact"/>
        <w:ind w:firstLine="1000"/>
      </w:pPr>
      <w:r>
        <w:rPr>
          <w:rFonts w:ascii="仿宋_GB2312" w:hAnsi="仿宋_GB2312" w:eastAsia="仿宋_GB2312" w:cs="仿宋_GB2312"/>
          <w:b w:val="0"/>
          <w:sz w:val="32"/>
        </w:rPr>
        <w:t>平台采用矿端边缘智能体与县级辅助监管平台两级部署模式，兼顾数据处理实时性与全局分析统筹性。矿端智能体负责前端数据采集与基础研判，县级平台负责数据整合归集与深度分析，两级协同形成完整的数据处理与监管调度链条。</w:t>
      </w:r>
    </w:p>
    <w:p w14:paraId="1C34E404">
      <w:pPr>
        <w:spacing w:before="0" w:after="0" w:line="500" w:lineRule="exact"/>
        <w:ind w:firstLine="1000"/>
      </w:pPr>
      <w:r>
        <w:rPr>
          <w:rFonts w:ascii="楷体_GB2312" w:hAnsi="楷体_GB2312" w:eastAsia="楷体_GB2312" w:cs="楷体_GB2312"/>
          <w:b w:val="0"/>
          <w:sz w:val="32"/>
        </w:rPr>
        <w:t>（一）矿端边缘智能体</w:t>
      </w:r>
    </w:p>
    <w:p w14:paraId="45BB3769">
      <w:pPr>
        <w:spacing w:before="0" w:after="0" w:line="500" w:lineRule="exact"/>
        <w:ind w:firstLine="1000"/>
      </w:pPr>
      <w:r>
        <w:rPr>
          <w:rFonts w:ascii="仿宋_GB2312" w:hAnsi="仿宋_GB2312" w:eastAsia="仿宋_GB2312" w:cs="仿宋_GB2312"/>
          <w:b w:val="0"/>
          <w:sz w:val="32"/>
        </w:rPr>
        <w:t>矿端边缘智能体部署在各矿井机房，由矿方提供主机硬件，平台方部署软件。承担前端数据处理与基础研判职能，具备以下4项核心能力。</w:t>
      </w:r>
    </w:p>
    <w:p w14:paraId="34600A3F">
      <w:pPr>
        <w:spacing w:before="0" w:after="0" w:line="500" w:lineRule="exact"/>
        <w:ind w:firstLine="1000"/>
      </w:pPr>
      <w:r>
        <w:rPr>
          <w:rFonts w:ascii="仿宋_GB2312" w:hAnsi="仿宋_GB2312" w:eastAsia="仿宋_GB2312" w:cs="仿宋_GB2312"/>
          <w:b/>
          <w:sz w:val="32"/>
        </w:rPr>
        <w:t>1.实时数据采集</w:t>
      </w:r>
    </w:p>
    <w:p w14:paraId="36664BB6">
      <w:pPr>
        <w:spacing w:before="0" w:after="0" w:line="500" w:lineRule="exact"/>
        <w:ind w:firstLine="1000"/>
      </w:pPr>
      <w:r>
        <w:rPr>
          <w:rFonts w:ascii="仿宋_GB2312" w:hAnsi="仿宋_GB2312" w:eastAsia="仿宋_GB2312" w:cs="仿宋_GB2312"/>
          <w:b w:val="0"/>
          <w:sz w:val="32"/>
        </w:rPr>
        <w:t>直连矿井人员定位、安全监测监控、主通风机监控等安全系统，自动完成数据清洗和格式标准化处理。采集范围涵盖井下实时人数、人员分布位置、各采掘工作面及回风巷道甲烷浓度、主回风口风速风压总风量、生产动力用电数据等。安全类数据实时采集，用电数据按小时聚合。</w:t>
      </w:r>
    </w:p>
    <w:p w14:paraId="27428A72">
      <w:pPr>
        <w:spacing w:before="0" w:after="0" w:line="500" w:lineRule="exact"/>
        <w:ind w:firstLine="1000"/>
      </w:pPr>
      <w:r>
        <w:rPr>
          <w:rFonts w:ascii="仿宋_GB2312" w:hAnsi="仿宋_GB2312" w:eastAsia="仿宋_GB2312" w:cs="仿宋_GB2312"/>
          <w:b/>
          <w:sz w:val="32"/>
        </w:rPr>
        <w:t>2.基础规则研判</w:t>
      </w:r>
    </w:p>
    <w:p w14:paraId="29ECC04B">
      <w:pPr>
        <w:spacing w:before="0" w:after="0" w:line="500" w:lineRule="exact"/>
        <w:ind w:firstLine="1000"/>
      </w:pPr>
      <w:r>
        <w:rPr>
          <w:rFonts w:ascii="仿宋_GB2312" w:hAnsi="仿宋_GB2312" w:eastAsia="仿宋_GB2312" w:cs="仿宋_GB2312"/>
          <w:b w:val="0"/>
          <w:sz w:val="32"/>
        </w:rPr>
        <w:t>内置安全预警基础规则，对瓦斯超限、人员超员、风量异常等明确阈值的异常情形即时触发告警。研判规则严格依据《煤矿安全规程》和相关行业标准设定，支持按矿井瓦斯等级、开采工艺、地质条件等差异化配置。</w:t>
      </w:r>
    </w:p>
    <w:p w14:paraId="521C385F">
      <w:pPr>
        <w:spacing w:before="0" w:after="0" w:line="500" w:lineRule="exact"/>
        <w:ind w:firstLine="1000"/>
      </w:pPr>
      <w:r>
        <w:rPr>
          <w:rFonts w:ascii="仿宋_GB2312" w:hAnsi="仿宋_GB2312" w:eastAsia="仿宋_GB2312" w:cs="仿宋_GB2312"/>
          <w:b/>
          <w:sz w:val="32"/>
        </w:rPr>
        <w:t>3.填报初核校验</w:t>
      </w:r>
    </w:p>
    <w:p w14:paraId="183EC7F4">
      <w:pPr>
        <w:spacing w:before="0" w:after="0" w:line="500" w:lineRule="exact"/>
        <w:ind w:firstLine="1000"/>
      </w:pPr>
      <w:r>
        <w:rPr>
          <w:rFonts w:ascii="仿宋_GB2312" w:hAnsi="仿宋_GB2312" w:eastAsia="仿宋_GB2312" w:cs="仿宋_GB2312"/>
          <w:b w:val="0"/>
          <w:sz w:val="32"/>
        </w:rPr>
        <w:t>承接企业人工填报入口，自动开展数值合理性、周期匹配度等初步校验。对不符合规范的数据提示企业修正。校验逻辑包括数值范围校验、环比同比波动校验、多维度交叉校验等，从源头提升填报数据质量。</w:t>
      </w:r>
    </w:p>
    <w:p w14:paraId="28317360">
      <w:pPr>
        <w:spacing w:before="0" w:after="0" w:line="500" w:lineRule="exact"/>
        <w:ind w:firstLine="1000"/>
      </w:pPr>
      <w:r>
        <w:rPr>
          <w:rFonts w:ascii="仿宋_GB2312" w:hAnsi="仿宋_GB2312" w:eastAsia="仿宋_GB2312" w:cs="仿宋_GB2312"/>
          <w:b/>
          <w:sz w:val="32"/>
        </w:rPr>
        <w:t>4.数据不全过渡</w:t>
      </w:r>
    </w:p>
    <w:p w14:paraId="5520914D">
      <w:pPr>
        <w:spacing w:before="0" w:after="0" w:line="500" w:lineRule="exact"/>
        <w:ind w:firstLine="1000"/>
      </w:pPr>
      <w:r>
        <w:rPr>
          <w:rFonts w:ascii="仿宋_GB2312" w:hAnsi="仿宋_GB2312" w:eastAsia="仿宋_GB2312" w:cs="仿宋_GB2312"/>
          <w:b w:val="0"/>
          <w:sz w:val="32"/>
        </w:rPr>
        <w:t>针对暂未实现自动采集的数据，提供人工录入交互接口，支持电话抄表、台账导入等方式补录数据，确保数据不断档。待系统整改完成后切换为自动采集模式，实现数据采集方式的平滑过渡。</w:t>
      </w:r>
    </w:p>
    <w:p w14:paraId="157236D9">
      <w:pPr>
        <w:spacing w:before="0" w:after="0" w:line="500" w:lineRule="exact"/>
        <w:ind w:firstLine="1000"/>
      </w:pPr>
      <w:r>
        <w:rPr>
          <w:rFonts w:ascii="仿宋_GB2312" w:hAnsi="仿宋_GB2312" w:eastAsia="仿宋_GB2312" w:cs="仿宋_GB2312"/>
          <w:b w:val="0"/>
          <w:sz w:val="32"/>
        </w:rPr>
        <w:t>矿端智能体全程仅读取数据，不触碰矿井生产控制逻辑，确保生产运行安全独立。</w:t>
      </w:r>
    </w:p>
    <w:p w14:paraId="1758E78E">
      <w:pPr>
        <w:spacing w:before="0" w:after="0" w:line="500" w:lineRule="exact"/>
        <w:ind w:firstLine="1000"/>
      </w:pPr>
      <w:r>
        <w:rPr>
          <w:rFonts w:ascii="楷体_GB2312" w:hAnsi="楷体_GB2312" w:eastAsia="楷体_GB2312" w:cs="楷体_GB2312"/>
          <w:b w:val="0"/>
          <w:sz w:val="32"/>
        </w:rPr>
        <w:t>（二）县级辅助监管平台</w:t>
      </w:r>
    </w:p>
    <w:p w14:paraId="5173D098">
      <w:pPr>
        <w:spacing w:before="0" w:after="0" w:line="500" w:lineRule="exact"/>
        <w:ind w:firstLine="1000"/>
      </w:pPr>
      <w:r>
        <w:rPr>
          <w:rFonts w:ascii="仿宋_GB2312" w:hAnsi="仿宋_GB2312" w:eastAsia="仿宋_GB2312" w:cs="仿宋_GB2312"/>
          <w:b w:val="0"/>
          <w:sz w:val="32"/>
        </w:rPr>
        <w:t>县级辅助监管平台部署在县政府数据机房，承担全局分析与监管调度支撑职能，具备以下4项核心能力。</w:t>
      </w:r>
    </w:p>
    <w:p w14:paraId="7FA1EF01">
      <w:pPr>
        <w:spacing w:before="0" w:after="0" w:line="500" w:lineRule="exact"/>
        <w:ind w:firstLine="1000"/>
      </w:pPr>
      <w:r>
        <w:rPr>
          <w:rFonts w:ascii="仿宋_GB2312" w:hAnsi="仿宋_GB2312" w:eastAsia="仿宋_GB2312" w:cs="仿宋_GB2312"/>
          <w:b/>
          <w:sz w:val="32"/>
        </w:rPr>
        <w:t>1.数据整合归集</w:t>
      </w:r>
    </w:p>
    <w:p w14:paraId="7113457E">
      <w:pPr>
        <w:spacing w:before="0" w:after="0" w:line="500" w:lineRule="exact"/>
        <w:ind w:firstLine="1000"/>
      </w:pPr>
      <w:r>
        <w:rPr>
          <w:rFonts w:ascii="仿宋_GB2312" w:hAnsi="仿宋_GB2312" w:eastAsia="仿宋_GB2312" w:cs="仿宋_GB2312"/>
          <w:b w:val="0"/>
          <w:sz w:val="32"/>
        </w:rPr>
        <w:t>汇聚全县所有矿井的回传数据，同步对接市能源局电量数据平台、县公安局火工品数据系统等外部数据源，形成统一的煤矿监管数据台账。数据归集按矿井编号、数据类型、采集时间三维度组织，支撑全局态势研判和跨矿横向对比。</w:t>
      </w:r>
    </w:p>
    <w:p w14:paraId="7C76A0FC">
      <w:pPr>
        <w:spacing w:before="0" w:after="0" w:line="500" w:lineRule="exact"/>
        <w:ind w:firstLine="1000"/>
      </w:pPr>
      <w:r>
        <w:rPr>
          <w:rFonts w:ascii="仿宋_GB2312" w:hAnsi="仿宋_GB2312" w:eastAsia="仿宋_GB2312" w:cs="仿宋_GB2312"/>
          <w:b/>
          <w:sz w:val="32"/>
        </w:rPr>
        <w:t>2.深度分析测算</w:t>
      </w:r>
    </w:p>
    <w:p w14:paraId="18349328">
      <w:pPr>
        <w:spacing w:before="0" w:after="0" w:line="500" w:lineRule="exact"/>
        <w:ind w:firstLine="1000"/>
      </w:pPr>
      <w:r>
        <w:rPr>
          <w:rFonts w:ascii="仿宋_GB2312" w:hAnsi="仿宋_GB2312" w:eastAsia="仿宋_GB2312" w:cs="仿宋_GB2312"/>
          <w:b w:val="0"/>
          <w:sz w:val="32"/>
        </w:rPr>
        <w:t>内置专业数学模型，结合各矿井产能规模、生产工艺、地质条件等参数，测算吨煤耗电基准区间、吨煤炸药消耗基准等本地化指标。支持时序分析、回归分析、聚类分析等算法，自动剔除地面通风、排水、压风、提升、选煤厂等耗电干扰项，保障核验结果精准可靠。</w:t>
      </w:r>
    </w:p>
    <w:p w14:paraId="28B55FA6">
      <w:pPr>
        <w:spacing w:before="0" w:after="0" w:line="500" w:lineRule="exact"/>
        <w:ind w:firstLine="1000"/>
      </w:pPr>
      <w:r>
        <w:rPr>
          <w:rFonts w:ascii="仿宋_GB2312" w:hAnsi="仿宋_GB2312" w:eastAsia="仿宋_GB2312" w:cs="仿宋_GB2312"/>
          <w:b/>
          <w:sz w:val="32"/>
        </w:rPr>
        <w:t>3.处置流程跟踪</w:t>
      </w:r>
    </w:p>
    <w:p w14:paraId="6D81803B">
      <w:pPr>
        <w:spacing w:before="0" w:after="0" w:line="500" w:lineRule="exact"/>
        <w:ind w:firstLine="1000"/>
      </w:pPr>
      <w:r>
        <w:rPr>
          <w:rFonts w:ascii="仿宋_GB2312" w:hAnsi="仿宋_GB2312" w:eastAsia="仿宋_GB2312" w:cs="仿宋_GB2312"/>
          <w:b w:val="0"/>
          <w:sz w:val="32"/>
        </w:rPr>
        <w:t>预警与异常信息生成后，自动推送至对应责任主体，全程跟踪处置进度，对超期未处置事项自动提醒。推送对象包括矿长、安全矿长等具体责任人，以及县应急管理局、县能源局等监管部门，确保预警信息直达相关责任主体。</w:t>
      </w:r>
    </w:p>
    <w:p w14:paraId="05C3B4B8">
      <w:pPr>
        <w:spacing w:before="0" w:after="0" w:line="500" w:lineRule="exact"/>
        <w:ind w:firstLine="1000"/>
      </w:pPr>
      <w:r>
        <w:rPr>
          <w:rFonts w:ascii="仿宋_GB2312" w:hAnsi="仿宋_GB2312" w:eastAsia="仿宋_GB2312" w:cs="仿宋_GB2312"/>
          <w:b/>
          <w:sz w:val="32"/>
        </w:rPr>
        <w:t>4.模型迭代优化</w:t>
      </w:r>
    </w:p>
    <w:p w14:paraId="5CC02EB1">
      <w:pPr>
        <w:spacing w:before="0" w:after="0" w:line="500" w:lineRule="exact"/>
        <w:ind w:firstLine="1000"/>
      </w:pPr>
      <w:r>
        <w:rPr>
          <w:rFonts w:ascii="仿宋_GB2312" w:hAnsi="仿宋_GB2312" w:eastAsia="仿宋_GB2312" w:cs="仿宋_GB2312"/>
          <w:b w:val="0"/>
          <w:sz w:val="32"/>
        </w:rPr>
        <w:t>基于历史数据与现场核查结果，自动校准模型参数与研判阈值，适配本地矿井生产特征。采用增量学习方式，每次预警事件处置完成后将核查结果反馈至模型训练流程，同时支持人工干预校准，持续提升研判准确率。</w:t>
      </w:r>
    </w:p>
    <w:p w14:paraId="20D497B9">
      <w:pPr>
        <w:spacing w:before="0" w:after="0" w:line="500" w:lineRule="exact"/>
        <w:ind w:firstLine="1000"/>
      </w:pPr>
      <w:r>
        <w:rPr>
          <w:rFonts w:ascii="黑体" w:hAnsi="黑体" w:eastAsia="黑体" w:cs="黑体"/>
          <w:b w:val="0"/>
          <w:sz w:val="32"/>
        </w:rPr>
        <w:t>四、五量数据底座体系</w:t>
      </w:r>
    </w:p>
    <w:p w14:paraId="5A8579CF">
      <w:pPr>
        <w:spacing w:before="0" w:after="0" w:line="500" w:lineRule="exact"/>
        <w:ind w:firstLine="1000"/>
      </w:pPr>
      <w:r>
        <w:rPr>
          <w:rFonts w:ascii="仿宋_GB2312" w:hAnsi="仿宋_GB2312" w:eastAsia="仿宋_GB2312" w:cs="仿宋_GB2312"/>
          <w:b w:val="0"/>
          <w:sz w:val="32"/>
        </w:rPr>
        <w:t>平台构建自动采集与人工填报相结合的双轨数据底座，涵盖出煤量、用电量、入井人员量、瓦斯涌出量、火工用品量6类核心数据，以及通风数据等辅助数据。两类数据按对应规则分别接入、分类存储，支撑不同场景的分析应用。</w:t>
      </w:r>
    </w:p>
    <w:p w14:paraId="6C5E42EA">
      <w:pPr>
        <w:spacing w:before="0" w:after="0" w:line="500" w:lineRule="exact"/>
        <w:ind w:firstLine="1000"/>
      </w:pPr>
      <w:r>
        <w:rPr>
          <w:rFonts w:ascii="楷体_GB2312" w:hAnsi="楷体_GB2312" w:eastAsia="楷体_GB2312" w:cs="楷体_GB2312"/>
          <w:b w:val="0"/>
          <w:sz w:val="32"/>
        </w:rPr>
        <w:t>（一）自动采集类数据</w:t>
      </w:r>
    </w:p>
    <w:p w14:paraId="1AD03606">
      <w:pPr>
        <w:spacing w:before="0" w:after="0" w:line="500" w:lineRule="exact"/>
        <w:ind w:firstLine="1000"/>
      </w:pPr>
      <w:r>
        <w:rPr>
          <w:rFonts w:ascii="仿宋_GB2312" w:hAnsi="仿宋_GB2312" w:eastAsia="仿宋_GB2312" w:cs="仿宋_GB2312"/>
          <w:b w:val="0"/>
          <w:sz w:val="32"/>
        </w:rPr>
        <w:t>该类数据通过系统接口直连获取，全程无人工干预，具备高实时性与高可信度，是安全预警与数据核验的基准支撑。</w:t>
      </w:r>
    </w:p>
    <w:p w14:paraId="6B6D70AD">
      <w:pPr>
        <w:spacing w:before="0" w:after="0" w:line="500" w:lineRule="exact"/>
        <w:ind w:firstLine="1000"/>
      </w:pPr>
      <w:r>
        <w:rPr>
          <w:rFonts w:ascii="仿宋_GB2312" w:hAnsi="仿宋_GB2312" w:eastAsia="仿宋_GB2312" w:cs="仿宋_GB2312"/>
          <w:b/>
          <w:sz w:val="32"/>
        </w:rPr>
        <w:t>1.入井人员量采集</w:t>
      </w:r>
    </w:p>
    <w:p w14:paraId="00556872">
      <w:pPr>
        <w:spacing w:before="0" w:after="0" w:line="500" w:lineRule="exact"/>
        <w:ind w:firstLine="1000"/>
      </w:pPr>
      <w:r>
        <w:rPr>
          <w:rFonts w:ascii="仿宋_GB2312" w:hAnsi="仿宋_GB2312" w:eastAsia="仿宋_GB2312" w:cs="仿宋_GB2312"/>
          <w:b w:val="0"/>
          <w:sz w:val="32"/>
        </w:rPr>
        <w:t>对接矿井人员定位系统，涵盖下井实时人数、人员分布位置、井口检身记录等信息。入井唯一性检测数据由</w:t>
      </w:r>
      <w:r>
        <w:rPr>
          <w:rFonts w:hint="eastAsia" w:ascii="仿宋_GB2312" w:hAnsi="仿宋_GB2312" w:eastAsia="仿宋_GB2312" w:cs="仿宋_GB2312"/>
          <w:b w:val="0"/>
          <w:sz w:val="32"/>
          <w:lang w:val="en-US" w:eastAsia="zh-CN"/>
        </w:rPr>
        <w:t>入井唯一性检测</w:t>
      </w:r>
      <w:r>
        <w:rPr>
          <w:rFonts w:ascii="仿宋_GB2312" w:hAnsi="仿宋_GB2312" w:eastAsia="仿宋_GB2312" w:cs="仿宋_GB2312"/>
          <w:b w:val="0"/>
          <w:sz w:val="32"/>
        </w:rPr>
        <w:t>系统统计。采集频率不低于每5分钟1次，确保人员动态实时掌握。</w:t>
      </w:r>
    </w:p>
    <w:p w14:paraId="4E92765C">
      <w:pPr>
        <w:spacing w:before="0" w:after="0" w:line="500" w:lineRule="exact"/>
        <w:ind w:firstLine="1000"/>
      </w:pPr>
      <w:r>
        <w:rPr>
          <w:rFonts w:ascii="仿宋_GB2312" w:hAnsi="仿宋_GB2312" w:eastAsia="仿宋_GB2312" w:cs="仿宋_GB2312"/>
          <w:b/>
          <w:sz w:val="32"/>
        </w:rPr>
        <w:t>2.瓦斯涌出量采集</w:t>
      </w:r>
    </w:p>
    <w:p w14:paraId="76387495">
      <w:pPr>
        <w:spacing w:before="0" w:after="0" w:line="500" w:lineRule="exact"/>
        <w:ind w:firstLine="1000"/>
      </w:pPr>
      <w:r>
        <w:rPr>
          <w:rFonts w:ascii="仿宋_GB2312" w:hAnsi="仿宋_GB2312" w:eastAsia="仿宋_GB2312" w:cs="仿宋_GB2312"/>
          <w:b w:val="0"/>
          <w:sz w:val="32"/>
        </w:rPr>
        <w:t>对接矿井安全监测监控系统，涵盖各采掘工作面、回风巷道、总回风巷的甲烷浓度实时数据。采集频率不低于每5分钟1次，异常状态下自动加密采集，保障瓦斯风险即时感知。</w:t>
      </w:r>
    </w:p>
    <w:p w14:paraId="7B6D1208">
      <w:pPr>
        <w:spacing w:before="0" w:after="0" w:line="500" w:lineRule="exact"/>
        <w:ind w:firstLine="1000"/>
      </w:pPr>
      <w:r>
        <w:rPr>
          <w:rFonts w:ascii="仿宋_GB2312" w:hAnsi="仿宋_GB2312" w:eastAsia="仿宋_GB2312" w:cs="仿宋_GB2312"/>
          <w:b/>
          <w:sz w:val="32"/>
        </w:rPr>
        <w:t>3.通风数据采集</w:t>
      </w:r>
    </w:p>
    <w:p w14:paraId="37DC7AFC">
      <w:pPr>
        <w:spacing w:before="0" w:after="0" w:line="500" w:lineRule="exact"/>
        <w:ind w:firstLine="1000"/>
      </w:pPr>
      <w:r>
        <w:rPr>
          <w:rFonts w:ascii="仿宋_GB2312" w:hAnsi="仿宋_GB2312" w:eastAsia="仿宋_GB2312" w:cs="仿宋_GB2312"/>
          <w:b w:val="0"/>
          <w:sz w:val="32"/>
        </w:rPr>
        <w:t>对接主通风机监控系统，涵盖主回风口风速、风压、总风量等设备运行数据。采集频率不低于每5分钟1次。对于未集成主通风机监控系统的矿井，通过人工填报方式过渡，待系统集成后切换为自动采集。</w:t>
      </w:r>
    </w:p>
    <w:p w14:paraId="504C8718">
      <w:pPr>
        <w:spacing w:before="0" w:after="0" w:line="500" w:lineRule="exact"/>
        <w:ind w:firstLine="1000"/>
      </w:pPr>
      <w:r>
        <w:rPr>
          <w:rFonts w:ascii="仿宋_GB2312" w:hAnsi="仿宋_GB2312" w:eastAsia="仿宋_GB2312" w:cs="仿宋_GB2312"/>
          <w:b/>
          <w:sz w:val="32"/>
        </w:rPr>
        <w:t>4.用电量采集</w:t>
      </w:r>
    </w:p>
    <w:p w14:paraId="15CED897">
      <w:pPr>
        <w:spacing w:before="0" w:after="0" w:line="500" w:lineRule="exact"/>
        <w:ind w:firstLine="1000"/>
      </w:pPr>
      <w:r>
        <w:rPr>
          <w:rFonts w:ascii="仿宋_GB2312" w:hAnsi="仿宋_GB2312" w:eastAsia="仿宋_GB2312" w:cs="仿宋_GB2312"/>
          <w:b w:val="0"/>
          <w:sz w:val="32"/>
        </w:rPr>
        <w:t>优先从市能源局平台自动调取，涵盖各矿井总用电量、生产动力用电、分区计量数据等。若市能源局平台暂不具备自动对接条件，由煤矿企业按日报送用电量数据，待接口打通后切换为自动采集。</w:t>
      </w:r>
    </w:p>
    <w:p w14:paraId="204CBB71">
      <w:pPr>
        <w:spacing w:before="0" w:after="0" w:line="500" w:lineRule="exact"/>
        <w:ind w:firstLine="1000"/>
      </w:pPr>
      <w:r>
        <w:rPr>
          <w:rFonts w:ascii="楷体_GB2312" w:hAnsi="楷体_GB2312" w:eastAsia="楷体_GB2312" w:cs="楷体_GB2312"/>
          <w:b w:val="0"/>
          <w:sz w:val="32"/>
        </w:rPr>
        <w:t>（二）人工填报类数据</w:t>
      </w:r>
    </w:p>
    <w:p w14:paraId="09E34068">
      <w:pPr>
        <w:spacing w:before="0" w:after="0" w:line="500" w:lineRule="exact"/>
        <w:ind w:firstLine="1000"/>
      </w:pPr>
      <w:r>
        <w:rPr>
          <w:rFonts w:ascii="仿宋_GB2312" w:hAnsi="仿宋_GB2312" w:eastAsia="仿宋_GB2312" w:cs="仿宋_GB2312"/>
          <w:b w:val="0"/>
          <w:sz w:val="32"/>
        </w:rPr>
        <w:t>该类数据暂不具备全自动化采集条件，由煤矿企业按规定周期报送，是开展生产监管的主要依据，填报主体对数据真实性承担全部责任。</w:t>
      </w:r>
    </w:p>
    <w:p w14:paraId="4225E0A1">
      <w:pPr>
        <w:spacing w:before="0" w:after="0" w:line="500" w:lineRule="exact"/>
        <w:ind w:firstLine="1000"/>
      </w:pPr>
      <w:r>
        <w:rPr>
          <w:rFonts w:ascii="仿宋_GB2312" w:hAnsi="仿宋_GB2312" w:eastAsia="仿宋_GB2312" w:cs="仿宋_GB2312"/>
          <w:b/>
          <w:sz w:val="32"/>
        </w:rPr>
        <w:t>1.出煤量采集</w:t>
      </w:r>
    </w:p>
    <w:p w14:paraId="469D3EDD">
      <w:pPr>
        <w:spacing w:before="0" w:after="0" w:line="500" w:lineRule="exact"/>
        <w:ind w:firstLine="1000"/>
      </w:pPr>
      <w:r>
        <w:rPr>
          <w:rFonts w:ascii="仿宋_GB2312" w:hAnsi="仿宋_GB2312" w:eastAsia="仿宋_GB2312" w:cs="仿宋_GB2312"/>
          <w:b w:val="0"/>
          <w:sz w:val="32"/>
        </w:rPr>
        <w:t>优先从煤矿产量监测系统接入，实时获取班产量、日产量、月产量、年产量、累计产量等数据。若部分矿井暂不具备自动对接条件，由企业按日报送产量数据作为过渡。</w:t>
      </w:r>
    </w:p>
    <w:p w14:paraId="7462C2C5">
      <w:pPr>
        <w:spacing w:before="0" w:after="0" w:line="500" w:lineRule="exact"/>
        <w:ind w:firstLine="1000"/>
      </w:pPr>
      <w:r>
        <w:rPr>
          <w:rFonts w:ascii="仿宋_GB2312" w:hAnsi="仿宋_GB2312" w:eastAsia="仿宋_GB2312" w:cs="仿宋_GB2312"/>
          <w:b/>
          <w:sz w:val="32"/>
        </w:rPr>
        <w:t>2.火工用品量采集</w:t>
      </w:r>
    </w:p>
    <w:p w14:paraId="0A500C99">
      <w:pPr>
        <w:spacing w:before="0" w:after="0" w:line="500" w:lineRule="exact"/>
        <w:ind w:firstLine="1000"/>
      </w:pPr>
      <w:r>
        <w:rPr>
          <w:rFonts w:ascii="仿宋_GB2312" w:hAnsi="仿宋_GB2312" w:eastAsia="仿宋_GB2312" w:cs="仿宋_GB2312"/>
          <w:b w:val="0"/>
          <w:sz w:val="32"/>
        </w:rPr>
        <w:t>由煤矿企业按日报送，涵盖炸药、雷管的领用与消耗数量、使用地点、剩余库存等信息。火工品数据由公安部门掌握，来源可靠。日报数据支撑与日产量的高频交叉核验。</w:t>
      </w:r>
    </w:p>
    <w:p w14:paraId="2FCC76D6">
      <w:pPr>
        <w:spacing w:before="0" w:after="0" w:line="500" w:lineRule="exact"/>
        <w:ind w:firstLine="1000"/>
      </w:pPr>
      <w:r>
        <w:rPr>
          <w:rFonts w:ascii="楷体_GB2312" w:hAnsi="楷体_GB2312" w:eastAsia="楷体_GB2312" w:cs="楷体_GB2312"/>
          <w:b w:val="0"/>
          <w:sz w:val="32"/>
        </w:rPr>
        <w:t>（三）新五量数据扩展</w:t>
      </w:r>
    </w:p>
    <w:p w14:paraId="4491E423">
      <w:pPr>
        <w:spacing w:before="0" w:after="0" w:line="500" w:lineRule="exact"/>
        <w:ind w:firstLine="1000"/>
      </w:pPr>
      <w:r>
        <w:rPr>
          <w:rFonts w:ascii="仿宋_GB2312" w:hAnsi="仿宋_GB2312" w:eastAsia="仿宋_GB2312" w:cs="仿宋_GB2312"/>
          <w:b w:val="0"/>
          <w:sz w:val="32"/>
        </w:rPr>
        <w:t>在老五量数据体系稳定运行后，逐步纳入用煤量、运输量、煤炭销售发票等新五量数据，实现从产量到销量、从生产到流通的全链条数字化管控。分阶段推进，优先纳入与产量核验关联度最高的数据项，确保扩展有序、数据可用。</w:t>
      </w:r>
    </w:p>
    <w:p w14:paraId="25EBF521">
      <w:pPr>
        <w:rPr>
          <w:rFonts w:ascii="仿宋_GB2312" w:hAnsi="仿宋_GB2312" w:eastAsia="仿宋_GB2312" w:cs="仿宋_GB2312"/>
          <w:b/>
          <w:sz w:val="24"/>
        </w:rPr>
      </w:pPr>
      <w:r>
        <w:rPr>
          <w:rFonts w:ascii="仿宋_GB2312" w:hAnsi="仿宋_GB2312" w:eastAsia="仿宋_GB2312" w:cs="仿宋_GB2312"/>
          <w:b/>
          <w:sz w:val="24"/>
        </w:rPr>
        <w:br w:type="page"/>
      </w:r>
    </w:p>
    <w:p w14:paraId="548D8983">
      <w:pPr>
        <w:spacing w:before="0" w:after="0" w:line="500" w:lineRule="exact"/>
        <w:ind w:firstLine="0"/>
        <w:jc w:val="center"/>
      </w:pPr>
      <w:r>
        <w:rPr>
          <w:rFonts w:ascii="仿宋_GB2312" w:hAnsi="仿宋_GB2312" w:eastAsia="仿宋_GB2312" w:cs="仿宋_GB2312"/>
          <w:b/>
          <w:sz w:val="24"/>
        </w:rPr>
        <w:t>表1六类数据采集清单</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6"/>
        <w:gridCol w:w="1836"/>
        <w:gridCol w:w="1836"/>
        <w:gridCol w:w="1836"/>
        <w:gridCol w:w="1836"/>
      </w:tblGrid>
      <w:tr w14:paraId="07E291DF">
        <w:trPr>
          <w:jc w:val="center"/>
        </w:trPr>
        <w:tc>
          <w:tcPr>
            <w:tcW w:w="1836" w:type="dxa"/>
            <w:shd w:val="clear" w:color="auto" w:fill="D9E2F3"/>
          </w:tcPr>
          <w:p w14:paraId="626500BB">
            <w:pPr>
              <w:spacing w:before="0" w:after="0" w:line="360" w:lineRule="exact"/>
              <w:ind w:firstLine="0"/>
              <w:jc w:val="center"/>
            </w:pPr>
            <w:r>
              <w:rPr>
                <w:rFonts w:ascii="仿宋_GB2312" w:hAnsi="仿宋_GB2312" w:eastAsia="仿宋_GB2312" w:cs="仿宋_GB2312"/>
                <w:b/>
                <w:sz w:val="24"/>
              </w:rPr>
              <w:t>数据类别</w:t>
            </w:r>
          </w:p>
        </w:tc>
        <w:tc>
          <w:tcPr>
            <w:tcW w:w="1836" w:type="dxa"/>
            <w:shd w:val="clear" w:color="auto" w:fill="D9E2F3"/>
          </w:tcPr>
          <w:p w14:paraId="68D01179">
            <w:pPr>
              <w:spacing w:before="0" w:after="0" w:line="360" w:lineRule="exact"/>
              <w:ind w:firstLine="0"/>
              <w:jc w:val="center"/>
            </w:pPr>
            <w:r>
              <w:rPr>
                <w:rFonts w:ascii="仿宋_GB2312" w:hAnsi="仿宋_GB2312" w:eastAsia="仿宋_GB2312" w:cs="仿宋_GB2312"/>
                <w:b/>
                <w:sz w:val="24"/>
              </w:rPr>
              <w:t>具体数据项</w:t>
            </w:r>
          </w:p>
        </w:tc>
        <w:tc>
          <w:tcPr>
            <w:tcW w:w="1836" w:type="dxa"/>
            <w:shd w:val="clear" w:color="auto" w:fill="D9E2F3"/>
          </w:tcPr>
          <w:p w14:paraId="4DB726BE">
            <w:pPr>
              <w:spacing w:before="0" w:after="0" w:line="360" w:lineRule="exact"/>
              <w:ind w:firstLine="0"/>
              <w:jc w:val="center"/>
            </w:pPr>
            <w:r>
              <w:rPr>
                <w:rFonts w:ascii="仿宋_GB2312" w:hAnsi="仿宋_GB2312" w:eastAsia="仿宋_GB2312" w:cs="仿宋_GB2312"/>
                <w:b/>
                <w:sz w:val="24"/>
              </w:rPr>
              <w:t>数据来源</w:t>
            </w:r>
          </w:p>
        </w:tc>
        <w:tc>
          <w:tcPr>
            <w:tcW w:w="1836" w:type="dxa"/>
            <w:shd w:val="clear" w:color="auto" w:fill="D9E2F3"/>
          </w:tcPr>
          <w:p w14:paraId="6B38A2EF">
            <w:pPr>
              <w:spacing w:before="0" w:after="0" w:line="360" w:lineRule="exact"/>
              <w:ind w:firstLine="0"/>
              <w:jc w:val="center"/>
            </w:pPr>
            <w:r>
              <w:rPr>
                <w:rFonts w:ascii="仿宋_GB2312" w:hAnsi="仿宋_GB2312" w:eastAsia="仿宋_GB2312" w:cs="仿宋_GB2312"/>
                <w:b/>
                <w:sz w:val="24"/>
              </w:rPr>
              <w:t>采集频率</w:t>
            </w:r>
          </w:p>
        </w:tc>
        <w:tc>
          <w:tcPr>
            <w:tcW w:w="1836" w:type="dxa"/>
            <w:shd w:val="clear" w:color="auto" w:fill="D9E2F3"/>
          </w:tcPr>
          <w:p w14:paraId="1D725234">
            <w:pPr>
              <w:spacing w:before="0" w:after="0" w:line="360" w:lineRule="exact"/>
              <w:ind w:firstLine="0"/>
              <w:jc w:val="center"/>
            </w:pPr>
            <w:r>
              <w:rPr>
                <w:rFonts w:ascii="仿宋_GB2312" w:hAnsi="仿宋_GB2312" w:eastAsia="仿宋_GB2312" w:cs="仿宋_GB2312"/>
                <w:b/>
                <w:sz w:val="24"/>
              </w:rPr>
              <w:t>分析用途</w:t>
            </w:r>
          </w:p>
        </w:tc>
      </w:tr>
      <w:tr w14:paraId="36CB9A26">
        <w:trPr>
          <w:jc w:val="center"/>
        </w:trPr>
        <w:tc>
          <w:tcPr>
            <w:tcW w:w="1836" w:type="dxa"/>
          </w:tcPr>
          <w:p w14:paraId="2CA5D7FE">
            <w:pPr>
              <w:spacing w:before="0" w:after="0" w:line="360" w:lineRule="exact"/>
              <w:ind w:firstLine="0"/>
              <w:jc w:val="center"/>
            </w:pPr>
            <w:r>
              <w:rPr>
                <w:rFonts w:ascii="仿宋_GB2312" w:hAnsi="仿宋_GB2312" w:eastAsia="仿宋_GB2312" w:cs="仿宋_GB2312"/>
                <w:b w:val="0"/>
                <w:sz w:val="22"/>
              </w:rPr>
              <w:t>出煤量</w:t>
            </w:r>
          </w:p>
        </w:tc>
        <w:tc>
          <w:tcPr>
            <w:tcW w:w="1836" w:type="dxa"/>
          </w:tcPr>
          <w:p w14:paraId="4CFC4E50">
            <w:pPr>
              <w:spacing w:before="0" w:after="0" w:line="360" w:lineRule="exact"/>
              <w:ind w:firstLine="0"/>
              <w:jc w:val="left"/>
            </w:pPr>
            <w:r>
              <w:rPr>
                <w:rFonts w:ascii="仿宋_GB2312" w:hAnsi="仿宋_GB2312" w:eastAsia="仿宋_GB2312" w:cs="仿宋_GB2312"/>
                <w:b w:val="0"/>
                <w:sz w:val="22"/>
              </w:rPr>
              <w:t>班产量、日产量、月产量、年产量、累计产量、瞬时流量、皮带速度、皮带秤运行状态</w:t>
            </w:r>
          </w:p>
        </w:tc>
        <w:tc>
          <w:tcPr>
            <w:tcW w:w="1836" w:type="dxa"/>
          </w:tcPr>
          <w:p w14:paraId="44EC8E9E">
            <w:pPr>
              <w:spacing w:before="0" w:after="0" w:line="360" w:lineRule="exact"/>
              <w:ind w:firstLine="0"/>
              <w:jc w:val="center"/>
            </w:pPr>
            <w:r>
              <w:rPr>
                <w:rFonts w:ascii="仿宋_GB2312" w:hAnsi="仿宋_GB2312" w:eastAsia="仿宋_GB2312" w:cs="仿宋_GB2312"/>
                <w:b w:val="0"/>
                <w:sz w:val="22"/>
              </w:rPr>
              <w:t>煤矿产量监测系统（优先）、企业日报（过渡）</w:t>
            </w:r>
          </w:p>
        </w:tc>
        <w:tc>
          <w:tcPr>
            <w:tcW w:w="1836" w:type="dxa"/>
          </w:tcPr>
          <w:p w14:paraId="54234EEF">
            <w:pPr>
              <w:spacing w:before="0" w:after="0" w:line="360" w:lineRule="exact"/>
              <w:ind w:firstLine="0"/>
              <w:jc w:val="center"/>
            </w:pPr>
            <w:r>
              <w:rPr>
                <w:rFonts w:ascii="仿宋_GB2312" w:hAnsi="仿宋_GB2312" w:eastAsia="仿宋_GB2312" w:cs="仿宋_GB2312"/>
                <w:b w:val="0"/>
                <w:sz w:val="22"/>
              </w:rPr>
              <w:t>实时或日报</w:t>
            </w:r>
          </w:p>
        </w:tc>
        <w:tc>
          <w:tcPr>
            <w:tcW w:w="1836" w:type="dxa"/>
          </w:tcPr>
          <w:p w14:paraId="2F335C97">
            <w:pPr>
              <w:spacing w:before="0" w:after="0" w:line="360" w:lineRule="exact"/>
              <w:ind w:firstLine="0"/>
              <w:jc w:val="left"/>
            </w:pPr>
            <w:r>
              <w:rPr>
                <w:rFonts w:ascii="仿宋_GB2312" w:hAnsi="仿宋_GB2312" w:eastAsia="仿宋_GB2312" w:cs="仿宋_GB2312"/>
                <w:b w:val="0"/>
                <w:sz w:val="22"/>
              </w:rPr>
              <w:t>产量核验核心数据，与用电量、火工品交叉比对</w:t>
            </w:r>
          </w:p>
        </w:tc>
      </w:tr>
      <w:tr w14:paraId="1131BB3D">
        <w:trPr>
          <w:jc w:val="center"/>
        </w:trPr>
        <w:tc>
          <w:tcPr>
            <w:tcW w:w="1836" w:type="dxa"/>
          </w:tcPr>
          <w:p w14:paraId="596D2AAC">
            <w:pPr>
              <w:spacing w:before="0" w:after="0" w:line="360" w:lineRule="exact"/>
              <w:ind w:firstLine="0"/>
              <w:jc w:val="center"/>
            </w:pPr>
            <w:r>
              <w:rPr>
                <w:rFonts w:ascii="仿宋_GB2312" w:hAnsi="仿宋_GB2312" w:eastAsia="仿宋_GB2312" w:cs="仿宋_GB2312"/>
                <w:b w:val="0"/>
                <w:sz w:val="22"/>
              </w:rPr>
              <w:t>用电量</w:t>
            </w:r>
          </w:p>
        </w:tc>
        <w:tc>
          <w:tcPr>
            <w:tcW w:w="1836" w:type="dxa"/>
          </w:tcPr>
          <w:p w14:paraId="18D44822">
            <w:pPr>
              <w:spacing w:before="0" w:after="0" w:line="360" w:lineRule="exact"/>
              <w:ind w:firstLine="0"/>
              <w:jc w:val="left"/>
            </w:pPr>
            <w:r>
              <w:rPr>
                <w:rFonts w:ascii="仿宋_GB2312" w:hAnsi="仿宋_GB2312" w:eastAsia="仿宋_GB2312" w:cs="仿宋_GB2312"/>
                <w:b w:val="0"/>
                <w:sz w:val="22"/>
              </w:rPr>
              <w:t>总用电量、生产动力用电、分区计量数据</w:t>
            </w:r>
          </w:p>
        </w:tc>
        <w:tc>
          <w:tcPr>
            <w:tcW w:w="1836" w:type="dxa"/>
          </w:tcPr>
          <w:p w14:paraId="349ADE01">
            <w:pPr>
              <w:spacing w:before="0" w:after="0" w:line="360" w:lineRule="exact"/>
              <w:ind w:firstLine="0"/>
              <w:jc w:val="center"/>
            </w:pPr>
            <w:r>
              <w:rPr>
                <w:rFonts w:ascii="仿宋_GB2312" w:hAnsi="仿宋_GB2312" w:eastAsia="仿宋_GB2312" w:cs="仿宋_GB2312"/>
                <w:b w:val="0"/>
                <w:sz w:val="22"/>
              </w:rPr>
              <w:t>市能源局平台（优先）、企业日报（过渡）</w:t>
            </w:r>
          </w:p>
        </w:tc>
        <w:tc>
          <w:tcPr>
            <w:tcW w:w="1836" w:type="dxa"/>
          </w:tcPr>
          <w:p w14:paraId="57B08CA6">
            <w:pPr>
              <w:spacing w:before="0" w:after="0" w:line="360" w:lineRule="exact"/>
              <w:ind w:firstLine="0"/>
              <w:jc w:val="center"/>
            </w:pPr>
            <w:r>
              <w:rPr>
                <w:rFonts w:ascii="仿宋_GB2312" w:hAnsi="仿宋_GB2312" w:eastAsia="仿宋_GB2312" w:cs="仿宋_GB2312"/>
                <w:b w:val="0"/>
                <w:sz w:val="22"/>
              </w:rPr>
              <w:t>小时聚合或日报</w:t>
            </w:r>
          </w:p>
        </w:tc>
        <w:tc>
          <w:tcPr>
            <w:tcW w:w="1836" w:type="dxa"/>
          </w:tcPr>
          <w:p w14:paraId="3CA8D925">
            <w:pPr>
              <w:spacing w:before="0" w:after="0" w:line="360" w:lineRule="exact"/>
              <w:ind w:firstLine="0"/>
              <w:jc w:val="left"/>
            </w:pPr>
            <w:r>
              <w:rPr>
                <w:rFonts w:ascii="仿宋_GB2312" w:hAnsi="仿宋_GB2312" w:eastAsia="仿宋_GB2312" w:cs="仿宋_GB2312"/>
                <w:b w:val="0"/>
                <w:sz w:val="22"/>
              </w:rPr>
              <w:t>吨煤耗电核验基准，识别瞒报虚报</w:t>
            </w:r>
          </w:p>
        </w:tc>
      </w:tr>
      <w:tr w14:paraId="57A43B4F">
        <w:trPr>
          <w:jc w:val="center"/>
        </w:trPr>
        <w:tc>
          <w:tcPr>
            <w:tcW w:w="1836" w:type="dxa"/>
          </w:tcPr>
          <w:p w14:paraId="0392D2C3">
            <w:pPr>
              <w:spacing w:before="0" w:after="0" w:line="360" w:lineRule="exact"/>
              <w:ind w:firstLine="0"/>
              <w:jc w:val="center"/>
            </w:pPr>
            <w:r>
              <w:rPr>
                <w:rFonts w:ascii="仿宋_GB2312" w:hAnsi="仿宋_GB2312" w:eastAsia="仿宋_GB2312" w:cs="仿宋_GB2312"/>
                <w:b w:val="0"/>
                <w:sz w:val="22"/>
              </w:rPr>
              <w:t>入井人员量</w:t>
            </w:r>
          </w:p>
        </w:tc>
        <w:tc>
          <w:tcPr>
            <w:tcW w:w="1836" w:type="dxa"/>
          </w:tcPr>
          <w:p w14:paraId="13EC20D2">
            <w:pPr>
              <w:spacing w:before="0" w:after="0" w:line="360" w:lineRule="exact"/>
              <w:ind w:firstLine="0"/>
              <w:jc w:val="left"/>
            </w:pPr>
            <w:r>
              <w:rPr>
                <w:rFonts w:ascii="仿宋_GB2312" w:hAnsi="仿宋_GB2312" w:eastAsia="仿宋_GB2312" w:cs="仿宋_GB2312"/>
                <w:b w:val="0"/>
                <w:sz w:val="22"/>
              </w:rPr>
              <w:t>下井实时人数、人员分布位置、井口检身记录</w:t>
            </w:r>
          </w:p>
        </w:tc>
        <w:tc>
          <w:tcPr>
            <w:tcW w:w="1836" w:type="dxa"/>
          </w:tcPr>
          <w:p w14:paraId="747F9A4A">
            <w:pPr>
              <w:spacing w:before="0" w:after="0" w:line="360" w:lineRule="exact"/>
              <w:ind w:firstLine="0"/>
              <w:jc w:val="center"/>
            </w:pPr>
            <w:r>
              <w:rPr>
                <w:rFonts w:ascii="仿宋_GB2312" w:hAnsi="仿宋_GB2312" w:eastAsia="仿宋_GB2312" w:cs="仿宋_GB2312"/>
                <w:b w:val="0"/>
                <w:sz w:val="22"/>
              </w:rPr>
              <w:t>人员定位系统、</w:t>
            </w:r>
            <w:r>
              <w:rPr>
                <w:rFonts w:hint="eastAsia" w:ascii="仿宋_GB2312" w:hAnsi="仿宋_GB2312" w:eastAsia="仿宋_GB2312" w:cs="仿宋_GB2312"/>
                <w:b w:val="0"/>
                <w:sz w:val="22"/>
                <w:lang w:val="en-US" w:eastAsia="zh-CN"/>
              </w:rPr>
              <w:t>唯一性检测</w:t>
            </w:r>
            <w:r>
              <w:rPr>
                <w:rFonts w:ascii="仿宋_GB2312" w:hAnsi="仿宋_GB2312" w:eastAsia="仿宋_GB2312" w:cs="仿宋_GB2312"/>
                <w:b w:val="0"/>
                <w:sz w:val="22"/>
              </w:rPr>
              <w:t>门禁系统</w:t>
            </w:r>
          </w:p>
        </w:tc>
        <w:tc>
          <w:tcPr>
            <w:tcW w:w="1836" w:type="dxa"/>
          </w:tcPr>
          <w:p w14:paraId="649F8239">
            <w:pPr>
              <w:spacing w:before="0" w:after="0" w:line="360" w:lineRule="exact"/>
              <w:ind w:firstLine="0"/>
              <w:jc w:val="center"/>
            </w:pPr>
            <w:r>
              <w:rPr>
                <w:rFonts w:ascii="仿宋_GB2312" w:hAnsi="仿宋_GB2312" w:eastAsia="仿宋_GB2312" w:cs="仿宋_GB2312"/>
                <w:b w:val="0"/>
                <w:sz w:val="22"/>
              </w:rPr>
              <w:t>每5分钟1次</w:t>
            </w:r>
          </w:p>
        </w:tc>
        <w:tc>
          <w:tcPr>
            <w:tcW w:w="1836" w:type="dxa"/>
          </w:tcPr>
          <w:p w14:paraId="21AD2C84">
            <w:pPr>
              <w:spacing w:before="0" w:after="0" w:line="360" w:lineRule="exact"/>
              <w:ind w:firstLine="0"/>
              <w:jc w:val="left"/>
            </w:pPr>
            <w:r>
              <w:rPr>
                <w:rFonts w:ascii="仿宋_GB2312" w:hAnsi="仿宋_GB2312" w:eastAsia="仿宋_GB2312" w:cs="仿宋_GB2312"/>
                <w:b w:val="0"/>
                <w:sz w:val="22"/>
              </w:rPr>
              <w:t>人员超员预警</w:t>
            </w:r>
          </w:p>
        </w:tc>
      </w:tr>
      <w:tr w14:paraId="1D3314FB">
        <w:trPr>
          <w:jc w:val="center"/>
        </w:trPr>
        <w:tc>
          <w:tcPr>
            <w:tcW w:w="1836" w:type="dxa"/>
          </w:tcPr>
          <w:p w14:paraId="73F25464">
            <w:pPr>
              <w:spacing w:before="0" w:after="0" w:line="360" w:lineRule="exact"/>
              <w:ind w:firstLine="0"/>
              <w:jc w:val="center"/>
            </w:pPr>
            <w:r>
              <w:rPr>
                <w:rFonts w:ascii="仿宋_GB2312" w:hAnsi="仿宋_GB2312" w:eastAsia="仿宋_GB2312" w:cs="仿宋_GB2312"/>
                <w:b w:val="0"/>
                <w:sz w:val="22"/>
              </w:rPr>
              <w:t>瓦斯涌出量</w:t>
            </w:r>
          </w:p>
        </w:tc>
        <w:tc>
          <w:tcPr>
            <w:tcW w:w="1836" w:type="dxa"/>
          </w:tcPr>
          <w:p w14:paraId="0BAC37BD">
            <w:pPr>
              <w:spacing w:before="0" w:after="0" w:line="360" w:lineRule="exact"/>
              <w:ind w:firstLine="0"/>
              <w:jc w:val="left"/>
            </w:pPr>
            <w:r>
              <w:rPr>
                <w:rFonts w:ascii="仿宋_GB2312" w:hAnsi="仿宋_GB2312" w:eastAsia="仿宋_GB2312" w:cs="仿宋_GB2312"/>
                <w:b w:val="0"/>
                <w:sz w:val="22"/>
              </w:rPr>
              <w:t>各采掘工作面、回风巷道、总回风巷甲烷浓度</w:t>
            </w:r>
          </w:p>
        </w:tc>
        <w:tc>
          <w:tcPr>
            <w:tcW w:w="1836" w:type="dxa"/>
          </w:tcPr>
          <w:p w14:paraId="3B2AA38B">
            <w:pPr>
              <w:spacing w:before="0" w:after="0" w:line="360" w:lineRule="exact"/>
              <w:ind w:firstLine="0"/>
              <w:jc w:val="center"/>
            </w:pPr>
            <w:r>
              <w:rPr>
                <w:rFonts w:ascii="仿宋_GB2312" w:hAnsi="仿宋_GB2312" w:eastAsia="仿宋_GB2312" w:cs="仿宋_GB2312"/>
                <w:b w:val="0"/>
                <w:sz w:val="22"/>
              </w:rPr>
              <w:t>安全监测监控系统</w:t>
            </w:r>
          </w:p>
        </w:tc>
        <w:tc>
          <w:tcPr>
            <w:tcW w:w="1836" w:type="dxa"/>
          </w:tcPr>
          <w:p w14:paraId="2CC8BC7C">
            <w:pPr>
              <w:spacing w:before="0" w:after="0" w:line="360" w:lineRule="exact"/>
              <w:ind w:firstLine="0"/>
              <w:jc w:val="center"/>
            </w:pPr>
            <w:r>
              <w:rPr>
                <w:rFonts w:ascii="仿宋_GB2312" w:hAnsi="仿宋_GB2312" w:eastAsia="仿宋_GB2312" w:cs="仿宋_GB2312"/>
                <w:b w:val="0"/>
                <w:sz w:val="22"/>
              </w:rPr>
              <w:t>每5分钟1次，异常加密</w:t>
            </w:r>
          </w:p>
        </w:tc>
        <w:tc>
          <w:tcPr>
            <w:tcW w:w="1836" w:type="dxa"/>
          </w:tcPr>
          <w:p w14:paraId="4CC3F7CC">
            <w:pPr>
              <w:spacing w:before="0" w:after="0" w:line="360" w:lineRule="exact"/>
              <w:ind w:firstLine="0"/>
              <w:jc w:val="left"/>
            </w:pPr>
            <w:r>
              <w:rPr>
                <w:rFonts w:ascii="仿宋_GB2312" w:hAnsi="仿宋_GB2312" w:eastAsia="仿宋_GB2312" w:cs="仿宋_GB2312"/>
                <w:b w:val="0"/>
                <w:sz w:val="22"/>
              </w:rPr>
              <w:t>甲烷浓度分级预警，瓦斯风险研判</w:t>
            </w:r>
          </w:p>
        </w:tc>
      </w:tr>
      <w:tr w14:paraId="617A4B91">
        <w:trPr>
          <w:jc w:val="center"/>
        </w:trPr>
        <w:tc>
          <w:tcPr>
            <w:tcW w:w="1836" w:type="dxa"/>
          </w:tcPr>
          <w:p w14:paraId="7F4A9B5D">
            <w:pPr>
              <w:spacing w:before="0" w:after="0" w:line="360" w:lineRule="exact"/>
              <w:ind w:firstLine="0"/>
              <w:jc w:val="center"/>
            </w:pPr>
            <w:r>
              <w:rPr>
                <w:rFonts w:ascii="仿宋_GB2312" w:hAnsi="仿宋_GB2312" w:eastAsia="仿宋_GB2312" w:cs="仿宋_GB2312"/>
                <w:b w:val="0"/>
                <w:sz w:val="22"/>
              </w:rPr>
              <w:t>火工用品量</w:t>
            </w:r>
          </w:p>
        </w:tc>
        <w:tc>
          <w:tcPr>
            <w:tcW w:w="1836" w:type="dxa"/>
          </w:tcPr>
          <w:p w14:paraId="337DEFDA">
            <w:pPr>
              <w:spacing w:before="0" w:after="0" w:line="360" w:lineRule="exact"/>
              <w:ind w:firstLine="0"/>
              <w:jc w:val="left"/>
            </w:pPr>
            <w:r>
              <w:rPr>
                <w:rFonts w:ascii="仿宋_GB2312" w:hAnsi="仿宋_GB2312" w:eastAsia="仿宋_GB2312" w:cs="仿宋_GB2312"/>
                <w:b w:val="0"/>
                <w:sz w:val="22"/>
              </w:rPr>
              <w:t>炸药领用消耗量、雷管领用消耗量、使用地点、剩余库存</w:t>
            </w:r>
          </w:p>
        </w:tc>
        <w:tc>
          <w:tcPr>
            <w:tcW w:w="1836" w:type="dxa"/>
          </w:tcPr>
          <w:p w14:paraId="3903D796">
            <w:pPr>
              <w:spacing w:before="0" w:after="0" w:line="360" w:lineRule="exact"/>
              <w:ind w:firstLine="0"/>
              <w:jc w:val="center"/>
            </w:pPr>
            <w:r>
              <w:rPr>
                <w:rFonts w:ascii="仿宋_GB2312" w:hAnsi="仿宋_GB2312" w:eastAsia="仿宋_GB2312" w:cs="仿宋_GB2312"/>
                <w:b w:val="0"/>
                <w:sz w:val="22"/>
              </w:rPr>
              <w:t>企业日报、公安部门数据</w:t>
            </w:r>
          </w:p>
        </w:tc>
        <w:tc>
          <w:tcPr>
            <w:tcW w:w="1836" w:type="dxa"/>
          </w:tcPr>
          <w:p w14:paraId="7B7CD8D2">
            <w:pPr>
              <w:spacing w:before="0" w:after="0" w:line="360" w:lineRule="exact"/>
              <w:ind w:firstLine="0"/>
              <w:jc w:val="center"/>
            </w:pPr>
            <w:r>
              <w:rPr>
                <w:rFonts w:ascii="仿宋_GB2312" w:hAnsi="仿宋_GB2312" w:eastAsia="仿宋_GB2312" w:cs="仿宋_GB2312"/>
                <w:b w:val="0"/>
                <w:sz w:val="22"/>
              </w:rPr>
              <w:t>日报</w:t>
            </w:r>
          </w:p>
        </w:tc>
        <w:tc>
          <w:tcPr>
            <w:tcW w:w="1836" w:type="dxa"/>
          </w:tcPr>
          <w:p w14:paraId="4B1BCD28">
            <w:pPr>
              <w:spacing w:before="0" w:after="0" w:line="360" w:lineRule="exact"/>
              <w:ind w:firstLine="0"/>
              <w:jc w:val="left"/>
            </w:pPr>
            <w:r>
              <w:rPr>
                <w:rFonts w:ascii="仿宋_GB2312" w:hAnsi="仿宋_GB2312" w:eastAsia="仿宋_GB2312" w:cs="仿宋_GB2312"/>
                <w:b w:val="0"/>
                <w:sz w:val="22"/>
              </w:rPr>
              <w:t>吨煤炸药核验，与日产量交叉比对</w:t>
            </w:r>
          </w:p>
        </w:tc>
      </w:tr>
      <w:tr w14:paraId="6860E753">
        <w:trPr>
          <w:jc w:val="center"/>
        </w:trPr>
        <w:tc>
          <w:tcPr>
            <w:tcW w:w="1836" w:type="dxa"/>
          </w:tcPr>
          <w:p w14:paraId="2E43CECF">
            <w:pPr>
              <w:spacing w:before="0" w:after="0" w:line="360" w:lineRule="exact"/>
              <w:ind w:firstLine="0"/>
              <w:jc w:val="center"/>
            </w:pPr>
            <w:r>
              <w:rPr>
                <w:rFonts w:ascii="仿宋_GB2312" w:hAnsi="仿宋_GB2312" w:eastAsia="仿宋_GB2312" w:cs="仿宋_GB2312"/>
                <w:b w:val="0"/>
                <w:sz w:val="22"/>
              </w:rPr>
              <w:t>通风数据</w:t>
            </w:r>
          </w:p>
        </w:tc>
        <w:tc>
          <w:tcPr>
            <w:tcW w:w="1836" w:type="dxa"/>
          </w:tcPr>
          <w:p w14:paraId="37E699A3">
            <w:pPr>
              <w:spacing w:before="0" w:after="0" w:line="360" w:lineRule="exact"/>
              <w:ind w:firstLine="0"/>
              <w:jc w:val="left"/>
            </w:pPr>
            <w:r>
              <w:rPr>
                <w:rFonts w:ascii="仿宋_GB2312" w:hAnsi="仿宋_GB2312" w:eastAsia="仿宋_GB2312" w:cs="仿宋_GB2312"/>
                <w:b w:val="0"/>
                <w:sz w:val="22"/>
              </w:rPr>
              <w:t>主回风口风速、风压、总风量</w:t>
            </w:r>
          </w:p>
        </w:tc>
        <w:tc>
          <w:tcPr>
            <w:tcW w:w="1836" w:type="dxa"/>
          </w:tcPr>
          <w:p w14:paraId="71C3B87A">
            <w:pPr>
              <w:spacing w:before="0" w:after="0" w:line="360" w:lineRule="exact"/>
              <w:ind w:firstLine="0"/>
              <w:jc w:val="center"/>
            </w:pPr>
            <w:r>
              <w:rPr>
                <w:rFonts w:ascii="仿宋_GB2312" w:hAnsi="仿宋_GB2312" w:eastAsia="仿宋_GB2312" w:cs="仿宋_GB2312"/>
                <w:b w:val="0"/>
                <w:sz w:val="22"/>
              </w:rPr>
              <w:t>主通风机监控系统</w:t>
            </w:r>
          </w:p>
        </w:tc>
        <w:tc>
          <w:tcPr>
            <w:tcW w:w="1836" w:type="dxa"/>
          </w:tcPr>
          <w:p w14:paraId="74C1889C">
            <w:pPr>
              <w:spacing w:before="0" w:after="0" w:line="360" w:lineRule="exact"/>
              <w:ind w:firstLine="0"/>
              <w:jc w:val="center"/>
            </w:pPr>
            <w:r>
              <w:rPr>
                <w:rFonts w:ascii="仿宋_GB2312" w:hAnsi="仿宋_GB2312" w:eastAsia="仿宋_GB2312" w:cs="仿宋_GB2312"/>
                <w:b w:val="0"/>
                <w:sz w:val="22"/>
              </w:rPr>
              <w:t>每5分钟1次</w:t>
            </w:r>
          </w:p>
        </w:tc>
        <w:tc>
          <w:tcPr>
            <w:tcW w:w="1836" w:type="dxa"/>
          </w:tcPr>
          <w:p w14:paraId="3696E987">
            <w:pPr>
              <w:spacing w:before="0" w:after="0" w:line="360" w:lineRule="exact"/>
              <w:ind w:firstLine="0"/>
              <w:jc w:val="left"/>
            </w:pPr>
            <w:r>
              <w:rPr>
                <w:rFonts w:ascii="仿宋_GB2312" w:hAnsi="仿宋_GB2312" w:eastAsia="仿宋_GB2312" w:cs="仿宋_GB2312"/>
                <w:b w:val="0"/>
                <w:sz w:val="22"/>
              </w:rPr>
              <w:t>通风异常预警，关联瓦斯联合研判</w:t>
            </w:r>
          </w:p>
        </w:tc>
      </w:tr>
    </w:tbl>
    <w:p w14:paraId="60303EA3">
      <w:pPr>
        <w:rPr>
          <w:rFonts w:ascii="黑体" w:hAnsi="黑体" w:eastAsia="黑体" w:cs="黑体"/>
          <w:b w:val="0"/>
          <w:sz w:val="32"/>
        </w:rPr>
      </w:pPr>
      <w:r>
        <w:rPr>
          <w:rFonts w:ascii="黑体" w:hAnsi="黑体" w:eastAsia="黑体" w:cs="黑体"/>
          <w:b w:val="0"/>
          <w:sz w:val="32"/>
        </w:rPr>
        <w:br w:type="page"/>
      </w:r>
    </w:p>
    <w:p w14:paraId="242DF515">
      <w:pPr>
        <w:spacing w:before="0" w:after="0" w:line="500" w:lineRule="exact"/>
        <w:ind w:firstLine="1000"/>
      </w:pPr>
      <w:r>
        <w:rPr>
          <w:rFonts w:ascii="黑体" w:hAnsi="黑体" w:eastAsia="黑体" w:cs="黑体"/>
          <w:b w:val="0"/>
          <w:sz w:val="32"/>
        </w:rPr>
        <w:t>五、安全智能预警模块</w:t>
      </w:r>
    </w:p>
    <w:p w14:paraId="0D30EB85">
      <w:pPr>
        <w:spacing w:before="0" w:after="0" w:line="500" w:lineRule="exact"/>
        <w:ind w:firstLine="1000"/>
      </w:pPr>
      <w:r>
        <w:rPr>
          <w:rFonts w:ascii="仿宋_GB2312" w:hAnsi="仿宋_GB2312" w:eastAsia="仿宋_GB2312" w:cs="仿宋_GB2312"/>
          <w:b w:val="0"/>
          <w:sz w:val="32"/>
        </w:rPr>
        <w:t>该模块基于自动采集的安全类数据运行，搭载于可视化监管平台，是实现事前预警的核心载体。模块涵盖甲烷浓度预警、人员超员预警、通风异常预警3类预警功能，以及蓝黄橙红四级预警推送机制，可有效辅助日常监管工作。所有预警阈值严格依据《煤矿安全规程》和相关行业标准设定。</w:t>
      </w:r>
    </w:p>
    <w:p w14:paraId="70386DD7">
      <w:pPr>
        <w:spacing w:before="0" w:after="0" w:line="500" w:lineRule="exact"/>
        <w:ind w:firstLine="1000"/>
      </w:pPr>
      <w:r>
        <w:rPr>
          <w:rFonts w:ascii="楷体_GB2312" w:hAnsi="楷体_GB2312" w:eastAsia="楷体_GB2312" w:cs="楷体_GB2312"/>
          <w:b w:val="0"/>
          <w:sz w:val="32"/>
        </w:rPr>
        <w:t>（一）甲烷浓度预警</w:t>
      </w:r>
    </w:p>
    <w:p w14:paraId="4EDD8F4C">
      <w:pPr>
        <w:spacing w:before="0" w:after="0" w:line="500" w:lineRule="exact"/>
        <w:ind w:firstLine="1000"/>
      </w:pPr>
      <w:r>
        <w:rPr>
          <w:rFonts w:ascii="仿宋_GB2312" w:hAnsi="仿宋_GB2312" w:eastAsia="仿宋_GB2312" w:cs="仿宋_GB2312"/>
          <w:b w:val="0"/>
          <w:sz w:val="32"/>
        </w:rPr>
        <w:t>依据《煤矿安全规程》设定甲烷传感器报警浓度、断电浓度和复电浓度阈值，按矿井瓦斯等级和监测地点差异化配置。智能体实时监测各监测点甲烷浓度变化，达到阈值立即触发告警，同时结合浓度变化趋势开展预判，对持续升高的异常情形提前推送风险提示。</w:t>
      </w:r>
    </w:p>
    <w:p w14:paraId="68A22D53">
      <w:pPr>
        <w:spacing w:before="0" w:after="0" w:line="500" w:lineRule="exact"/>
        <w:ind w:firstLine="1000"/>
      </w:pPr>
      <w:r>
        <w:rPr>
          <w:rFonts w:ascii="仿宋_GB2312" w:hAnsi="仿宋_GB2312" w:eastAsia="仿宋_GB2312" w:cs="仿宋_GB2312"/>
          <w:b/>
          <w:sz w:val="32"/>
        </w:rPr>
        <w:t>1.高瓦斯矿井甲烷分级预警</w:t>
      </w:r>
    </w:p>
    <w:p w14:paraId="6317E117">
      <w:pPr>
        <w:spacing w:before="0" w:after="0" w:line="500" w:lineRule="exact"/>
        <w:ind w:firstLine="1000"/>
      </w:pPr>
      <w:r>
        <w:rPr>
          <w:rFonts w:ascii="仿宋_GB2312" w:hAnsi="仿宋_GB2312" w:eastAsia="仿宋_GB2312" w:cs="仿宋_GB2312"/>
          <w:b w:val="0"/>
          <w:sz w:val="32"/>
        </w:rPr>
        <w:t>高瓦斯矿井采煤工作面回风巷甲烷浓度达0.75%时触发趋势预警，提示矿方关注瓦斯变化态势。浓度达1.0%时触发超限报警，依据《煤矿安全规程要求停止工作、撤出人员。甲烷浓度变化量超过0.2个百分点时触发重大变化报告，及时上报。高瓦斯矿井还须在回风巷中部增设甲烷传感器，加密监测覆盖。</w:t>
      </w:r>
    </w:p>
    <w:p w14:paraId="2E921901">
      <w:pPr>
        <w:spacing w:before="0" w:after="0" w:line="500" w:lineRule="exact"/>
        <w:ind w:firstLine="1000"/>
      </w:pPr>
      <w:r>
        <w:rPr>
          <w:rFonts w:ascii="仿宋_GB2312" w:hAnsi="仿宋_GB2312" w:eastAsia="仿宋_GB2312" w:cs="仿宋_GB2312"/>
          <w:b/>
          <w:sz w:val="32"/>
        </w:rPr>
        <w:t>2.低瓦斯矿井甲烷预警</w:t>
      </w:r>
    </w:p>
    <w:p w14:paraId="5D83432C">
      <w:pPr>
        <w:spacing w:before="0" w:after="0" w:line="500" w:lineRule="exact"/>
        <w:ind w:firstLine="1000"/>
      </w:pPr>
      <w:r>
        <w:rPr>
          <w:rFonts w:ascii="仿宋_GB2312" w:hAnsi="仿宋_GB2312" w:eastAsia="仿宋_GB2312" w:cs="仿宋_GB2312"/>
          <w:b w:val="0"/>
          <w:sz w:val="32"/>
        </w:rPr>
        <w:t>低瓦斯矿井采煤工作面T1传感器报警浓度设定为1.0%，断电浓度设定为1.5%，复电浓度设定为低于1.0%。浓度达1.0%时触发超限报警，达1.5%时触发断电告警，提示矿方立即切断工作面非本质安全型电源。复电前须确认甲烷浓度降至1.0%以下。</w:t>
      </w:r>
    </w:p>
    <w:p w14:paraId="17B883C1">
      <w:pPr>
        <w:spacing w:before="0" w:after="0" w:line="500" w:lineRule="exact"/>
        <w:ind w:firstLine="0"/>
        <w:jc w:val="center"/>
      </w:pPr>
      <w:r>
        <w:rPr>
          <w:rFonts w:ascii="仿宋_GB2312" w:hAnsi="仿宋_GB2312" w:eastAsia="仿宋_GB2312" w:cs="仿宋_GB2312"/>
          <w:b/>
          <w:sz w:val="24"/>
        </w:rPr>
        <w:t>表2甲烷传感器报警断电复电浓度阈值</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6"/>
        <w:gridCol w:w="1836"/>
        <w:gridCol w:w="1836"/>
        <w:gridCol w:w="1836"/>
        <w:gridCol w:w="1836"/>
      </w:tblGrid>
      <w:tr w14:paraId="16CB0ADF">
        <w:trPr>
          <w:jc w:val="center"/>
        </w:trPr>
        <w:tc>
          <w:tcPr>
            <w:tcW w:w="1836" w:type="dxa"/>
            <w:shd w:val="clear" w:color="auto" w:fill="D9E2F3"/>
          </w:tcPr>
          <w:p w14:paraId="3D2CBDB0">
            <w:pPr>
              <w:spacing w:before="0" w:after="0" w:line="360" w:lineRule="exact"/>
              <w:ind w:firstLine="0"/>
              <w:jc w:val="center"/>
            </w:pPr>
            <w:r>
              <w:rPr>
                <w:rFonts w:ascii="仿宋_GB2312" w:hAnsi="仿宋_GB2312" w:eastAsia="仿宋_GB2312" w:cs="仿宋_GB2312"/>
                <w:b/>
                <w:sz w:val="24"/>
              </w:rPr>
              <w:t>矿井类别</w:t>
            </w:r>
          </w:p>
        </w:tc>
        <w:tc>
          <w:tcPr>
            <w:tcW w:w="1836" w:type="dxa"/>
            <w:shd w:val="clear" w:color="auto" w:fill="D9E2F3"/>
          </w:tcPr>
          <w:p w14:paraId="3A7BB340">
            <w:pPr>
              <w:spacing w:before="0" w:after="0" w:line="360" w:lineRule="exact"/>
              <w:ind w:firstLine="0"/>
              <w:jc w:val="center"/>
            </w:pPr>
            <w:r>
              <w:rPr>
                <w:rFonts w:ascii="仿宋_GB2312" w:hAnsi="仿宋_GB2312" w:eastAsia="仿宋_GB2312" w:cs="仿宋_GB2312"/>
                <w:b/>
                <w:sz w:val="24"/>
              </w:rPr>
              <w:t>监测地点</w:t>
            </w:r>
          </w:p>
        </w:tc>
        <w:tc>
          <w:tcPr>
            <w:tcW w:w="1836" w:type="dxa"/>
            <w:shd w:val="clear" w:color="auto" w:fill="D9E2F3"/>
          </w:tcPr>
          <w:p w14:paraId="6D6B3B64">
            <w:pPr>
              <w:spacing w:before="0" w:after="0" w:line="360" w:lineRule="exact"/>
              <w:ind w:firstLine="0"/>
              <w:jc w:val="center"/>
            </w:pPr>
            <w:r>
              <w:rPr>
                <w:rFonts w:ascii="仿宋_GB2312" w:hAnsi="仿宋_GB2312" w:eastAsia="仿宋_GB2312" w:cs="仿宋_GB2312"/>
                <w:b/>
                <w:sz w:val="24"/>
              </w:rPr>
              <w:t>报警浓度</w:t>
            </w:r>
          </w:p>
        </w:tc>
        <w:tc>
          <w:tcPr>
            <w:tcW w:w="1836" w:type="dxa"/>
            <w:shd w:val="clear" w:color="auto" w:fill="D9E2F3"/>
          </w:tcPr>
          <w:p w14:paraId="3ECA78BB">
            <w:pPr>
              <w:spacing w:before="0" w:after="0" w:line="360" w:lineRule="exact"/>
              <w:ind w:firstLine="0"/>
              <w:jc w:val="center"/>
            </w:pPr>
            <w:r>
              <w:rPr>
                <w:rFonts w:ascii="仿宋_GB2312" w:hAnsi="仿宋_GB2312" w:eastAsia="仿宋_GB2312" w:cs="仿宋_GB2312"/>
                <w:b/>
                <w:sz w:val="24"/>
              </w:rPr>
              <w:t>断电浓度</w:t>
            </w:r>
          </w:p>
        </w:tc>
        <w:tc>
          <w:tcPr>
            <w:tcW w:w="1836" w:type="dxa"/>
            <w:shd w:val="clear" w:color="auto" w:fill="D9E2F3"/>
          </w:tcPr>
          <w:p w14:paraId="09010FAB">
            <w:pPr>
              <w:spacing w:before="0" w:after="0" w:line="360" w:lineRule="exact"/>
              <w:ind w:firstLine="0"/>
              <w:jc w:val="center"/>
            </w:pPr>
            <w:r>
              <w:rPr>
                <w:rFonts w:ascii="仿宋_GB2312" w:hAnsi="仿宋_GB2312" w:eastAsia="仿宋_GB2312" w:cs="仿宋_GB2312"/>
                <w:b/>
                <w:sz w:val="24"/>
              </w:rPr>
              <w:t>复电浓度</w:t>
            </w:r>
          </w:p>
        </w:tc>
      </w:tr>
      <w:tr w14:paraId="606D3778">
        <w:trPr>
          <w:jc w:val="center"/>
        </w:trPr>
        <w:tc>
          <w:tcPr>
            <w:tcW w:w="1836" w:type="dxa"/>
          </w:tcPr>
          <w:p w14:paraId="22C8673D">
            <w:pPr>
              <w:spacing w:before="0" w:after="0" w:line="360" w:lineRule="exact"/>
              <w:ind w:firstLine="0"/>
              <w:jc w:val="center"/>
            </w:pPr>
            <w:r>
              <w:rPr>
                <w:rFonts w:ascii="仿宋_GB2312" w:hAnsi="仿宋_GB2312" w:eastAsia="仿宋_GB2312" w:cs="仿宋_GB2312"/>
                <w:b w:val="0"/>
                <w:sz w:val="22"/>
              </w:rPr>
              <w:t>低瓦斯矿井</w:t>
            </w:r>
          </w:p>
        </w:tc>
        <w:tc>
          <w:tcPr>
            <w:tcW w:w="1836" w:type="dxa"/>
          </w:tcPr>
          <w:p w14:paraId="2F14EBEE">
            <w:pPr>
              <w:spacing w:before="0" w:after="0" w:line="360" w:lineRule="exact"/>
              <w:ind w:firstLine="0"/>
              <w:jc w:val="center"/>
            </w:pPr>
            <w:r>
              <w:rPr>
                <w:rFonts w:ascii="仿宋_GB2312" w:hAnsi="仿宋_GB2312" w:eastAsia="仿宋_GB2312" w:cs="仿宋_GB2312"/>
                <w:b w:val="0"/>
                <w:sz w:val="22"/>
              </w:rPr>
              <w:t>采煤工作面T1</w:t>
            </w:r>
          </w:p>
        </w:tc>
        <w:tc>
          <w:tcPr>
            <w:tcW w:w="1836" w:type="dxa"/>
          </w:tcPr>
          <w:p w14:paraId="690CF005">
            <w:pPr>
              <w:spacing w:before="0" w:after="0" w:line="360" w:lineRule="exact"/>
              <w:ind w:firstLine="0"/>
              <w:jc w:val="center"/>
            </w:pPr>
            <w:r>
              <w:rPr>
                <w:rFonts w:ascii="仿宋_GB2312" w:hAnsi="仿宋_GB2312" w:eastAsia="仿宋_GB2312" w:cs="仿宋_GB2312"/>
                <w:b w:val="0"/>
                <w:sz w:val="22"/>
              </w:rPr>
              <w:t>&gt;=1.0%</w:t>
            </w:r>
          </w:p>
        </w:tc>
        <w:tc>
          <w:tcPr>
            <w:tcW w:w="1836" w:type="dxa"/>
          </w:tcPr>
          <w:p w14:paraId="350FBC37">
            <w:pPr>
              <w:spacing w:before="0" w:after="0" w:line="360" w:lineRule="exact"/>
              <w:ind w:firstLine="0"/>
              <w:jc w:val="center"/>
            </w:pPr>
            <w:r>
              <w:rPr>
                <w:rFonts w:ascii="仿宋_GB2312" w:hAnsi="仿宋_GB2312" w:eastAsia="仿宋_GB2312" w:cs="仿宋_GB2312"/>
                <w:b w:val="0"/>
                <w:sz w:val="22"/>
              </w:rPr>
              <w:t>&gt;=1.5%</w:t>
            </w:r>
          </w:p>
        </w:tc>
        <w:tc>
          <w:tcPr>
            <w:tcW w:w="1836" w:type="dxa"/>
          </w:tcPr>
          <w:p w14:paraId="5D850FFB">
            <w:pPr>
              <w:spacing w:before="0" w:after="0" w:line="360" w:lineRule="exact"/>
              <w:ind w:firstLine="0"/>
              <w:jc w:val="center"/>
            </w:pPr>
            <w:r>
              <w:rPr>
                <w:rFonts w:ascii="仿宋_GB2312" w:hAnsi="仿宋_GB2312" w:eastAsia="仿宋_GB2312" w:cs="仿宋_GB2312"/>
                <w:b w:val="0"/>
                <w:sz w:val="22"/>
              </w:rPr>
              <w:t>&lt;1.0%</w:t>
            </w:r>
          </w:p>
        </w:tc>
      </w:tr>
      <w:tr w14:paraId="373E59F1">
        <w:trPr>
          <w:jc w:val="center"/>
        </w:trPr>
        <w:tc>
          <w:tcPr>
            <w:tcW w:w="1836" w:type="dxa"/>
          </w:tcPr>
          <w:p w14:paraId="40CB8CEE">
            <w:pPr>
              <w:spacing w:before="0" w:after="0" w:line="360" w:lineRule="exact"/>
              <w:ind w:firstLine="0"/>
              <w:jc w:val="center"/>
            </w:pPr>
            <w:r>
              <w:rPr>
                <w:rFonts w:ascii="仿宋_GB2312" w:hAnsi="仿宋_GB2312" w:eastAsia="仿宋_GB2312" w:cs="仿宋_GB2312"/>
                <w:b w:val="0"/>
                <w:sz w:val="22"/>
              </w:rPr>
              <w:t>低瓦斯矿井</w:t>
            </w:r>
          </w:p>
        </w:tc>
        <w:tc>
          <w:tcPr>
            <w:tcW w:w="1836" w:type="dxa"/>
          </w:tcPr>
          <w:p w14:paraId="28FFBEE5">
            <w:pPr>
              <w:spacing w:before="0" w:after="0" w:line="360" w:lineRule="exact"/>
              <w:ind w:firstLine="0"/>
              <w:jc w:val="center"/>
            </w:pPr>
            <w:r>
              <w:rPr>
                <w:rFonts w:ascii="仿宋_GB2312" w:hAnsi="仿宋_GB2312" w:eastAsia="仿宋_GB2312" w:cs="仿宋_GB2312"/>
                <w:b w:val="0"/>
                <w:sz w:val="22"/>
              </w:rPr>
              <w:t>采煤工作面回风巷T2</w:t>
            </w:r>
          </w:p>
        </w:tc>
        <w:tc>
          <w:tcPr>
            <w:tcW w:w="1836" w:type="dxa"/>
          </w:tcPr>
          <w:p w14:paraId="14294AC3">
            <w:pPr>
              <w:spacing w:before="0" w:after="0" w:line="360" w:lineRule="exact"/>
              <w:ind w:firstLine="0"/>
              <w:jc w:val="center"/>
            </w:pPr>
            <w:r>
              <w:rPr>
                <w:rFonts w:ascii="仿宋_GB2312" w:hAnsi="仿宋_GB2312" w:eastAsia="仿宋_GB2312" w:cs="仿宋_GB2312"/>
                <w:b w:val="0"/>
                <w:sz w:val="22"/>
              </w:rPr>
              <w:t>&gt;=1.0%</w:t>
            </w:r>
          </w:p>
        </w:tc>
        <w:tc>
          <w:tcPr>
            <w:tcW w:w="1836" w:type="dxa"/>
          </w:tcPr>
          <w:p w14:paraId="325E8865">
            <w:pPr>
              <w:spacing w:before="0" w:after="0" w:line="360" w:lineRule="exact"/>
              <w:ind w:firstLine="0"/>
              <w:jc w:val="center"/>
            </w:pPr>
            <w:r>
              <w:rPr>
                <w:rFonts w:ascii="仿宋_GB2312" w:hAnsi="仿宋_GB2312" w:eastAsia="仿宋_GB2312" w:cs="仿宋_GB2312"/>
                <w:b w:val="0"/>
                <w:sz w:val="22"/>
              </w:rPr>
              <w:t>&gt;=1.0%</w:t>
            </w:r>
          </w:p>
        </w:tc>
        <w:tc>
          <w:tcPr>
            <w:tcW w:w="1836" w:type="dxa"/>
          </w:tcPr>
          <w:p w14:paraId="0B043F57">
            <w:pPr>
              <w:spacing w:before="0" w:after="0" w:line="360" w:lineRule="exact"/>
              <w:ind w:firstLine="0"/>
              <w:jc w:val="center"/>
            </w:pPr>
            <w:r>
              <w:rPr>
                <w:rFonts w:ascii="仿宋_GB2312" w:hAnsi="仿宋_GB2312" w:eastAsia="仿宋_GB2312" w:cs="仿宋_GB2312"/>
                <w:b w:val="0"/>
                <w:sz w:val="22"/>
              </w:rPr>
              <w:t>&lt;1.0%</w:t>
            </w:r>
          </w:p>
        </w:tc>
      </w:tr>
      <w:tr w14:paraId="7342B1A5">
        <w:trPr>
          <w:jc w:val="center"/>
        </w:trPr>
        <w:tc>
          <w:tcPr>
            <w:tcW w:w="1836" w:type="dxa"/>
          </w:tcPr>
          <w:p w14:paraId="4FF9A70F">
            <w:pPr>
              <w:spacing w:before="0" w:after="0" w:line="360" w:lineRule="exact"/>
              <w:ind w:firstLine="0"/>
              <w:jc w:val="center"/>
            </w:pPr>
            <w:r>
              <w:rPr>
                <w:rFonts w:ascii="仿宋_GB2312" w:hAnsi="仿宋_GB2312" w:eastAsia="仿宋_GB2312" w:cs="仿宋_GB2312"/>
                <w:b w:val="0"/>
                <w:sz w:val="22"/>
              </w:rPr>
              <w:t>高瓦斯矿井</w:t>
            </w:r>
          </w:p>
        </w:tc>
        <w:tc>
          <w:tcPr>
            <w:tcW w:w="1836" w:type="dxa"/>
          </w:tcPr>
          <w:p w14:paraId="4467C23D">
            <w:pPr>
              <w:spacing w:before="0" w:after="0" w:line="360" w:lineRule="exact"/>
              <w:ind w:firstLine="0"/>
              <w:jc w:val="center"/>
            </w:pPr>
            <w:r>
              <w:rPr>
                <w:rFonts w:ascii="仿宋_GB2312" w:hAnsi="仿宋_GB2312" w:eastAsia="仿宋_GB2312" w:cs="仿宋_GB2312"/>
                <w:b w:val="0"/>
                <w:sz w:val="22"/>
              </w:rPr>
              <w:t>采煤工作面T1</w:t>
            </w:r>
          </w:p>
        </w:tc>
        <w:tc>
          <w:tcPr>
            <w:tcW w:w="1836" w:type="dxa"/>
          </w:tcPr>
          <w:p w14:paraId="0B0AC918">
            <w:pPr>
              <w:spacing w:before="0" w:after="0" w:line="360" w:lineRule="exact"/>
              <w:ind w:firstLine="0"/>
              <w:jc w:val="center"/>
            </w:pPr>
            <w:r>
              <w:rPr>
                <w:rFonts w:ascii="仿宋_GB2312" w:hAnsi="仿宋_GB2312" w:eastAsia="仿宋_GB2312" w:cs="仿宋_GB2312"/>
                <w:b w:val="0"/>
                <w:sz w:val="22"/>
              </w:rPr>
              <w:t>&gt;=1.0%</w:t>
            </w:r>
          </w:p>
        </w:tc>
        <w:tc>
          <w:tcPr>
            <w:tcW w:w="1836" w:type="dxa"/>
          </w:tcPr>
          <w:p w14:paraId="0215E55E">
            <w:pPr>
              <w:spacing w:before="0" w:after="0" w:line="360" w:lineRule="exact"/>
              <w:ind w:firstLine="0"/>
              <w:jc w:val="center"/>
            </w:pPr>
            <w:r>
              <w:rPr>
                <w:rFonts w:ascii="仿宋_GB2312" w:hAnsi="仿宋_GB2312" w:eastAsia="仿宋_GB2312" w:cs="仿宋_GB2312"/>
                <w:b w:val="0"/>
                <w:sz w:val="22"/>
              </w:rPr>
              <w:t>&gt;=1.5%</w:t>
            </w:r>
          </w:p>
        </w:tc>
        <w:tc>
          <w:tcPr>
            <w:tcW w:w="1836" w:type="dxa"/>
          </w:tcPr>
          <w:p w14:paraId="1FB70A8E">
            <w:pPr>
              <w:spacing w:before="0" w:after="0" w:line="360" w:lineRule="exact"/>
              <w:ind w:firstLine="0"/>
              <w:jc w:val="center"/>
            </w:pPr>
            <w:r>
              <w:rPr>
                <w:rFonts w:ascii="仿宋_GB2312" w:hAnsi="仿宋_GB2312" w:eastAsia="仿宋_GB2312" w:cs="仿宋_GB2312"/>
                <w:b w:val="0"/>
                <w:sz w:val="22"/>
              </w:rPr>
              <w:t>&lt;1.0%</w:t>
            </w:r>
          </w:p>
        </w:tc>
      </w:tr>
      <w:tr w14:paraId="0821A02A">
        <w:trPr>
          <w:jc w:val="center"/>
        </w:trPr>
        <w:tc>
          <w:tcPr>
            <w:tcW w:w="1836" w:type="dxa"/>
          </w:tcPr>
          <w:p w14:paraId="33BE47D7">
            <w:pPr>
              <w:spacing w:before="0" w:after="0" w:line="360" w:lineRule="exact"/>
              <w:ind w:firstLine="0"/>
              <w:jc w:val="center"/>
            </w:pPr>
            <w:r>
              <w:rPr>
                <w:rFonts w:ascii="仿宋_GB2312" w:hAnsi="仿宋_GB2312" w:eastAsia="仿宋_GB2312" w:cs="仿宋_GB2312"/>
                <w:b w:val="0"/>
                <w:sz w:val="22"/>
              </w:rPr>
              <w:t>高瓦斯矿井</w:t>
            </w:r>
          </w:p>
        </w:tc>
        <w:tc>
          <w:tcPr>
            <w:tcW w:w="1836" w:type="dxa"/>
          </w:tcPr>
          <w:p w14:paraId="248F2E27">
            <w:pPr>
              <w:spacing w:before="0" w:after="0" w:line="360" w:lineRule="exact"/>
              <w:ind w:firstLine="0"/>
              <w:jc w:val="center"/>
            </w:pPr>
            <w:r>
              <w:rPr>
                <w:rFonts w:ascii="仿宋_GB2312" w:hAnsi="仿宋_GB2312" w:eastAsia="仿宋_GB2312" w:cs="仿宋_GB2312"/>
                <w:b w:val="0"/>
                <w:sz w:val="22"/>
              </w:rPr>
              <w:t>采煤工作面回风巷T2</w:t>
            </w:r>
          </w:p>
        </w:tc>
        <w:tc>
          <w:tcPr>
            <w:tcW w:w="1836" w:type="dxa"/>
          </w:tcPr>
          <w:p w14:paraId="3098B327">
            <w:pPr>
              <w:spacing w:before="0" w:after="0" w:line="360" w:lineRule="exact"/>
              <w:ind w:firstLine="0"/>
              <w:jc w:val="center"/>
            </w:pPr>
            <w:r>
              <w:rPr>
                <w:rFonts w:ascii="仿宋_GB2312" w:hAnsi="仿宋_GB2312" w:eastAsia="仿宋_GB2312" w:cs="仿宋_GB2312"/>
                <w:b w:val="0"/>
                <w:sz w:val="22"/>
              </w:rPr>
              <w:t>&gt;=1.0%</w:t>
            </w:r>
          </w:p>
        </w:tc>
        <w:tc>
          <w:tcPr>
            <w:tcW w:w="1836" w:type="dxa"/>
          </w:tcPr>
          <w:p w14:paraId="5F42733B">
            <w:pPr>
              <w:spacing w:before="0" w:after="0" w:line="360" w:lineRule="exact"/>
              <w:ind w:firstLine="0"/>
              <w:jc w:val="center"/>
            </w:pPr>
            <w:r>
              <w:rPr>
                <w:rFonts w:ascii="仿宋_GB2312" w:hAnsi="仿宋_GB2312" w:eastAsia="仿宋_GB2312" w:cs="仿宋_GB2312"/>
                <w:b w:val="0"/>
                <w:sz w:val="22"/>
              </w:rPr>
              <w:t>&gt;=1.0%</w:t>
            </w:r>
          </w:p>
        </w:tc>
        <w:tc>
          <w:tcPr>
            <w:tcW w:w="1836" w:type="dxa"/>
          </w:tcPr>
          <w:p w14:paraId="35F3EB2C">
            <w:pPr>
              <w:spacing w:before="0" w:after="0" w:line="360" w:lineRule="exact"/>
              <w:ind w:firstLine="0"/>
              <w:jc w:val="center"/>
            </w:pPr>
            <w:r>
              <w:rPr>
                <w:rFonts w:ascii="仿宋_GB2312" w:hAnsi="仿宋_GB2312" w:eastAsia="仿宋_GB2312" w:cs="仿宋_GB2312"/>
                <w:b w:val="0"/>
                <w:sz w:val="22"/>
              </w:rPr>
              <w:t>&lt;1.0%</w:t>
            </w:r>
          </w:p>
        </w:tc>
      </w:tr>
      <w:tr w14:paraId="28F8C148">
        <w:trPr>
          <w:jc w:val="center"/>
        </w:trPr>
        <w:tc>
          <w:tcPr>
            <w:tcW w:w="1836" w:type="dxa"/>
          </w:tcPr>
          <w:p w14:paraId="39F528F1">
            <w:pPr>
              <w:spacing w:before="0" w:after="0" w:line="360" w:lineRule="exact"/>
              <w:ind w:firstLine="0"/>
              <w:jc w:val="center"/>
            </w:pPr>
            <w:r>
              <w:rPr>
                <w:rFonts w:ascii="仿宋_GB2312" w:hAnsi="仿宋_GB2312" w:eastAsia="仿宋_GB2312" w:cs="仿宋_GB2312"/>
                <w:b w:val="0"/>
                <w:sz w:val="22"/>
              </w:rPr>
              <w:t>高瓦斯矿井</w:t>
            </w:r>
          </w:p>
        </w:tc>
        <w:tc>
          <w:tcPr>
            <w:tcW w:w="1836" w:type="dxa"/>
          </w:tcPr>
          <w:p w14:paraId="1E19F334">
            <w:pPr>
              <w:spacing w:before="0" w:after="0" w:line="360" w:lineRule="exact"/>
              <w:ind w:firstLine="0"/>
              <w:jc w:val="center"/>
            </w:pPr>
            <w:r>
              <w:rPr>
                <w:rFonts w:ascii="仿宋_GB2312" w:hAnsi="仿宋_GB2312" w:eastAsia="仿宋_GB2312" w:cs="仿宋_GB2312"/>
                <w:b w:val="0"/>
                <w:sz w:val="22"/>
              </w:rPr>
              <w:t>回风巷中部</w:t>
            </w:r>
          </w:p>
        </w:tc>
        <w:tc>
          <w:tcPr>
            <w:tcW w:w="1836" w:type="dxa"/>
          </w:tcPr>
          <w:p w14:paraId="4E975B02">
            <w:pPr>
              <w:spacing w:before="0" w:after="0" w:line="360" w:lineRule="exact"/>
              <w:ind w:firstLine="0"/>
              <w:jc w:val="center"/>
            </w:pPr>
            <w:r>
              <w:rPr>
                <w:rFonts w:ascii="仿宋_GB2312" w:hAnsi="仿宋_GB2312" w:eastAsia="仿宋_GB2312" w:cs="仿宋_GB2312"/>
                <w:b w:val="0"/>
                <w:sz w:val="22"/>
              </w:rPr>
              <w:t>&gt;=1.0%</w:t>
            </w:r>
          </w:p>
        </w:tc>
        <w:tc>
          <w:tcPr>
            <w:tcW w:w="1836" w:type="dxa"/>
          </w:tcPr>
          <w:p w14:paraId="1683313F">
            <w:pPr>
              <w:spacing w:before="0" w:after="0" w:line="360" w:lineRule="exact"/>
              <w:ind w:firstLine="0"/>
              <w:jc w:val="center"/>
            </w:pPr>
            <w:r>
              <w:rPr>
                <w:rFonts w:ascii="仿宋_GB2312" w:hAnsi="仿宋_GB2312" w:eastAsia="仿宋_GB2312" w:cs="仿宋_GB2312"/>
                <w:b w:val="0"/>
                <w:sz w:val="22"/>
              </w:rPr>
              <w:t>&gt;=1.0%</w:t>
            </w:r>
          </w:p>
        </w:tc>
        <w:tc>
          <w:tcPr>
            <w:tcW w:w="1836" w:type="dxa"/>
          </w:tcPr>
          <w:p w14:paraId="0991B3BD">
            <w:pPr>
              <w:spacing w:before="0" w:after="0" w:line="360" w:lineRule="exact"/>
              <w:ind w:firstLine="0"/>
              <w:jc w:val="center"/>
            </w:pPr>
            <w:r>
              <w:rPr>
                <w:rFonts w:ascii="仿宋_GB2312" w:hAnsi="仿宋_GB2312" w:eastAsia="仿宋_GB2312" w:cs="仿宋_GB2312"/>
                <w:b w:val="0"/>
                <w:sz w:val="22"/>
              </w:rPr>
              <w:t>&lt;1.0%</w:t>
            </w:r>
          </w:p>
        </w:tc>
      </w:tr>
      <w:tr w14:paraId="1841EDED">
        <w:trPr>
          <w:jc w:val="center"/>
        </w:trPr>
        <w:tc>
          <w:tcPr>
            <w:tcW w:w="1836" w:type="dxa"/>
          </w:tcPr>
          <w:p w14:paraId="234EBC98">
            <w:pPr>
              <w:spacing w:before="0" w:after="0" w:line="360" w:lineRule="exact"/>
              <w:ind w:firstLine="0"/>
              <w:jc w:val="center"/>
            </w:pPr>
            <w:r>
              <w:rPr>
                <w:rFonts w:ascii="仿宋_GB2312" w:hAnsi="仿宋_GB2312" w:eastAsia="仿宋_GB2312" w:cs="仿宋_GB2312"/>
                <w:b w:val="0"/>
                <w:sz w:val="22"/>
              </w:rPr>
              <w:t>各类矿井</w:t>
            </w:r>
          </w:p>
        </w:tc>
        <w:tc>
          <w:tcPr>
            <w:tcW w:w="1836" w:type="dxa"/>
          </w:tcPr>
          <w:p w14:paraId="63041341">
            <w:pPr>
              <w:spacing w:before="0" w:after="0" w:line="360" w:lineRule="exact"/>
              <w:ind w:firstLine="0"/>
              <w:jc w:val="center"/>
            </w:pPr>
            <w:r>
              <w:rPr>
                <w:rFonts w:ascii="仿宋_GB2312" w:hAnsi="仿宋_GB2312" w:eastAsia="仿宋_GB2312" w:cs="仿宋_GB2312"/>
                <w:b w:val="0"/>
                <w:sz w:val="22"/>
              </w:rPr>
              <w:t>总回风巷</w:t>
            </w:r>
          </w:p>
        </w:tc>
        <w:tc>
          <w:tcPr>
            <w:tcW w:w="1836" w:type="dxa"/>
          </w:tcPr>
          <w:p w14:paraId="601DCA89">
            <w:pPr>
              <w:spacing w:before="0" w:after="0" w:line="360" w:lineRule="exact"/>
              <w:ind w:firstLine="0"/>
              <w:jc w:val="center"/>
            </w:pPr>
            <w:r>
              <w:rPr>
                <w:rFonts w:ascii="仿宋_GB2312" w:hAnsi="仿宋_GB2312" w:eastAsia="仿宋_GB2312" w:cs="仿宋_GB2312"/>
                <w:b w:val="0"/>
                <w:sz w:val="22"/>
              </w:rPr>
              <w:t>&gt;=0.75%</w:t>
            </w:r>
          </w:p>
        </w:tc>
        <w:tc>
          <w:tcPr>
            <w:tcW w:w="1836" w:type="dxa"/>
          </w:tcPr>
          <w:p w14:paraId="7246ED29">
            <w:pPr>
              <w:spacing w:before="0" w:after="0" w:line="360" w:lineRule="exact"/>
              <w:ind w:firstLine="0"/>
              <w:jc w:val="center"/>
            </w:pPr>
            <w:r>
              <w:rPr>
                <w:rFonts w:ascii="仿宋_GB2312" w:hAnsi="仿宋_GB2312" w:eastAsia="仿宋_GB2312" w:cs="仿宋_GB2312"/>
                <w:b w:val="0"/>
                <w:sz w:val="22"/>
              </w:rPr>
              <w:t>-</w:t>
            </w:r>
          </w:p>
        </w:tc>
        <w:tc>
          <w:tcPr>
            <w:tcW w:w="1836" w:type="dxa"/>
          </w:tcPr>
          <w:p w14:paraId="23589E1C">
            <w:pPr>
              <w:spacing w:before="0" w:after="0" w:line="360" w:lineRule="exact"/>
              <w:ind w:firstLine="0"/>
              <w:jc w:val="center"/>
            </w:pPr>
            <w:r>
              <w:rPr>
                <w:rFonts w:ascii="仿宋_GB2312" w:hAnsi="仿宋_GB2312" w:eastAsia="仿宋_GB2312" w:cs="仿宋_GB2312"/>
                <w:b w:val="0"/>
                <w:sz w:val="22"/>
              </w:rPr>
              <w:t>-</w:t>
            </w:r>
          </w:p>
        </w:tc>
      </w:tr>
    </w:tbl>
    <w:p w14:paraId="7BF6D309">
      <w:pPr>
        <w:spacing w:before="0" w:after="0" w:line="500" w:lineRule="exact"/>
        <w:ind w:firstLine="1000"/>
      </w:pPr>
      <w:r>
        <w:rPr>
          <w:rFonts w:ascii="楷体_GB2312" w:hAnsi="楷体_GB2312" w:eastAsia="楷体_GB2312" w:cs="楷体_GB2312"/>
          <w:b w:val="0"/>
          <w:sz w:val="32"/>
        </w:rPr>
        <w:t>（二）人员超员预警</w:t>
      </w:r>
    </w:p>
    <w:p w14:paraId="59E6D138">
      <w:pPr>
        <w:spacing w:before="0" w:after="0" w:line="500" w:lineRule="exact"/>
        <w:ind w:firstLine="1000"/>
      </w:pPr>
      <w:r>
        <w:rPr>
          <w:rFonts w:ascii="仿宋_GB2312" w:hAnsi="仿宋_GB2312" w:eastAsia="仿宋_GB2312" w:cs="仿宋_GB2312"/>
          <w:b w:val="0"/>
          <w:sz w:val="32"/>
        </w:rPr>
        <w:t>对接矿井人员定位系统，实时监测井下作业人数。达到核定人数80%时触发关注提示，推送至矿方调度室。达到90%时触发预警，推送至矿方值班领导。达到100%时触发告警，推送至矿长和县监管部门。同步结合井口检身数据，识别无卡入井、人卡不符等违规行为。</w:t>
      </w:r>
    </w:p>
    <w:p w14:paraId="04B73090">
      <w:pPr>
        <w:spacing w:before="0" w:after="0" w:line="500" w:lineRule="exact"/>
        <w:ind w:firstLine="1000"/>
      </w:pPr>
      <w:r>
        <w:rPr>
          <w:rFonts w:ascii="楷体_GB2312" w:hAnsi="楷体_GB2312" w:eastAsia="楷体_GB2312" w:cs="楷体_GB2312"/>
          <w:b w:val="0"/>
          <w:sz w:val="32"/>
        </w:rPr>
        <w:t>（三）通风异常预警</w:t>
      </w:r>
    </w:p>
    <w:p w14:paraId="32FE5E75">
      <w:pPr>
        <w:spacing w:before="0" w:after="0" w:line="500" w:lineRule="exact"/>
        <w:ind w:firstLine="1000"/>
      </w:pPr>
      <w:r>
        <w:rPr>
          <w:rFonts w:ascii="仿宋_GB2312" w:hAnsi="仿宋_GB2312" w:eastAsia="仿宋_GB2312" w:cs="仿宋_GB2312"/>
          <w:b w:val="0"/>
          <w:sz w:val="32"/>
        </w:rPr>
        <w:t>对接主通风机监控系统，实时监测主回风口风速、风压、总风量等参数。风量骤降幅度超过15%时触发通风异常预警，推送至矿方调度室。若瓦斯浓度同步上升，则升级为通风瓦斯联合预警，提升预警级别并推送至矿长和县应急管理部门。对于未集成主通风机监控系统的矿井，通过人工填报方式过渡，待系统集成后切换为自动预警。</w:t>
      </w:r>
    </w:p>
    <w:p w14:paraId="03A031E2">
      <w:pPr>
        <w:rPr>
          <w:rFonts w:ascii="楷体_GB2312" w:hAnsi="楷体_GB2312" w:eastAsia="楷体_GB2312" w:cs="楷体_GB2312"/>
          <w:b w:val="0"/>
          <w:sz w:val="32"/>
        </w:rPr>
      </w:pPr>
      <w:r>
        <w:rPr>
          <w:rFonts w:ascii="楷体_GB2312" w:hAnsi="楷体_GB2312" w:eastAsia="楷体_GB2312" w:cs="楷体_GB2312"/>
          <w:b w:val="0"/>
          <w:sz w:val="32"/>
        </w:rPr>
        <w:br w:type="page"/>
      </w:r>
    </w:p>
    <w:p w14:paraId="5A1312B2">
      <w:pPr>
        <w:spacing w:before="0" w:after="0" w:line="500" w:lineRule="exact"/>
        <w:ind w:firstLine="1000"/>
      </w:pPr>
      <w:r>
        <w:rPr>
          <w:rFonts w:ascii="楷体_GB2312" w:hAnsi="楷体_GB2312" w:eastAsia="楷体_GB2312" w:cs="楷体_GB2312"/>
          <w:b w:val="0"/>
          <w:sz w:val="32"/>
        </w:rPr>
        <w:t>（四）预警分级与推送</w:t>
      </w:r>
    </w:p>
    <w:p w14:paraId="14E6F0D9">
      <w:pPr>
        <w:spacing w:before="0" w:after="0" w:line="500" w:lineRule="exact"/>
        <w:ind w:firstLine="1000"/>
      </w:pPr>
      <w:r>
        <w:rPr>
          <w:rFonts w:ascii="仿宋_GB2312" w:hAnsi="仿宋_GB2312" w:eastAsia="仿宋_GB2312" w:cs="仿宋_GB2312"/>
          <w:b w:val="0"/>
          <w:sz w:val="32"/>
        </w:rPr>
        <w:t>平台采用蓝黄橙红四级分级预警机制，根据风险严重程度和影响范围分级推送至对应责任主体。每条预警记录推送时间、接收人、处置状态，形成完整的预警推送台账。</w:t>
      </w:r>
    </w:p>
    <w:p w14:paraId="244C6187">
      <w:pPr>
        <w:spacing w:before="0" w:after="0" w:line="500" w:lineRule="exact"/>
        <w:ind w:firstLine="1000"/>
      </w:pPr>
      <w:r>
        <w:rPr>
          <w:rFonts w:ascii="仿宋_GB2312" w:hAnsi="仿宋_GB2312" w:eastAsia="仿宋_GB2312" w:cs="仿宋_GB2312"/>
          <w:b/>
          <w:sz w:val="32"/>
        </w:rPr>
        <w:t>1.蓝色预警</w:t>
      </w:r>
    </w:p>
    <w:p w14:paraId="404D437F">
      <w:pPr>
        <w:spacing w:before="0" w:after="0" w:line="500" w:lineRule="exact"/>
        <w:ind w:firstLine="1000"/>
      </w:pPr>
      <w:r>
        <w:rPr>
          <w:rFonts w:ascii="仿宋_GB2312" w:hAnsi="仿宋_GB2312" w:eastAsia="仿宋_GB2312" w:cs="仿宋_GB2312"/>
          <w:b w:val="0"/>
          <w:sz w:val="32"/>
        </w:rPr>
        <w:t>提示关注级别，推送至矿方调度室。适用于瓦斯浓度趋势变化、人员数量接近关注阈值等需持续观察的情形。</w:t>
      </w:r>
    </w:p>
    <w:p w14:paraId="567EDDD3">
      <w:pPr>
        <w:spacing w:before="0" w:after="0" w:line="500" w:lineRule="exact"/>
        <w:ind w:firstLine="1000"/>
      </w:pPr>
      <w:r>
        <w:rPr>
          <w:rFonts w:ascii="仿宋_GB2312" w:hAnsi="仿宋_GB2312" w:eastAsia="仿宋_GB2312" w:cs="仿宋_GB2312"/>
          <w:b/>
          <w:sz w:val="32"/>
        </w:rPr>
        <w:t>2.黄色预警</w:t>
      </w:r>
    </w:p>
    <w:p w14:paraId="5E20E9C6">
      <w:pPr>
        <w:spacing w:before="0" w:after="0" w:line="500" w:lineRule="exact"/>
        <w:ind w:firstLine="1000"/>
      </w:pPr>
      <w:r>
        <w:rPr>
          <w:rFonts w:ascii="仿宋_GB2312" w:hAnsi="仿宋_GB2312" w:eastAsia="仿宋_GB2312" w:cs="仿宋_GB2312"/>
          <w:b w:val="0"/>
          <w:sz w:val="32"/>
        </w:rPr>
        <w:t>要求核查处置级别，推送至矿方值班领导。适用于瓦斯浓度达到报警阈值、人员数量达到预警阈值等需及时核查的情形。</w:t>
      </w:r>
    </w:p>
    <w:p w14:paraId="712E09AB">
      <w:pPr>
        <w:spacing w:before="0" w:after="0" w:line="500" w:lineRule="exact"/>
        <w:ind w:firstLine="1000"/>
      </w:pPr>
      <w:r>
        <w:rPr>
          <w:rFonts w:ascii="仿宋_GB2312" w:hAnsi="仿宋_GB2312" w:eastAsia="仿宋_GB2312" w:cs="仿宋_GB2312"/>
          <w:b/>
          <w:sz w:val="32"/>
        </w:rPr>
        <w:t>3.橙色预警</w:t>
      </w:r>
    </w:p>
    <w:p w14:paraId="3CA2FEA5">
      <w:pPr>
        <w:spacing w:before="0" w:after="0" w:line="500" w:lineRule="exact"/>
        <w:ind w:firstLine="1000"/>
      </w:pPr>
      <w:r>
        <w:rPr>
          <w:rFonts w:ascii="仿宋_GB2312" w:hAnsi="仿宋_GB2312" w:eastAsia="仿宋_GB2312" w:cs="仿宋_GB2312"/>
          <w:b w:val="0"/>
          <w:sz w:val="32"/>
        </w:rPr>
        <w:t>要求限期整改级别，推送至矿长和县监管部门。适用于瓦斯浓度达到断电阈值、人员超员等需立即处置并限期整改的情形。</w:t>
      </w:r>
    </w:p>
    <w:p w14:paraId="3DA60E16">
      <w:pPr>
        <w:spacing w:before="0" w:after="0" w:line="500" w:lineRule="exact"/>
        <w:ind w:firstLine="1000"/>
      </w:pPr>
      <w:r>
        <w:rPr>
          <w:rFonts w:ascii="仿宋_GB2312" w:hAnsi="仿宋_GB2312" w:eastAsia="仿宋_GB2312" w:cs="仿宋_GB2312"/>
          <w:b/>
          <w:sz w:val="32"/>
        </w:rPr>
        <w:t>4.红色预警</w:t>
      </w:r>
    </w:p>
    <w:p w14:paraId="72C6C9E3">
      <w:pPr>
        <w:spacing w:before="0" w:after="0" w:line="500" w:lineRule="exact"/>
        <w:ind w:firstLine="1000"/>
      </w:pPr>
      <w:r>
        <w:rPr>
          <w:rFonts w:ascii="仿宋_GB2312" w:hAnsi="仿宋_GB2312" w:eastAsia="仿宋_GB2312" w:cs="仿宋_GB2312"/>
          <w:b w:val="0"/>
          <w:sz w:val="32"/>
        </w:rPr>
        <w:t>要求立即处置级别，推送至矿长、安全矿长和县应急管理部门。适用于瓦斯浓度持续超限、通风系统严重异常等重大风险情形。</w:t>
      </w:r>
    </w:p>
    <w:p w14:paraId="0965AC12">
      <w:pPr>
        <w:spacing w:before="0" w:after="0" w:line="500" w:lineRule="exact"/>
        <w:ind w:firstLine="1000"/>
      </w:pPr>
      <w:r>
        <w:rPr>
          <w:rFonts w:ascii="黑体" w:hAnsi="黑体" w:eastAsia="黑体" w:cs="黑体"/>
          <w:b w:val="0"/>
          <w:sz w:val="32"/>
        </w:rPr>
        <w:t>六、产量智能核验模块</w:t>
      </w:r>
    </w:p>
    <w:p w14:paraId="3945163D">
      <w:pPr>
        <w:spacing w:before="0" w:after="0" w:line="500" w:lineRule="exact"/>
        <w:ind w:firstLine="1000"/>
      </w:pPr>
      <w:r>
        <w:rPr>
          <w:rFonts w:ascii="仿宋_GB2312" w:hAnsi="仿宋_GB2312" w:eastAsia="仿宋_GB2312" w:cs="仿宋_GB2312"/>
          <w:b w:val="0"/>
          <w:sz w:val="32"/>
        </w:rPr>
        <w:t>该模块以自动采集的用电量数据为基准，以企业日报的出煤量和火工用品量为核验对象，依托智能体内置的数学模型开展智能核验，为生产监管提供线索支撑。模块涵盖吨煤耗电核验和吨煤炸药核验两类功能。</w:t>
      </w:r>
    </w:p>
    <w:p w14:paraId="74EBAB67">
      <w:pPr>
        <w:rPr>
          <w:rFonts w:ascii="楷体_GB2312" w:hAnsi="楷体_GB2312" w:eastAsia="楷体_GB2312" w:cs="楷体_GB2312"/>
          <w:b w:val="0"/>
          <w:sz w:val="32"/>
        </w:rPr>
      </w:pPr>
      <w:r>
        <w:rPr>
          <w:rFonts w:ascii="楷体_GB2312" w:hAnsi="楷体_GB2312" w:eastAsia="楷体_GB2312" w:cs="楷体_GB2312"/>
          <w:b w:val="0"/>
          <w:sz w:val="32"/>
        </w:rPr>
        <w:br w:type="page"/>
      </w:r>
    </w:p>
    <w:p w14:paraId="166BE14B">
      <w:pPr>
        <w:spacing w:before="0" w:after="0" w:line="500" w:lineRule="exact"/>
        <w:ind w:firstLine="1000"/>
      </w:pPr>
      <w:r>
        <w:rPr>
          <w:rFonts w:ascii="楷体_GB2312" w:hAnsi="楷体_GB2312" w:eastAsia="楷体_GB2312" w:cs="楷体_GB2312"/>
          <w:b w:val="0"/>
          <w:sz w:val="32"/>
        </w:rPr>
        <w:t>（一）吨煤耗电核验</w:t>
      </w:r>
    </w:p>
    <w:p w14:paraId="2A27F6CF">
      <w:pPr>
        <w:spacing w:before="0" w:after="0" w:line="500" w:lineRule="exact"/>
        <w:ind w:firstLine="1000"/>
      </w:pPr>
      <w:r>
        <w:rPr>
          <w:rFonts w:ascii="仿宋_GB2312" w:hAnsi="仿宋_GB2312" w:eastAsia="仿宋_GB2312" w:cs="仿宋_GB2312"/>
          <w:b w:val="0"/>
          <w:sz w:val="32"/>
        </w:rPr>
        <w:t>以矿井实际用电量与填报产量的比值关系为核心，建立吨煤耗电基准模型，通过核验比值识别填报产量的异常偏差。</w:t>
      </w:r>
    </w:p>
    <w:p w14:paraId="48948795">
      <w:pPr>
        <w:spacing w:before="0" w:after="0" w:line="500" w:lineRule="exact"/>
        <w:ind w:firstLine="1000"/>
      </w:pPr>
      <w:r>
        <w:rPr>
          <w:rFonts w:ascii="仿宋_GB2312" w:hAnsi="仿宋_GB2312" w:eastAsia="仿宋_GB2312" w:cs="仿宋_GB2312"/>
          <w:b/>
          <w:sz w:val="32"/>
        </w:rPr>
        <w:t>1.吨煤耗电基准模型</w:t>
      </w:r>
    </w:p>
    <w:p w14:paraId="4C5A1587">
      <w:pPr>
        <w:spacing w:before="0" w:after="0" w:line="500" w:lineRule="exact"/>
        <w:ind w:firstLine="1000"/>
      </w:pPr>
      <w:r>
        <w:rPr>
          <w:rFonts w:ascii="仿宋_GB2312" w:hAnsi="仿宋_GB2312" w:eastAsia="仿宋_GB2312" w:cs="仿宋_GB2312"/>
          <w:b w:val="0"/>
          <w:sz w:val="32"/>
        </w:rPr>
        <w:t>基于矿井历史用电量与产量数据，建立吨煤耗电基准模型。基准值由模型根据矿井产能规模、生产工艺、地质条件等参数测算。优先参考已完成分区计量的矿井数据，自动剔除地面通风、排水、压风、提升、选煤厂等耗电干扰项，保障基准值的精准可靠。模型采用增量学习方式，随历史数据积累持续校准。</w:t>
      </w:r>
    </w:p>
    <w:p w14:paraId="78ECA82D">
      <w:pPr>
        <w:spacing w:before="0" w:after="0" w:line="500" w:lineRule="exact"/>
        <w:ind w:firstLine="1000"/>
      </w:pPr>
      <w:r>
        <w:rPr>
          <w:rFonts w:ascii="仿宋_GB2312" w:hAnsi="仿宋_GB2312" w:eastAsia="仿宋_GB2312" w:cs="仿宋_GB2312"/>
          <w:b/>
          <w:sz w:val="32"/>
        </w:rPr>
        <w:t>2.核验比值分级预警</w:t>
      </w:r>
    </w:p>
    <w:p w14:paraId="095CF632">
      <w:pPr>
        <w:spacing w:before="0" w:after="0" w:line="500" w:lineRule="exact"/>
        <w:ind w:firstLine="1000"/>
      </w:pPr>
      <w:r>
        <w:rPr>
          <w:rFonts w:ascii="仿宋_GB2312" w:hAnsi="仿宋_GB2312" w:eastAsia="仿宋_GB2312" w:cs="仿宋_GB2312"/>
          <w:b w:val="0"/>
          <w:sz w:val="32"/>
        </w:rPr>
        <w:t>核验比值等于实际吨煤耗电除以基准吨煤耗电。比值在0.9至1.1之间为正常范围，不触发预警。比值在0.8至0.9之间判定为疑似瞒报，推送至县级平台和县能源局关注。比值在1.1至1.3之间判定为疑似虚报，同样推送至县级平台和县能源局关注。比值低于0.8或高于1.3判定为异常，提升预警级别并推送至县监管部门核查。</w:t>
      </w:r>
    </w:p>
    <w:p w14:paraId="0D156E6F">
      <w:pPr>
        <w:spacing w:before="0" w:after="0" w:line="500" w:lineRule="exact"/>
        <w:ind w:firstLine="0"/>
        <w:jc w:val="center"/>
      </w:pPr>
      <w:r>
        <w:rPr>
          <w:rFonts w:ascii="仿宋_GB2312" w:hAnsi="仿宋_GB2312" w:eastAsia="仿宋_GB2312" w:cs="仿宋_GB2312"/>
          <w:b/>
          <w:sz w:val="24"/>
        </w:rPr>
        <w:t>表3吨煤耗电核验比值分级表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0"/>
        <w:gridCol w:w="3060"/>
        <w:gridCol w:w="3060"/>
      </w:tblGrid>
      <w:tr w14:paraId="7999A4AB">
        <w:trPr>
          <w:jc w:val="center"/>
        </w:trPr>
        <w:tc>
          <w:tcPr>
            <w:tcW w:w="3060" w:type="dxa"/>
            <w:shd w:val="clear" w:color="auto" w:fill="D9E2F3"/>
          </w:tcPr>
          <w:p w14:paraId="2746301D">
            <w:pPr>
              <w:spacing w:before="0" w:after="0" w:line="360" w:lineRule="exact"/>
              <w:ind w:firstLine="0"/>
              <w:jc w:val="center"/>
            </w:pPr>
            <w:r>
              <w:rPr>
                <w:rFonts w:ascii="仿宋_GB2312" w:hAnsi="仿宋_GB2312" w:eastAsia="仿宋_GB2312" w:cs="仿宋_GB2312"/>
                <w:b/>
                <w:sz w:val="24"/>
              </w:rPr>
              <w:t>核验比值</w:t>
            </w:r>
          </w:p>
        </w:tc>
        <w:tc>
          <w:tcPr>
            <w:tcW w:w="3060" w:type="dxa"/>
            <w:shd w:val="clear" w:color="auto" w:fill="D9E2F3"/>
          </w:tcPr>
          <w:p w14:paraId="284C05B8">
            <w:pPr>
              <w:spacing w:before="0" w:after="0" w:line="360" w:lineRule="exact"/>
              <w:ind w:firstLine="0"/>
              <w:jc w:val="center"/>
            </w:pPr>
            <w:r>
              <w:rPr>
                <w:rFonts w:ascii="仿宋_GB2312" w:hAnsi="仿宋_GB2312" w:eastAsia="仿宋_GB2312" w:cs="仿宋_GB2312"/>
                <w:b/>
                <w:sz w:val="24"/>
              </w:rPr>
              <w:t>判定结果</w:t>
            </w:r>
          </w:p>
        </w:tc>
        <w:tc>
          <w:tcPr>
            <w:tcW w:w="3060" w:type="dxa"/>
            <w:shd w:val="clear" w:color="auto" w:fill="D9E2F3"/>
          </w:tcPr>
          <w:p w14:paraId="2D34A0B0">
            <w:pPr>
              <w:spacing w:before="0" w:after="0" w:line="360" w:lineRule="exact"/>
              <w:ind w:firstLine="0"/>
              <w:jc w:val="center"/>
            </w:pPr>
            <w:r>
              <w:rPr>
                <w:rFonts w:ascii="仿宋_GB2312" w:hAnsi="仿宋_GB2312" w:eastAsia="仿宋_GB2312" w:cs="仿宋_GB2312"/>
                <w:b/>
                <w:sz w:val="24"/>
              </w:rPr>
              <w:t>处置措施</w:t>
            </w:r>
          </w:p>
        </w:tc>
      </w:tr>
      <w:tr w14:paraId="54025C93">
        <w:trPr>
          <w:jc w:val="center"/>
        </w:trPr>
        <w:tc>
          <w:tcPr>
            <w:tcW w:w="3060" w:type="dxa"/>
          </w:tcPr>
          <w:p w14:paraId="7F5B1E69">
            <w:pPr>
              <w:spacing w:before="0" w:after="0" w:line="360" w:lineRule="exact"/>
              <w:ind w:firstLine="0"/>
              <w:jc w:val="center"/>
            </w:pPr>
            <w:r>
              <w:rPr>
                <w:rFonts w:ascii="仿宋_GB2312" w:hAnsi="仿宋_GB2312" w:eastAsia="仿宋_GB2312" w:cs="仿宋_GB2312"/>
                <w:b w:val="0"/>
                <w:sz w:val="22"/>
              </w:rPr>
              <w:t>0.9至1.1</w:t>
            </w:r>
          </w:p>
        </w:tc>
        <w:tc>
          <w:tcPr>
            <w:tcW w:w="3060" w:type="dxa"/>
          </w:tcPr>
          <w:p w14:paraId="494A1E8B">
            <w:pPr>
              <w:spacing w:before="0" w:after="0" w:line="360" w:lineRule="exact"/>
              <w:ind w:firstLine="0"/>
              <w:jc w:val="center"/>
            </w:pPr>
            <w:r>
              <w:rPr>
                <w:rFonts w:ascii="仿宋_GB2312" w:hAnsi="仿宋_GB2312" w:eastAsia="仿宋_GB2312" w:cs="仿宋_GB2312"/>
                <w:b w:val="0"/>
                <w:sz w:val="22"/>
              </w:rPr>
              <w:t>正常</w:t>
            </w:r>
          </w:p>
        </w:tc>
        <w:tc>
          <w:tcPr>
            <w:tcW w:w="3060" w:type="dxa"/>
          </w:tcPr>
          <w:p w14:paraId="21BE4D0F">
            <w:pPr>
              <w:spacing w:before="0" w:after="0" w:line="360" w:lineRule="exact"/>
              <w:ind w:firstLine="0"/>
              <w:jc w:val="center"/>
            </w:pPr>
            <w:r>
              <w:rPr>
                <w:rFonts w:ascii="仿宋_GB2312" w:hAnsi="仿宋_GB2312" w:eastAsia="仿宋_GB2312" w:cs="仿宋_GB2312"/>
                <w:b w:val="0"/>
                <w:sz w:val="22"/>
              </w:rPr>
              <w:t>不触发预警</w:t>
            </w:r>
          </w:p>
        </w:tc>
      </w:tr>
      <w:tr w14:paraId="35FE7D9E">
        <w:trPr>
          <w:jc w:val="center"/>
        </w:trPr>
        <w:tc>
          <w:tcPr>
            <w:tcW w:w="3060" w:type="dxa"/>
          </w:tcPr>
          <w:p w14:paraId="5A0487C0">
            <w:pPr>
              <w:spacing w:before="0" w:after="0" w:line="360" w:lineRule="exact"/>
              <w:ind w:firstLine="0"/>
              <w:jc w:val="center"/>
            </w:pPr>
            <w:r>
              <w:rPr>
                <w:rFonts w:ascii="仿宋_GB2312" w:hAnsi="仿宋_GB2312" w:eastAsia="仿宋_GB2312" w:cs="仿宋_GB2312"/>
                <w:b w:val="0"/>
                <w:sz w:val="22"/>
              </w:rPr>
              <w:t>0.8至0.9</w:t>
            </w:r>
          </w:p>
        </w:tc>
        <w:tc>
          <w:tcPr>
            <w:tcW w:w="3060" w:type="dxa"/>
          </w:tcPr>
          <w:p w14:paraId="43845BEF">
            <w:pPr>
              <w:spacing w:before="0" w:after="0" w:line="360" w:lineRule="exact"/>
              <w:ind w:firstLine="0"/>
              <w:jc w:val="center"/>
            </w:pPr>
            <w:r>
              <w:rPr>
                <w:rFonts w:ascii="仿宋_GB2312" w:hAnsi="仿宋_GB2312" w:eastAsia="仿宋_GB2312" w:cs="仿宋_GB2312"/>
                <w:b w:val="0"/>
                <w:sz w:val="22"/>
              </w:rPr>
              <w:t>疑似瞒报</w:t>
            </w:r>
          </w:p>
        </w:tc>
        <w:tc>
          <w:tcPr>
            <w:tcW w:w="3060" w:type="dxa"/>
          </w:tcPr>
          <w:p w14:paraId="5CA7D66E">
            <w:pPr>
              <w:spacing w:before="0" w:after="0" w:line="360" w:lineRule="exact"/>
              <w:ind w:firstLine="0"/>
              <w:jc w:val="center"/>
            </w:pPr>
            <w:r>
              <w:rPr>
                <w:rFonts w:ascii="仿宋_GB2312" w:hAnsi="仿宋_GB2312" w:eastAsia="仿宋_GB2312" w:cs="仿宋_GB2312"/>
                <w:b w:val="0"/>
                <w:sz w:val="22"/>
              </w:rPr>
              <w:t>推送至县级平台和县能源局关注</w:t>
            </w:r>
          </w:p>
        </w:tc>
      </w:tr>
      <w:tr w14:paraId="5E2782F4">
        <w:trPr>
          <w:jc w:val="center"/>
        </w:trPr>
        <w:tc>
          <w:tcPr>
            <w:tcW w:w="3060" w:type="dxa"/>
          </w:tcPr>
          <w:p w14:paraId="0E64FDBC">
            <w:pPr>
              <w:spacing w:before="0" w:after="0" w:line="360" w:lineRule="exact"/>
              <w:ind w:firstLine="0"/>
              <w:jc w:val="center"/>
            </w:pPr>
            <w:r>
              <w:rPr>
                <w:rFonts w:ascii="仿宋_GB2312" w:hAnsi="仿宋_GB2312" w:eastAsia="仿宋_GB2312" w:cs="仿宋_GB2312"/>
                <w:b w:val="0"/>
                <w:sz w:val="22"/>
              </w:rPr>
              <w:t>1.1至1.3</w:t>
            </w:r>
          </w:p>
        </w:tc>
        <w:tc>
          <w:tcPr>
            <w:tcW w:w="3060" w:type="dxa"/>
          </w:tcPr>
          <w:p w14:paraId="38574EEA">
            <w:pPr>
              <w:spacing w:before="0" w:after="0" w:line="360" w:lineRule="exact"/>
              <w:ind w:firstLine="0"/>
              <w:jc w:val="center"/>
            </w:pPr>
            <w:r>
              <w:rPr>
                <w:rFonts w:ascii="仿宋_GB2312" w:hAnsi="仿宋_GB2312" w:eastAsia="仿宋_GB2312" w:cs="仿宋_GB2312"/>
                <w:b w:val="0"/>
                <w:sz w:val="22"/>
              </w:rPr>
              <w:t>疑似虚报</w:t>
            </w:r>
          </w:p>
        </w:tc>
        <w:tc>
          <w:tcPr>
            <w:tcW w:w="3060" w:type="dxa"/>
          </w:tcPr>
          <w:p w14:paraId="6E615692">
            <w:pPr>
              <w:spacing w:before="0" w:after="0" w:line="360" w:lineRule="exact"/>
              <w:ind w:firstLine="0"/>
              <w:jc w:val="center"/>
            </w:pPr>
            <w:r>
              <w:rPr>
                <w:rFonts w:ascii="仿宋_GB2312" w:hAnsi="仿宋_GB2312" w:eastAsia="仿宋_GB2312" w:cs="仿宋_GB2312"/>
                <w:b w:val="0"/>
                <w:sz w:val="22"/>
              </w:rPr>
              <w:t>推送至县级平台和县能源局关注</w:t>
            </w:r>
          </w:p>
        </w:tc>
      </w:tr>
      <w:tr w14:paraId="4C6E5273">
        <w:trPr>
          <w:jc w:val="center"/>
        </w:trPr>
        <w:tc>
          <w:tcPr>
            <w:tcW w:w="3060" w:type="dxa"/>
          </w:tcPr>
          <w:p w14:paraId="1762DCBB">
            <w:pPr>
              <w:spacing w:before="0" w:after="0" w:line="360" w:lineRule="exact"/>
              <w:ind w:firstLine="0"/>
              <w:jc w:val="center"/>
            </w:pPr>
            <w:r>
              <w:rPr>
                <w:rFonts w:ascii="仿宋_GB2312" w:hAnsi="仿宋_GB2312" w:eastAsia="仿宋_GB2312" w:cs="仿宋_GB2312"/>
                <w:b w:val="0"/>
                <w:sz w:val="22"/>
              </w:rPr>
              <w:t>低于0.8或高于1.3</w:t>
            </w:r>
          </w:p>
        </w:tc>
        <w:tc>
          <w:tcPr>
            <w:tcW w:w="3060" w:type="dxa"/>
          </w:tcPr>
          <w:p w14:paraId="1B3FF374">
            <w:pPr>
              <w:spacing w:before="0" w:after="0" w:line="360" w:lineRule="exact"/>
              <w:ind w:firstLine="0"/>
              <w:jc w:val="center"/>
            </w:pPr>
            <w:r>
              <w:rPr>
                <w:rFonts w:ascii="仿宋_GB2312" w:hAnsi="仿宋_GB2312" w:eastAsia="仿宋_GB2312" w:cs="仿宋_GB2312"/>
                <w:b w:val="0"/>
                <w:sz w:val="22"/>
              </w:rPr>
              <w:t>异常</w:t>
            </w:r>
          </w:p>
        </w:tc>
        <w:tc>
          <w:tcPr>
            <w:tcW w:w="3060" w:type="dxa"/>
          </w:tcPr>
          <w:p w14:paraId="6C49DB40">
            <w:pPr>
              <w:spacing w:before="0" w:after="0" w:line="360" w:lineRule="exact"/>
              <w:ind w:firstLine="0"/>
              <w:jc w:val="center"/>
            </w:pPr>
            <w:r>
              <w:rPr>
                <w:rFonts w:ascii="仿宋_GB2312" w:hAnsi="仿宋_GB2312" w:eastAsia="仿宋_GB2312" w:cs="仿宋_GB2312"/>
                <w:b w:val="0"/>
                <w:sz w:val="22"/>
              </w:rPr>
              <w:t>提升预警级别，推送至县监管部门核查</w:t>
            </w:r>
          </w:p>
        </w:tc>
      </w:tr>
    </w:tbl>
    <w:p w14:paraId="7163615E">
      <w:pPr>
        <w:spacing w:before="0" w:after="0" w:line="500" w:lineRule="exact"/>
        <w:ind w:firstLine="1000"/>
      </w:pPr>
      <w:r>
        <w:rPr>
          <w:rFonts w:ascii="楷体_GB2312" w:hAnsi="楷体_GB2312" w:eastAsia="楷体_GB2312" w:cs="楷体_GB2312"/>
          <w:b w:val="0"/>
          <w:sz w:val="32"/>
        </w:rPr>
        <w:t>（二）吨煤炸药核验</w:t>
      </w:r>
    </w:p>
    <w:p w14:paraId="1C017035">
      <w:pPr>
        <w:spacing w:before="0" w:after="0" w:line="500" w:lineRule="exact"/>
        <w:ind w:firstLine="1000"/>
      </w:pPr>
      <w:r>
        <w:rPr>
          <w:rFonts w:ascii="仿宋_GB2312" w:hAnsi="仿宋_GB2312" w:eastAsia="仿宋_GB2312" w:cs="仿宋_GB2312"/>
          <w:b w:val="0"/>
          <w:sz w:val="32"/>
        </w:rPr>
        <w:t>基于矿井历史火工品消耗量与产量数据，建立吨煤炸药消耗基准模型。对日报炸药消耗量与日产量进行交叉核验，当实际消耗量与基准模型测算值偏差超出合理区间时触发预警。当吨煤炸药核验结果与吨煤耗电核验结果同时指向异常时，提升预警级别，增强异常判定的可信度。</w:t>
      </w:r>
    </w:p>
    <w:p w14:paraId="45DBB0C2">
      <w:pPr>
        <w:spacing w:before="0" w:after="0" w:line="500" w:lineRule="exact"/>
        <w:ind w:firstLine="1000"/>
      </w:pPr>
      <w:r>
        <w:rPr>
          <w:rFonts w:ascii="黑体" w:hAnsi="黑体" w:eastAsia="黑体" w:cs="黑体"/>
          <w:b w:val="0"/>
          <w:sz w:val="32"/>
        </w:rPr>
        <w:t>七、综合态势研判模块</w:t>
      </w:r>
    </w:p>
    <w:p w14:paraId="65918A55">
      <w:pPr>
        <w:spacing w:before="0" w:after="0" w:line="500" w:lineRule="exact"/>
        <w:ind w:firstLine="1000"/>
      </w:pPr>
      <w:r>
        <w:rPr>
          <w:rFonts w:ascii="仿宋_GB2312" w:hAnsi="仿宋_GB2312" w:eastAsia="仿宋_GB2312" w:cs="仿宋_GB2312"/>
          <w:b w:val="0"/>
          <w:sz w:val="32"/>
        </w:rPr>
        <w:t>该模块面向县级监管部门，以PC端可视化平台和手机APP为载体，将安全预警、产量核验、处置跟踪等分析结果集中呈现，形成一矿一档、一矿一策的监管画像，为监管调度和决策提供直观支撑。</w:t>
      </w:r>
    </w:p>
    <w:p w14:paraId="72622B38">
      <w:pPr>
        <w:spacing w:before="0" w:after="0" w:line="500" w:lineRule="exact"/>
        <w:ind w:firstLine="1000"/>
      </w:pPr>
      <w:r>
        <w:rPr>
          <w:rFonts w:ascii="楷体_GB2312" w:hAnsi="楷体_GB2312" w:eastAsia="楷体_GB2312" w:cs="楷体_GB2312"/>
          <w:b w:val="0"/>
          <w:sz w:val="32"/>
        </w:rPr>
        <w:t>（一）安全态势一张图</w:t>
      </w:r>
    </w:p>
    <w:p w14:paraId="1B7140D2">
      <w:pPr>
        <w:spacing w:before="0" w:after="0" w:line="500" w:lineRule="exact"/>
        <w:ind w:firstLine="1000"/>
      </w:pPr>
      <w:r>
        <w:rPr>
          <w:rFonts w:ascii="仿宋_GB2312" w:hAnsi="仿宋_GB2312" w:eastAsia="仿宋_GB2312" w:cs="仿宋_GB2312"/>
          <w:b w:val="0"/>
          <w:sz w:val="32"/>
        </w:rPr>
        <w:t>实时展示各矿井瓦斯浓度、人员数量、通风状态等关键安全指标，以可视化地图形式呈现全县煤矿安全态势全貌。支持按矿井、按指标、按时间等多维度筛选查看，异常指标自动标红提示。监管人员可通过一张图快速掌握全县煤矿整体安全状况，精准定位风险矿井和异常指标。</w:t>
      </w:r>
    </w:p>
    <w:p w14:paraId="74EA066B">
      <w:pPr>
        <w:spacing w:before="0" w:after="0" w:line="500" w:lineRule="exact"/>
        <w:ind w:firstLine="1000"/>
      </w:pPr>
      <w:r>
        <w:rPr>
          <w:rFonts w:ascii="楷体_GB2312" w:hAnsi="楷体_GB2312" w:eastAsia="楷体_GB2312" w:cs="楷体_GB2312"/>
          <w:b w:val="0"/>
          <w:sz w:val="32"/>
        </w:rPr>
        <w:t>（二）产量核验偏差热力图</w:t>
      </w:r>
    </w:p>
    <w:p w14:paraId="502D7066">
      <w:pPr>
        <w:spacing w:before="0" w:after="0" w:line="500" w:lineRule="exact"/>
        <w:ind w:firstLine="1000"/>
      </w:pPr>
      <w:r>
        <w:rPr>
          <w:rFonts w:ascii="仿宋_GB2312" w:hAnsi="仿宋_GB2312" w:eastAsia="仿宋_GB2312" w:cs="仿宋_GB2312"/>
          <w:b w:val="0"/>
          <w:sz w:val="32"/>
        </w:rPr>
        <w:t>直观展示各矿井填报产量与多维度核验结果的偏差分布。按矿井和核验维度组织，偏差程度以颜色深浅表示。红色表示严重偏离，黄色表示轻度偏离，绿色表示正常。监管人员可通过热力图快速识别产量填报异常的矿井，为现场核查提供精准指引。</w:t>
      </w:r>
    </w:p>
    <w:p w14:paraId="7773EE85">
      <w:pPr>
        <w:rPr>
          <w:rFonts w:ascii="楷体_GB2312" w:hAnsi="楷体_GB2312" w:eastAsia="楷体_GB2312" w:cs="楷体_GB2312"/>
          <w:b w:val="0"/>
          <w:sz w:val="32"/>
        </w:rPr>
      </w:pPr>
      <w:r>
        <w:rPr>
          <w:rFonts w:ascii="楷体_GB2312" w:hAnsi="楷体_GB2312" w:eastAsia="楷体_GB2312" w:cs="楷体_GB2312"/>
          <w:b w:val="0"/>
          <w:sz w:val="32"/>
        </w:rPr>
        <w:br w:type="page"/>
      </w:r>
    </w:p>
    <w:p w14:paraId="2D3FFA71">
      <w:pPr>
        <w:spacing w:before="0" w:after="0" w:line="500" w:lineRule="exact"/>
        <w:ind w:firstLine="1000"/>
      </w:pPr>
      <w:r>
        <w:rPr>
          <w:rFonts w:ascii="楷体_GB2312" w:hAnsi="楷体_GB2312" w:eastAsia="楷体_GB2312" w:cs="楷体_GB2312"/>
          <w:b w:val="0"/>
          <w:sz w:val="32"/>
        </w:rPr>
        <w:t>（三）预警处置闭环看板</w:t>
      </w:r>
    </w:p>
    <w:p w14:paraId="59001F57">
      <w:pPr>
        <w:spacing w:before="0" w:after="0" w:line="500" w:lineRule="exact"/>
        <w:ind w:firstLine="1000"/>
      </w:pPr>
      <w:r>
        <w:rPr>
          <w:rFonts w:ascii="仿宋_GB2312" w:hAnsi="仿宋_GB2312" w:eastAsia="仿宋_GB2312" w:cs="仿宋_GB2312"/>
          <w:b w:val="0"/>
          <w:sz w:val="32"/>
        </w:rPr>
        <w:t>跟踪各矿井预警事件的响应速度和处置完成率。展示预警总数、已处置数、未处置数、超期未处置数等关键指标，支持按矿井、按预警级别、按时间区间筛选查看。超期未处置事项自动标红提醒，督促监管部门及时跟进，确保预警处置形成闭环。</w:t>
      </w:r>
    </w:p>
    <w:p w14:paraId="68E348FA">
      <w:pPr>
        <w:spacing w:before="0" w:after="0" w:line="500" w:lineRule="exact"/>
        <w:ind w:firstLine="1000"/>
      </w:pPr>
      <w:r>
        <w:rPr>
          <w:rFonts w:ascii="楷体_GB2312" w:hAnsi="楷体_GB2312" w:eastAsia="楷体_GB2312" w:cs="楷体_GB2312"/>
          <w:b w:val="0"/>
          <w:sz w:val="32"/>
        </w:rPr>
        <w:t>（四）月度季度监管分析报告</w:t>
      </w:r>
    </w:p>
    <w:p w14:paraId="43F49D7B">
      <w:pPr>
        <w:spacing w:before="0" w:after="0" w:line="500" w:lineRule="exact"/>
        <w:ind w:firstLine="1000"/>
      </w:pPr>
      <w:r>
        <w:rPr>
          <w:rFonts w:ascii="仿宋_GB2312" w:hAnsi="仿宋_GB2312" w:eastAsia="仿宋_GB2312" w:cs="仿宋_GB2312"/>
          <w:b w:val="0"/>
          <w:sz w:val="32"/>
        </w:rPr>
        <w:t>月度报告涵盖各矿井当月安全预警统计、产量核验偏差分析、预警处置情况评估。季度报告增加横向对比分析、风险趋势预测和监管建议。报告由平台自动生成并推送至县领导和相关部门负责人，为监管决策提供数据支撑。该功能在二期建设中上线，需积累一定周期的运行数据后投入使用。</w:t>
      </w:r>
    </w:p>
    <w:p w14:paraId="5E5C8C83">
      <w:pPr>
        <w:spacing w:before="0" w:after="0" w:line="500" w:lineRule="exact"/>
        <w:ind w:firstLine="1000"/>
      </w:pPr>
      <w:r>
        <w:rPr>
          <w:rFonts w:ascii="楷体_GB2312" w:hAnsi="楷体_GB2312" w:eastAsia="楷体_GB2312" w:cs="楷体_GB2312"/>
          <w:b w:val="0"/>
          <w:sz w:val="32"/>
        </w:rPr>
        <w:t>（五）手机APP移动应用</w:t>
      </w:r>
    </w:p>
    <w:p w14:paraId="61FB77A8">
      <w:pPr>
        <w:spacing w:before="0" w:after="0" w:line="500" w:lineRule="exact"/>
        <w:ind w:firstLine="1000"/>
      </w:pPr>
      <w:r>
        <w:rPr>
          <w:rFonts w:ascii="仿宋_GB2312" w:hAnsi="仿宋_GB2312" w:eastAsia="仿宋_GB2312" w:cs="仿宋_GB2312"/>
          <w:b w:val="0"/>
          <w:sz w:val="32"/>
        </w:rPr>
        <w:t>同步开发手机APP，将PC端一张图、预警告警、分析研判结果推送至县政府专班、县能源局、县应急局及煤矿企业相关责任人。APP支持实时接收预警推送、查看处置流程、上传核查反馈、查阅监管报告等功能。预警信息按责任主体分级推送，确保各级人员及时获取相关信息，实现移动化闭环管理。</w:t>
      </w:r>
    </w:p>
    <w:p w14:paraId="2F405219">
      <w:pPr>
        <w:spacing w:before="0" w:after="0" w:line="500" w:lineRule="exact"/>
        <w:ind w:firstLine="1000"/>
      </w:pPr>
      <w:r>
        <w:rPr>
          <w:rFonts w:ascii="仿宋_GB2312" w:hAnsi="仿宋_GB2312" w:eastAsia="仿宋_GB2312" w:cs="仿宋_GB2312"/>
          <w:b/>
          <w:sz w:val="32"/>
        </w:rPr>
        <w:t>1.预警推送功能</w:t>
      </w:r>
    </w:p>
    <w:p w14:paraId="46B4EDCF">
      <w:pPr>
        <w:spacing w:before="0" w:after="0" w:line="500" w:lineRule="exact"/>
        <w:ind w:firstLine="1000"/>
      </w:pPr>
      <w:r>
        <w:rPr>
          <w:rFonts w:ascii="仿宋_GB2312" w:hAnsi="仿宋_GB2312" w:eastAsia="仿宋_GB2312" w:cs="仿宋_GB2312"/>
          <w:b w:val="0"/>
          <w:sz w:val="32"/>
        </w:rPr>
        <w:t>根据预警级别和责任分工，将预警信息精准推送至对应责任人的手机APP。支持推送回执确认，确保预警信息送达。</w:t>
      </w:r>
    </w:p>
    <w:p w14:paraId="26F5215E">
      <w:pPr>
        <w:spacing w:before="0" w:after="0" w:line="500" w:lineRule="exact"/>
        <w:ind w:firstLine="1000"/>
      </w:pPr>
      <w:r>
        <w:rPr>
          <w:rFonts w:ascii="仿宋_GB2312" w:hAnsi="仿宋_GB2312" w:eastAsia="仿宋_GB2312" w:cs="仿宋_GB2312"/>
          <w:b/>
          <w:sz w:val="32"/>
        </w:rPr>
        <w:t>2.处置跟踪功能</w:t>
      </w:r>
    </w:p>
    <w:p w14:paraId="3E7CE5AD">
      <w:pPr>
        <w:spacing w:before="0" w:after="0" w:line="500" w:lineRule="exact"/>
        <w:ind w:firstLine="1000"/>
      </w:pPr>
      <w:r>
        <w:rPr>
          <w:rFonts w:ascii="仿宋_GB2312" w:hAnsi="仿宋_GB2312" w:eastAsia="仿宋_GB2312" w:cs="仿宋_GB2312"/>
          <w:b w:val="0"/>
          <w:sz w:val="32"/>
        </w:rPr>
        <w:t>责任人在APP上查看预警详情、处置时限和工作要求，实时更新处置进度，上传现场核查照片和反馈意见。</w:t>
      </w:r>
    </w:p>
    <w:p w14:paraId="417CBF6B">
      <w:pPr>
        <w:spacing w:before="0" w:after="0" w:line="500" w:lineRule="exact"/>
        <w:ind w:firstLine="1000"/>
      </w:pPr>
      <w:r>
        <w:rPr>
          <w:rFonts w:ascii="仿宋_GB2312" w:hAnsi="仿宋_GB2312" w:eastAsia="仿宋_GB2312" w:cs="仿宋_GB2312"/>
          <w:b/>
          <w:sz w:val="32"/>
        </w:rPr>
        <w:t>3.监管报告查阅功能</w:t>
      </w:r>
    </w:p>
    <w:p w14:paraId="740D375A">
      <w:pPr>
        <w:spacing w:before="0" w:after="0" w:line="500" w:lineRule="exact"/>
        <w:ind w:firstLine="1000"/>
      </w:pPr>
      <w:r>
        <w:rPr>
          <w:rFonts w:ascii="仿宋_GB2312" w:hAnsi="仿宋_GB2312" w:eastAsia="仿宋_GB2312" w:cs="仿宋_GB2312"/>
          <w:b w:val="0"/>
          <w:sz w:val="32"/>
        </w:rPr>
        <w:t>县领导和部门负责人可通过APP查阅月度季度监管分析报告，随时随地掌握全县煤矿监管态势。</w:t>
      </w:r>
    </w:p>
    <w:p w14:paraId="6AA62588">
      <w:pPr>
        <w:spacing w:before="0" w:after="0" w:line="500" w:lineRule="exact"/>
        <w:ind w:firstLine="1000"/>
      </w:pPr>
      <w:r>
        <w:rPr>
          <w:rFonts w:ascii="黑体" w:hAnsi="黑体" w:eastAsia="黑体" w:cs="黑体"/>
          <w:b w:val="0"/>
          <w:sz w:val="32"/>
        </w:rPr>
        <w:t>八、分阶段实施路径</w:t>
      </w:r>
    </w:p>
    <w:p w14:paraId="38E7AAC1">
      <w:pPr>
        <w:spacing w:before="0" w:after="0" w:line="500" w:lineRule="exact"/>
        <w:ind w:firstLine="1000"/>
      </w:pPr>
      <w:r>
        <w:rPr>
          <w:rFonts w:ascii="仿宋_GB2312" w:hAnsi="仿宋_GB2312" w:eastAsia="仿宋_GB2312" w:cs="仿宋_GB2312"/>
          <w:b w:val="0"/>
          <w:sz w:val="32"/>
        </w:rPr>
        <w:t>平台建设按照一期、二期、三期3个阶段分步推进，遵循先安全后生产、先基础后深化的节奏，确保平台能力稳步升级。</w:t>
      </w:r>
    </w:p>
    <w:p w14:paraId="0CE41484">
      <w:pPr>
        <w:spacing w:before="0" w:after="0" w:line="500" w:lineRule="exact"/>
        <w:ind w:firstLine="1000"/>
      </w:pPr>
      <w:r>
        <w:rPr>
          <w:rFonts w:ascii="楷体_GB2312" w:hAnsi="楷体_GB2312" w:eastAsia="楷体_GB2312" w:cs="楷体_GB2312"/>
          <w:b w:val="0"/>
          <w:sz w:val="32"/>
        </w:rPr>
        <w:t>（一）第一阶段，基础搭建与安全预警落地</w:t>
      </w:r>
    </w:p>
    <w:p w14:paraId="122A216E">
      <w:pPr>
        <w:spacing w:before="0" w:after="0" w:line="500" w:lineRule="exact"/>
        <w:ind w:firstLine="1000"/>
      </w:pPr>
      <w:r>
        <w:rPr>
          <w:rFonts w:ascii="仿宋_GB2312" w:hAnsi="仿宋_GB2312" w:eastAsia="仿宋_GB2312" w:cs="仿宋_GB2312"/>
          <w:b w:val="0"/>
          <w:sz w:val="32"/>
        </w:rPr>
        <w:t>实施周期1至2个月。</w:t>
      </w:r>
    </w:p>
    <w:p w14:paraId="2FA2F5D6">
      <w:pPr>
        <w:spacing w:before="0" w:after="0" w:line="500" w:lineRule="exact"/>
        <w:ind w:firstLine="1000"/>
      </w:pPr>
      <w:r>
        <w:rPr>
          <w:rFonts w:ascii="仿宋_GB2312" w:hAnsi="仿宋_GB2312" w:eastAsia="仿宋_GB2312" w:cs="仿宋_GB2312"/>
          <w:b w:val="0"/>
          <w:sz w:val="32"/>
        </w:rPr>
        <w:t>完成试点矿井的系统对接，打通人员定位、安全监测监控、主通风机监控3类系统的数据采集通道，部署矿端边缘智能体。同步完成与市能源局平台的用电量数据对接和煤矿产量监测系统的出煤量数据接入。</w:t>
      </w:r>
    </w:p>
    <w:p w14:paraId="44038353">
      <w:pPr>
        <w:spacing w:before="0" w:after="0" w:line="500" w:lineRule="exact"/>
        <w:ind w:firstLine="1000"/>
      </w:pPr>
      <w:r>
        <w:rPr>
          <w:rFonts w:ascii="仿宋_GB2312" w:hAnsi="仿宋_GB2312" w:eastAsia="仿宋_GB2312" w:cs="仿宋_GB2312"/>
          <w:b w:val="0"/>
          <w:sz w:val="32"/>
        </w:rPr>
        <w:t>上线统一人工填报入口，内置基础校验规则，建立出煤量、火工用品量2类数据的常态化日报报送机制。</w:t>
      </w:r>
    </w:p>
    <w:p w14:paraId="7846ED42">
      <w:pPr>
        <w:spacing w:before="0" w:after="0" w:line="500" w:lineRule="exact"/>
        <w:ind w:firstLine="1000"/>
      </w:pPr>
      <w:r>
        <w:rPr>
          <w:rFonts w:ascii="仿宋_GB2312" w:hAnsi="仿宋_GB2312" w:eastAsia="仿宋_GB2312" w:cs="仿宋_GB2312"/>
          <w:b w:val="0"/>
          <w:sz w:val="32"/>
        </w:rPr>
        <w:t>建成县级煤矿安全监管可视化平台，落地安全智能预警全功能，包括甲烷浓度预警、人员超员预警、通风异常预警和蓝黄橙红四级预警推送。同步上线综合态势研判模块的安全态势一张图、产量核验偏差热力图、预警处置闭环看板和手机APP移动应用，正式投入辅助监管使用。</w:t>
      </w:r>
    </w:p>
    <w:p w14:paraId="25ADE339">
      <w:pPr>
        <w:rPr>
          <w:rFonts w:ascii="楷体_GB2312" w:hAnsi="楷体_GB2312" w:eastAsia="楷体_GB2312" w:cs="楷体_GB2312"/>
          <w:b w:val="0"/>
          <w:sz w:val="32"/>
        </w:rPr>
      </w:pPr>
      <w:r>
        <w:rPr>
          <w:rFonts w:ascii="楷体_GB2312" w:hAnsi="楷体_GB2312" w:eastAsia="楷体_GB2312" w:cs="楷体_GB2312"/>
          <w:b w:val="0"/>
          <w:sz w:val="32"/>
        </w:rPr>
        <w:br w:type="page"/>
      </w:r>
    </w:p>
    <w:p w14:paraId="004923B4">
      <w:pPr>
        <w:spacing w:before="0" w:after="0" w:line="500" w:lineRule="exact"/>
        <w:ind w:firstLine="1000"/>
      </w:pPr>
      <w:r>
        <w:rPr>
          <w:rFonts w:ascii="楷体_GB2312" w:hAnsi="楷体_GB2312" w:eastAsia="楷体_GB2312" w:cs="楷体_GB2312"/>
          <w:b w:val="0"/>
          <w:sz w:val="32"/>
        </w:rPr>
        <w:t>（二）第二阶段，模型训练与核验功能上线</w:t>
      </w:r>
    </w:p>
    <w:p w14:paraId="345D937E">
      <w:pPr>
        <w:spacing w:before="0" w:after="0" w:line="500" w:lineRule="exact"/>
        <w:ind w:firstLine="1000"/>
      </w:pPr>
      <w:r>
        <w:rPr>
          <w:rFonts w:ascii="仿宋_GB2312" w:hAnsi="仿宋_GB2312" w:eastAsia="仿宋_GB2312" w:cs="仿宋_GB2312"/>
          <w:b w:val="0"/>
          <w:sz w:val="32"/>
        </w:rPr>
        <w:t>实施周期2至3个月。</w:t>
      </w:r>
    </w:p>
    <w:p w14:paraId="14BEFD74">
      <w:pPr>
        <w:spacing w:before="0" w:after="0" w:line="500" w:lineRule="exact"/>
        <w:ind w:firstLine="1000"/>
      </w:pPr>
      <w:r>
        <w:rPr>
          <w:rFonts w:ascii="仿宋_GB2312" w:hAnsi="仿宋_GB2312" w:eastAsia="仿宋_GB2312" w:cs="仿宋_GB2312"/>
          <w:b w:val="0"/>
          <w:sz w:val="32"/>
        </w:rPr>
        <w:t>积累1至3个月的对应生产数据，依托专业数学模型完成本地化参数测算，校准吨煤耗电基准区间和吨煤炸药消耗基准，完成核验模型训练。</w:t>
      </w:r>
    </w:p>
    <w:p w14:paraId="5C070F82">
      <w:pPr>
        <w:spacing w:before="0" w:after="0" w:line="500" w:lineRule="exact"/>
        <w:ind w:firstLine="1000"/>
      </w:pPr>
      <w:r>
        <w:rPr>
          <w:rFonts w:ascii="仿宋_GB2312" w:hAnsi="仿宋_GB2312" w:eastAsia="仿宋_GB2312" w:cs="仿宋_GB2312"/>
          <w:b w:val="0"/>
          <w:sz w:val="32"/>
        </w:rPr>
        <w:t>上线吨煤耗电核验和吨煤炸药核验功能，在试点矿井试运行，生成异常核验清单，配合监管部门开展现场核查，验证模型有效性。</w:t>
      </w:r>
    </w:p>
    <w:p w14:paraId="2D092246">
      <w:pPr>
        <w:spacing w:before="0" w:after="0" w:line="500" w:lineRule="exact"/>
        <w:ind w:firstLine="1000"/>
      </w:pPr>
      <w:r>
        <w:rPr>
          <w:rFonts w:ascii="仿宋_GB2312" w:hAnsi="仿宋_GB2312" w:eastAsia="仿宋_GB2312" w:cs="仿宋_GB2312"/>
          <w:b w:val="0"/>
          <w:sz w:val="32"/>
        </w:rPr>
        <w:t>上线模型迭代优化功能，基于历史预警数据与现场核查结果自动校准模型参数。同步上线月度季度监管分析报告功能，实现监管分析报告自动生成和推送。</w:t>
      </w:r>
    </w:p>
    <w:p w14:paraId="4038A78D">
      <w:pPr>
        <w:spacing w:before="0" w:after="0" w:line="500" w:lineRule="exact"/>
        <w:ind w:firstLine="1000"/>
      </w:pPr>
      <w:r>
        <w:rPr>
          <w:rFonts w:ascii="楷体_GB2312" w:hAnsi="楷体_GB2312" w:eastAsia="楷体_GB2312" w:cs="楷体_GB2312"/>
          <w:b w:val="0"/>
          <w:sz w:val="32"/>
        </w:rPr>
        <w:t>（三）第三阶段，全县推广与能力深化</w:t>
      </w:r>
    </w:p>
    <w:p w14:paraId="3E441999">
      <w:pPr>
        <w:spacing w:before="0" w:after="0" w:line="500" w:lineRule="exact"/>
        <w:ind w:firstLine="1000"/>
      </w:pPr>
      <w:r>
        <w:rPr>
          <w:rFonts w:ascii="仿宋_GB2312" w:hAnsi="仿宋_GB2312" w:eastAsia="仿宋_GB2312" w:cs="仿宋_GB2312"/>
          <w:b w:val="0"/>
          <w:sz w:val="32"/>
        </w:rPr>
        <w:t>在试点验证成熟的基础上，将平台覆盖范围扩大至全县生产矿井，实现安全预警与产量核验全覆盖。</w:t>
      </w:r>
    </w:p>
    <w:p w14:paraId="7C1859D2">
      <w:pPr>
        <w:spacing w:before="0" w:after="0" w:line="500" w:lineRule="exact"/>
        <w:ind w:firstLine="1000"/>
      </w:pPr>
      <w:r>
        <w:rPr>
          <w:rFonts w:ascii="仿宋_GB2312" w:hAnsi="仿宋_GB2312" w:eastAsia="仿宋_GB2312" w:cs="仿宋_GB2312"/>
          <w:b w:val="0"/>
          <w:sz w:val="32"/>
        </w:rPr>
        <w:t>逐步纳入用煤量、运输量、煤炭销售发票等新五量数据，实现从产量到销量、从生产到流通的全链条数字化管控。</w:t>
      </w:r>
    </w:p>
    <w:p w14:paraId="074AD364">
      <w:pPr>
        <w:spacing w:before="0" w:after="0" w:line="500" w:lineRule="exact"/>
        <w:ind w:firstLine="1000"/>
      </w:pPr>
      <w:r>
        <w:rPr>
          <w:rFonts w:ascii="仿宋_GB2312" w:hAnsi="仿宋_GB2312" w:eastAsia="仿宋_GB2312" w:cs="仿宋_GB2312"/>
          <w:b w:val="0"/>
          <w:sz w:val="32"/>
        </w:rPr>
        <w:t>持续优化算法模型与平台功能，结合监管工作实际需求深化数据分析维度，不断提升平台支撑能力。全面总结平台建设与运行经验，形成可复制、可推广的建设运营模式。</w:t>
      </w:r>
    </w:p>
    <w:sectPr>
      <w:pgSz w:w="12240" w:h="15840"/>
      <w:pgMar w:top="2098" w:right="1474" w:bottom="1984" w:left="158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方正小标宋简体">
    <w:panose1 w:val="03000509000000000000"/>
    <w:charset w:val="86"/>
    <w:family w:val="auto"/>
    <w:pitch w:val="default"/>
    <w:sig w:usb0="00000001" w:usb1="080E0000" w:usb2="00000000" w:usb3="00000000" w:csb0="00040000" w:csb1="00000000"/>
  </w:font>
  <w:font w:name="楷体_GB2312">
    <w:panose1 w:val="02010609030101010101"/>
    <w:charset w:val="86"/>
    <w:family w:val="auto"/>
    <w:pitch w:val="default"/>
    <w:sig w:usb0="00000001" w:usb1="080E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ＭＳ ゴシック">
    <w:altName w:val="苹方-简"/>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BF13698"/>
    <w:rsid w:val="EDF6FDE1"/>
    <w:rsid w:val="FFFF3C4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7175</Words>
  <Characters>7381</Characters>
  <Lines>0</Lines>
  <Paragraphs>0</Paragraphs>
  <TotalTime>7</TotalTime>
  <ScaleCrop>false</ScaleCrop>
  <LinksUpToDate>false</LinksUpToDate>
  <CharactersWithSpaces>7412</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neil</dc:creator>
  <cp:lastModifiedBy>Neil</cp:lastModifiedBy>
  <dcterms:modified xsi:type="dcterms:W3CDTF">2026-07-28T17:09:08Z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2052-12.1.26035.26035</vt:lpwstr>
  </property>
  <property fmtid="{D5CDD505-2E9C-101B-9397-08002B2CF9AE}" pid="3" name="ICV">
    <vt:lpwstr>714716B2A4BC3FA39570686AEF9B7B17_42</vt:lpwstr>
  </property>
</Properties>
</file>