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What is meant by this question?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Evaluate deep learning algori</w:t>
      </w:r>
      <w:r>
        <w:rPr>
          <w:rFonts w:ascii="Times New Roman" w:hAnsi="Times New Roman"/>
          <w:sz w:val="24"/>
          <w:szCs w:val="24"/>
          <w:rtl w:val="0"/>
          <w:lang w:val="en-US"/>
        </w:rPr>
        <w:t>th</w:t>
      </w:r>
      <w:r>
        <w:rPr>
          <w:rFonts w:ascii="Times New Roman" w:hAnsi="Times New Roman"/>
          <w:sz w:val="24"/>
          <w:szCs w:val="24"/>
          <w:rtl w:val="0"/>
          <w:lang w:val="en-US"/>
        </w:rPr>
        <w:t>m contribute to Levangerstadt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s self-driving car project.</w:t>
      </w:r>
    </w:p>
    <w:p>
      <w:pPr>
        <w:pStyle w:val="正文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Why was that question chosen?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It is hoping the students to discuss the impact of recent emerging technologies on a real life situation. How does it affect the project-owners and the potential customers of this project?</w:t>
      </w:r>
    </w:p>
    <w:p>
      <w:pPr>
        <w:pStyle w:val="正文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What is the answer to that question?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zh-TW" w:eastAsia="zh-TW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development of convolutional neural networks (CNNs) for Levangerstadt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to </w:t>
      </w:r>
      <w:r>
        <w:rPr>
          <w:rFonts w:ascii="Times New Roman" w:hAnsi="Times New Roman"/>
          <w:sz w:val="24"/>
          <w:szCs w:val="24"/>
          <w:rtl w:val="0"/>
          <w:lang w:val="en-US"/>
        </w:rPr>
        <w:t>help them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</w:p>
    <w:p>
      <w:pPr>
        <w:pStyle w:val="正文"/>
        <w:numPr>
          <w:ilvl w:val="0"/>
          <w:numId w:val="4"/>
        </w:numPr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property of shift invariance</w:t>
      </w:r>
    </w:p>
    <w:p>
      <w:pPr>
        <w:pStyle w:val="正文"/>
        <w:numPr>
          <w:ilvl w:val="0"/>
          <w:numId w:val="4"/>
        </w:numPr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reduction in the processing required due both to their basic design and to the use of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reduced memory footprint owing to the use of the same parameters (weights) across.</w:t>
      </w:r>
    </w:p>
    <w:p>
      <w:pPr>
        <w:pStyle w:val="正文"/>
        <w:numPr>
          <w:ilvl w:val="0"/>
          <w:numId w:val="4"/>
        </w:numPr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However, CNNs would not be able to be used either for training or for on-road testing if it wasn</w:t>
      </w:r>
      <w:r>
        <w:rPr>
          <w:rFonts w:ascii="Times New Roman" w:hAnsi="Times New Roman" w:hint="default"/>
          <w:sz w:val="24"/>
          <w:szCs w:val="24"/>
          <w:rtl w:val="0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t for the latest developments in Graphical Processing Units (GPUs) and the availability of large scale labelled data sets.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u w:val="single"/>
        </w:rPr>
      </w:pPr>
    </w:p>
    <w:p>
      <w:pPr>
        <w:pStyle w:val="正文"/>
        <w:numPr>
          <w:ilvl w:val="0"/>
          <w:numId w:val="2"/>
        </w:numPr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What is a question for this year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s case study that uses the same why?</w:t>
      </w:r>
    </w:p>
    <w:p>
      <w:pPr>
        <w:pStyle w:val="正文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both"/>
      </w:pPr>
      <w:r>
        <w:rPr>
          <w:rFonts w:ascii="Times New Roman" w:hAnsi="Times New Roman"/>
          <w:sz w:val="24"/>
          <w:szCs w:val="24"/>
          <w:rtl w:val="0"/>
          <w:lang w:val="en-US"/>
        </w:rPr>
        <w:t>How can the development of mobile phone application contributes towards the development in the Bangbai emergency system?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字母"/>
  </w:abstractNum>
  <w:abstractNum w:abstractNumId="3">
    <w:multiLevelType w:val="hybridMultilevel"/>
    <w:styleLink w:val="字母"/>
    <w:lvl w:ilvl="0">
      <w:start w:val="1"/>
      <w:numFmt w:val="lowerLetter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pPr>
      <w:numPr>
        <w:numId w:val="1"/>
      </w:numPr>
    </w:pPr>
  </w:style>
  <w:style w:type="numbering" w:styleId="字母">
    <w:name w:val="字母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