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80"/>
      </w:pPr>
      <w:r>
        <w:t xml:space="preserve">English Title, Abstract, and Section Skeleton</w:t>
      </w:r>
      <w:r>
        <w:rPr>
          <w:rFonts w:ascii="Times New Roman" w:cs="Times New Roman" w:eastAsia="Times New Roman" w:hAnsi="Times New Roman"/>
          <w:b/>
          <w:bCs/>
          <w:i w:val="false"/>
          <w:iCs w:val="false"/>
          <w:sz w:val="34"/>
          <w:szCs w:val="34"/>
        </w:rPr>
        <w:t xml:space="preserve">English Title, Abstract, and Section Skeleton</w:t>
      </w:r>
    </w:p>
    <w:p>
      <w:pPr>
        <w:spacing w:after="120" w:line="330"/>
        <w:jc w:val="left"/>
      </w:pPr>
      <w:r>
        <w:rPr>
          <w:rFonts w:ascii="Times New Roman" w:cs="Times New Roman" w:eastAsia="Times New Roman" w:hAnsi="Times New Roman"/>
          <w:b w:val="false"/>
          <w:bCs w:val="false"/>
          <w:i w:val="false"/>
          <w:iCs w:val="false"/>
          <w:sz w:val="22"/>
          <w:szCs w:val="22"/>
        </w:rPr>
        <w:t xml:space="preserve">Updated: 2026-04-22</w:t>
      </w:r>
    </w:p>
    <w:p>
      <w:pPr>
        <w:pStyle w:val="Heading1"/>
        <w:spacing w:after="120" w:before="220"/>
      </w:pPr>
      <w:r>
        <w:t xml:space="preserve">Candidate Titles</w:t>
      </w:r>
      <w:r>
        <w:rPr>
          <w:rFonts w:ascii="Times New Roman" w:cs="Times New Roman" w:eastAsia="Times New Roman" w:hAnsi="Times New Roman"/>
          <w:b/>
          <w:bCs/>
          <w:i w:val="false"/>
          <w:iCs w:val="false"/>
          <w:sz w:val="30"/>
          <w:szCs w:val="30"/>
        </w:rPr>
        <w:t xml:space="preserve">Candidate Titles</w:t>
      </w:r>
    </w:p>
    <w:p>
      <w:pPr>
        <w:pStyle w:val="ListParagraph"/>
        <w:numPr>
          <w:ilvl w:val="0"/>
          <w:numId w:val="1"/>
        </w:numPr>
        <w:spacing w:after="120" w:line="330"/>
        <w:jc w:val="left"/>
      </w:pPr>
      <w:r>
        <w:rPr>
          <w:rFonts w:ascii="Times New Roman" w:cs="Times New Roman" w:eastAsia="Times New Roman" w:hAnsi="Times New Roman"/>
          <w:b w:val="false"/>
          <w:bCs w:val="false"/>
          <w:i w:val="false"/>
          <w:iCs w:val="false"/>
          <w:sz w:val="22"/>
          <w:szCs w:val="22"/>
        </w:rPr>
        <w:t xml:space="preserve">A Staged Enhancement Framework with Feature-Gated Fusion for Underwater HAB Microscopy Images</w:t>
      </w:r>
    </w:p>
    <w:p>
      <w:pPr>
        <w:pStyle w:val="ListParagraph"/>
        <w:numPr>
          <w:ilvl w:val="0"/>
          <w:numId w:val="1"/>
        </w:numPr>
        <w:spacing w:after="120" w:line="330"/>
        <w:jc w:val="left"/>
      </w:pPr>
      <w:r>
        <w:rPr>
          <w:rFonts w:ascii="Times New Roman" w:cs="Times New Roman" w:eastAsia="Times New Roman" w:hAnsi="Times New Roman"/>
          <w:b w:val="false"/>
          <w:bCs w:val="false"/>
          <w:i w:val="false"/>
          <w:iCs w:val="false"/>
          <w:sz w:val="22"/>
          <w:szCs w:val="22"/>
        </w:rPr>
        <w:t xml:space="preserve">Responsibility-Separated Branch Enhancement and Luminance-Domain Fusion for Underwater Harmful Algal Bloom Microscopy</w:t>
      </w:r>
    </w:p>
    <w:p>
      <w:pPr>
        <w:pStyle w:val="ListParagraph"/>
        <w:numPr>
          <w:ilvl w:val="0"/>
          <w:numId w:val="1"/>
        </w:numPr>
        <w:spacing w:after="120" w:line="330"/>
        <w:jc w:val="left"/>
      </w:pPr>
      <w:r>
        <w:rPr>
          <w:rFonts w:ascii="Times New Roman" w:cs="Times New Roman" w:eastAsia="Times New Roman" w:hAnsi="Times New Roman"/>
          <w:b w:val="false"/>
          <w:bCs w:val="false"/>
          <w:i w:val="false"/>
          <w:iCs w:val="false"/>
          <w:sz w:val="22"/>
          <w:szCs w:val="22"/>
        </w:rPr>
        <w:t xml:space="preserve">Evidence-Aligned Underwater Microscopy Image Enhancement via White-Balance Stabilization and Structured Fusion</w:t>
      </w:r>
    </w:p>
    <w:p>
      <w:pPr>
        <w:pStyle w:val="Heading1"/>
        <w:spacing w:after="120" w:before="220"/>
      </w:pPr>
      <w:r>
        <w:t xml:space="preserve">Abstract Draft</w:t>
      </w:r>
      <w:r>
        <w:rPr>
          <w:rFonts w:ascii="Times New Roman" w:cs="Times New Roman" w:eastAsia="Times New Roman" w:hAnsi="Times New Roman"/>
          <w:b/>
          <w:bCs/>
          <w:i w:val="false"/>
          <w:iCs w:val="false"/>
          <w:sz w:val="30"/>
          <w:szCs w:val="30"/>
        </w:rPr>
        <w:t xml:space="preserve">Abstract Draft</w:t>
      </w:r>
    </w:p>
    <w:p>
      <w:pPr>
        <w:spacing w:after="120" w:line="330"/>
        <w:jc w:val="left"/>
      </w:pPr>
      <w:r>
        <w:rPr>
          <w:rFonts w:ascii="Times New Roman" w:cs="Times New Roman" w:eastAsia="Times New Roman" w:hAnsi="Times New Roman"/>
          <w:b w:val="false"/>
          <w:bCs w:val="false"/>
          <w:i w:val="false"/>
          <w:iCs w:val="false"/>
          <w:sz w:val="22"/>
          <w:szCs w:val="22"/>
        </w:rPr>
        <w:t xml:space="preserve">Underwater harmful algal bloom microscopy images often suffer from color cast, low local contrast, blurred fine structures, and uneven illumination. These degradations can affect not only visual quality but also the readability of cell boundaries and texture cues required by downstream analysis. This work organizes the current project implementation into a staged enhancement framework. The pipeline first stabilizes the color baseline through gray-pixel-guided white balance, then constructs three responsibility-separated branches for high-frequency detail recovery, white-balance-safe contrast support, and CLAHE-guided local visibility. A luminance-domain fusion stage coordinates the branch outputs using gradient, texture, saliency, and exposure-related cues, followed by a lightweight illumination and contrast refinement step. Based on the internal full506 protocol, the current evidence supports cautious claims on improved structure-related metrics under the locked mainline configuration, while also revealing a real trade-off between fusion-driven structural gains and some no-reference visual quality scores. The paper positions the method as a reproducible, task-oriented engineering framework for underwater HAB microscopy enhancement rather than as a fully benchmarked general-purpose underwater enhancement model.</w:t>
      </w:r>
    </w:p>
    <w:p>
      <w:pPr>
        <w:pStyle w:val="Heading1"/>
        <w:spacing w:after="120" w:before="220"/>
      </w:pPr>
      <w:r>
        <w:t xml:space="preserve">Keywords</w:t>
      </w:r>
      <w:r>
        <w:rPr>
          <w:rFonts w:ascii="Times New Roman" w:cs="Times New Roman" w:eastAsia="Times New Roman" w:hAnsi="Times New Roman"/>
          <w:b/>
          <w:bCs/>
          <w:i w:val="false"/>
          <w:iCs w:val="false"/>
          <w:sz w:val="30"/>
          <w:szCs w:val="30"/>
        </w:rPr>
        <w:t xml:space="preserve">Keywords</w:t>
      </w:r>
    </w:p>
    <w:p>
      <w:pPr>
        <w:spacing w:after="120" w:line="330"/>
        <w:jc w:val="left"/>
      </w:pPr>
      <w:r>
        <w:rPr>
          <w:rFonts w:ascii="Times New Roman" w:cs="Times New Roman" w:eastAsia="Times New Roman" w:hAnsi="Times New Roman"/>
          <w:b w:val="false"/>
          <w:bCs w:val="false"/>
          <w:i w:val="false"/>
          <w:iCs w:val="false"/>
          <w:sz w:val="22"/>
          <w:szCs w:val="22"/>
        </w:rPr>
        <w:t xml:space="preserve">Underwater image enhancement; harmful algal bloom microscopy; white balance; multi-branch fusion; feature-gated fusion; structural readability.</w:t>
      </w:r>
    </w:p>
    <w:p>
      <w:pPr>
        <w:pStyle w:val="Heading1"/>
        <w:spacing w:after="120" w:before="220"/>
      </w:pPr>
      <w:r>
        <w:t xml:space="preserve">1. Introduction</w:t>
      </w:r>
      <w:r>
        <w:rPr>
          <w:rFonts w:ascii="Times New Roman" w:cs="Times New Roman" w:eastAsia="Times New Roman" w:hAnsi="Times New Roman"/>
          <w:b/>
          <w:bCs/>
          <w:i w:val="false"/>
          <w:iCs w:val="false"/>
          <w:sz w:val="30"/>
          <w:szCs w:val="30"/>
        </w:rPr>
        <w:t xml:space="preserve">1. Introduction</w:t>
      </w:r>
    </w:p>
    <w:p>
      <w:pPr>
        <w:spacing w:after="120" w:line="330"/>
        <w:jc w:val="left"/>
      </w:pPr>
      <w:r>
        <w:rPr>
          <w:rFonts w:ascii="Times New Roman" w:cs="Times New Roman" w:eastAsia="Times New Roman" w:hAnsi="Times New Roman"/>
          <w:b w:val="false"/>
          <w:bCs w:val="false"/>
          <w:i w:val="false"/>
          <w:iCs w:val="false"/>
          <w:sz w:val="22"/>
          <w:szCs w:val="22"/>
        </w:rPr>
        <w:t xml:space="preserve">Goal: motivate underwater HAB microscopy enhancement as a structure-sensitive restoration problem.</w:t>
      </w:r>
    </w:p>
    <w:p>
      <w:pPr>
        <w:spacing w:after="120" w:line="330"/>
        <w:jc w:val="left"/>
      </w:pPr>
      <w:r>
        <w:rPr>
          <w:rFonts w:ascii="Times New Roman" w:cs="Times New Roman" w:eastAsia="Times New Roman" w:hAnsi="Times New Roman"/>
          <w:b w:val="false"/>
          <w:bCs w:val="false"/>
          <w:i w:val="false"/>
          <w:iCs w:val="false"/>
          <w:sz w:val="22"/>
          <w:szCs w:val="22"/>
        </w:rPr>
        <w:t xml:space="preserve">Evidence to use: local project files, full506 protocol, existing Notion method pages, H1/H2 experiment records.</w:t>
      </w:r>
    </w:p>
    <w:p>
      <w:pPr>
        <w:spacing w:after="120" w:line="330"/>
        <w:jc w:val="left"/>
      </w:pPr>
      <w:r>
        <w:rPr>
          <w:rFonts w:ascii="Times New Roman" w:cs="Times New Roman" w:eastAsia="Times New Roman" w:hAnsi="Times New Roman"/>
          <w:b w:val="false"/>
          <w:bCs w:val="false"/>
          <w:i w:val="false"/>
          <w:iCs w:val="false"/>
          <w:sz w:val="22"/>
          <w:szCs w:val="22"/>
        </w:rPr>
        <w:t xml:space="preserve">Careful wording: avoid claiming state-of-the-art performance before external baselines and statistical analysis are completed.</w:t>
      </w:r>
    </w:p>
    <w:p>
      <w:pPr>
        <w:pStyle w:val="Heading1"/>
        <w:spacing w:after="120" w:before="220"/>
      </w:pPr>
      <w:r>
        <w:t xml:space="preserve">2. Related Work</w:t>
      </w:r>
      <w:r>
        <w:rPr>
          <w:rFonts w:ascii="Times New Roman" w:cs="Times New Roman" w:eastAsia="Times New Roman" w:hAnsi="Times New Roman"/>
          <w:b/>
          <w:bCs/>
          <w:i w:val="false"/>
          <w:iCs w:val="false"/>
          <w:sz w:val="30"/>
          <w:szCs w:val="30"/>
        </w:rPr>
        <w:t xml:space="preserve">2. Related Work</w:t>
      </w:r>
    </w:p>
    <w:p>
      <w:pPr>
        <w:pStyle w:val="Heading2"/>
        <w:spacing w:after="120" w:before="220"/>
      </w:pPr>
      <w:r>
        <w:t xml:space="preserve">2.1 Traditional Underwater Enhancement</w:t>
      </w:r>
      <w:r>
        <w:rPr>
          <w:rFonts w:ascii="Times New Roman" w:cs="Times New Roman" w:eastAsia="Times New Roman" w:hAnsi="Times New Roman"/>
          <w:b/>
          <w:bCs/>
          <w:i w:val="false"/>
          <w:iCs w:val="false"/>
          <w:sz w:val="26"/>
          <w:szCs w:val="26"/>
        </w:rPr>
        <w:t xml:space="preserve">2.1 Traditional Underwater Enhancement</w:t>
      </w:r>
    </w:p>
    <w:p>
      <w:pPr>
        <w:spacing w:after="120" w:line="330"/>
        <w:jc w:val="left"/>
      </w:pPr>
      <w:r>
        <w:rPr>
          <w:rFonts w:ascii="Times New Roman" w:cs="Times New Roman" w:eastAsia="Times New Roman" w:hAnsi="Times New Roman"/>
          <w:b w:val="false"/>
          <w:bCs w:val="false"/>
          <w:i w:val="false"/>
          <w:iCs w:val="false"/>
          <w:sz w:val="22"/>
          <w:szCs w:val="22"/>
        </w:rPr>
        <w:t xml:space="preserve">Discuss color balance, fusion, generalized dark channel prior, Retinex or reflectance-prior methods, and wavelet or perception-based fusion.</w:t>
      </w:r>
    </w:p>
    <w:p>
      <w:pPr>
        <w:spacing w:after="120" w:line="330"/>
        <w:jc w:val="left"/>
      </w:pPr>
      <w:r>
        <w:rPr>
          <w:rFonts w:ascii="Times New Roman" w:cs="Times New Roman" w:eastAsia="Times New Roman" w:hAnsi="Times New Roman"/>
          <w:b w:val="false"/>
          <w:bCs w:val="false"/>
          <w:i w:val="false"/>
          <w:iCs w:val="false"/>
          <w:sz w:val="22"/>
          <w:szCs w:val="22"/>
        </w:rPr>
        <w:t xml:space="preserve">Verified references: Ancuti et al. 2018; Peng et al. 2018; Zhuang et al. 2022; Zhang et al. 2024.</w:t>
      </w:r>
    </w:p>
    <w:p>
      <w:pPr>
        <w:pStyle w:val="Heading2"/>
        <w:spacing w:after="120" w:before="220"/>
      </w:pPr>
      <w:r>
        <w:t xml:space="preserve">2.2 HAB Microscopy-Oriented Enhancement</w:t>
      </w:r>
      <w:r>
        <w:rPr>
          <w:rFonts w:ascii="Times New Roman" w:cs="Times New Roman" w:eastAsia="Times New Roman" w:hAnsi="Times New Roman"/>
          <w:b/>
          <w:bCs/>
          <w:i w:val="false"/>
          <w:iCs w:val="false"/>
          <w:sz w:val="26"/>
          <w:szCs w:val="26"/>
        </w:rPr>
        <w:t xml:space="preserve">2.2 HAB Microscopy-Oriented Enhancement</w:t>
      </w:r>
    </w:p>
    <w:p>
      <w:pPr>
        <w:spacing w:after="120" w:line="330"/>
        <w:jc w:val="left"/>
      </w:pPr>
      <w:r>
        <w:rPr>
          <w:rFonts w:ascii="Times New Roman" w:cs="Times New Roman" w:eastAsia="Times New Roman" w:hAnsi="Times New Roman"/>
          <w:b w:val="false"/>
          <w:bCs w:val="false"/>
          <w:i w:val="false"/>
          <w:iCs w:val="false"/>
          <w:sz w:val="22"/>
          <w:szCs w:val="22"/>
        </w:rPr>
        <w:t xml:space="preserve">Discuss EMD/wavelet fusion, cyclic color compensation, and adaptive white balance plus pyramid fusion in submarine algal microscopy.</w:t>
      </w:r>
    </w:p>
    <w:p>
      <w:pPr>
        <w:spacing w:after="120" w:line="330"/>
        <w:jc w:val="left"/>
      </w:pPr>
      <w:r>
        <w:rPr>
          <w:rFonts w:ascii="Times New Roman" w:cs="Times New Roman" w:eastAsia="Times New Roman" w:hAnsi="Times New Roman"/>
          <w:b w:val="false"/>
          <w:bCs w:val="false"/>
          <w:i w:val="false"/>
          <w:iCs w:val="false"/>
          <w:sz w:val="22"/>
          <w:szCs w:val="22"/>
        </w:rPr>
        <w:t xml:space="preserve">Verified references: Wu et al. 2023 Applied Intelligence; Wu et al. 2023 Multimedia Tools and Applications; Fan et al. 2025 Image and Vision Computing.</w:t>
      </w:r>
    </w:p>
    <w:p>
      <w:pPr>
        <w:pStyle w:val="Heading2"/>
        <w:spacing w:after="120" w:before="220"/>
      </w:pPr>
      <w:r>
        <w:t xml:space="preserve">2.3 Learning-Based and White-Balance-Oriented Models</w:t>
      </w:r>
      <w:r>
        <w:rPr>
          <w:rFonts w:ascii="Times New Roman" w:cs="Times New Roman" w:eastAsia="Times New Roman" w:hAnsi="Times New Roman"/>
          <w:b/>
          <w:bCs/>
          <w:i w:val="false"/>
          <w:iCs w:val="false"/>
          <w:sz w:val="26"/>
          <w:szCs w:val="26"/>
        </w:rPr>
        <w:t xml:space="preserve">2.3 Learning-Based and White-Balance-Oriented Models</w:t>
      </w:r>
    </w:p>
    <w:p>
      <w:pPr>
        <w:spacing w:after="120" w:line="330"/>
        <w:jc w:val="left"/>
      </w:pPr>
      <w:r>
        <w:rPr>
          <w:rFonts w:ascii="Times New Roman" w:cs="Times New Roman" w:eastAsia="Times New Roman" w:hAnsi="Times New Roman"/>
          <w:b w:val="false"/>
          <w:bCs w:val="false"/>
          <w:i w:val="false"/>
          <w:iCs w:val="false"/>
          <w:sz w:val="22"/>
          <w:szCs w:val="22"/>
        </w:rPr>
        <w:t xml:space="preserve">Discuss SGUIE-Net, Histoformer, and white-balance transformers only as contextual references unless direct experiments are added.</w:t>
      </w:r>
    </w:p>
    <w:p>
      <w:pPr>
        <w:spacing w:after="120" w:line="330"/>
        <w:jc w:val="left"/>
      </w:pPr>
      <w:r>
        <w:rPr>
          <w:rFonts w:ascii="Times New Roman" w:cs="Times New Roman" w:eastAsia="Times New Roman" w:hAnsi="Times New Roman"/>
          <w:b w:val="false"/>
          <w:bCs w:val="false"/>
          <w:i w:val="false"/>
          <w:iCs w:val="false"/>
          <w:sz w:val="22"/>
          <w:szCs w:val="22"/>
        </w:rPr>
        <w:t xml:space="preserve">Verified references: Qi et al. 2022; Peng et al. 2025; Chiu et al. 2025; Peng and Chen 2025.</w:t>
      </w:r>
    </w:p>
    <w:p>
      <w:pPr>
        <w:pStyle w:val="Heading1"/>
        <w:spacing w:after="120" w:before="220"/>
      </w:pPr>
      <w:r>
        <w:t xml:space="preserve">3. Method</w:t>
      </w:r>
      <w:r>
        <w:rPr>
          <w:rFonts w:ascii="Times New Roman" w:cs="Times New Roman" w:eastAsia="Times New Roman" w:hAnsi="Times New Roman"/>
          <w:b/>
          <w:bCs/>
          <w:i w:val="false"/>
          <w:iCs w:val="false"/>
          <w:sz w:val="30"/>
          <w:szCs w:val="30"/>
        </w:rPr>
        <w:t xml:space="preserve">3. Method</w:t>
      </w:r>
    </w:p>
    <w:p>
      <w:pPr>
        <w:pStyle w:val="Heading2"/>
        <w:spacing w:after="120" w:before="220"/>
      </w:pPr>
      <w:r>
        <w:t xml:space="preserve">3.1 Overview</w:t>
      </w:r>
      <w:r>
        <w:rPr>
          <w:rFonts w:ascii="Times New Roman" w:cs="Times New Roman" w:eastAsia="Times New Roman" w:hAnsi="Times New Roman"/>
          <w:b/>
          <w:bCs/>
          <w:i w:val="false"/>
          <w:iCs w:val="false"/>
          <w:sz w:val="26"/>
          <w:szCs w:val="26"/>
        </w:rPr>
        <w:t xml:space="preserve">3.1 Overview</w:t>
      </w:r>
    </w:p>
    <w:p>
      <w:pPr>
        <w:spacing w:after="120" w:line="330"/>
        <w:jc w:val="left"/>
      </w:pPr>
      <w:r>
        <w:rPr>
          <w:rFonts w:ascii="Times New Roman" w:cs="Times New Roman" w:eastAsia="Times New Roman" w:hAnsi="Times New Roman"/>
          <w:b w:val="false"/>
          <w:bCs w:val="false"/>
          <w:i w:val="false"/>
          <w:iCs w:val="false"/>
          <w:sz w:val="22"/>
          <w:szCs w:val="22"/>
        </w:rPr>
        <w:t xml:space="preserve">Pipeline: Original -&gt; BPH -&gt; IMF1Ray -&gt; RGHS -&gt; CLAHE -&gt; Fused -&gt; Final.</w:t>
      </w:r>
    </w:p>
    <w:p>
      <w:pPr>
        <w:pStyle w:val="Heading2"/>
        <w:spacing w:after="120" w:before="220"/>
      </w:pPr>
      <w:r>
        <w:t xml:space="preserve">3.2 Gray-Pixel-Guided White-Balance Stabilization</w:t>
      </w:r>
      <w:r>
        <w:rPr>
          <w:rFonts w:ascii="Times New Roman" w:cs="Times New Roman" w:eastAsia="Times New Roman" w:hAnsi="Times New Roman"/>
          <w:b/>
          <w:bCs/>
          <w:i w:val="false"/>
          <w:iCs w:val="false"/>
          <w:sz w:val="26"/>
          <w:szCs w:val="26"/>
        </w:rPr>
        <w:t xml:space="preserve">3.2 Gray-Pixel-Guided White-Balance Stabilization</w:t>
      </w:r>
    </w:p>
    <w:p>
      <w:pPr>
        <w:spacing w:after="120" w:line="330"/>
        <w:jc w:val="left"/>
      </w:pPr>
      <w:r>
        <w:rPr>
          <w:rFonts w:ascii="Times New Roman" w:cs="Times New Roman" w:eastAsia="Times New Roman" w:hAnsi="Times New Roman"/>
          <w:b w:val="false"/>
          <w:bCs w:val="false"/>
          <w:i w:val="false"/>
          <w:iCs w:val="false"/>
          <w:sz w:val="22"/>
          <w:szCs w:val="22"/>
        </w:rPr>
        <w:t xml:space="preserve">Describe BPH as gray-pixel-guided pre-white-balance plus conservative contrast and brightness restoration.</w:t>
      </w:r>
    </w:p>
    <w:p>
      <w:pPr>
        <w:pStyle w:val="Heading2"/>
        <w:spacing w:after="120" w:before="220"/>
      </w:pPr>
      <w:r>
        <w:t xml:space="preserve">3.3 Responsibility-Separated Enhancement Branches</w:t>
      </w:r>
      <w:r>
        <w:rPr>
          <w:rFonts w:ascii="Times New Roman" w:cs="Times New Roman" w:eastAsia="Times New Roman" w:hAnsi="Times New Roman"/>
          <w:b/>
          <w:bCs/>
          <w:i w:val="false"/>
          <w:iCs w:val="false"/>
          <w:sz w:val="26"/>
          <w:szCs w:val="26"/>
        </w:rPr>
        <w:t xml:space="preserve">3.3 Responsibility-Separated Enhancement Branches</w:t>
      </w:r>
    </w:p>
    <w:p>
      <w:pPr>
        <w:spacing w:after="120" w:line="330"/>
        <w:jc w:val="left"/>
      </w:pPr>
      <w:r>
        <w:rPr>
          <w:rFonts w:ascii="Times New Roman" w:cs="Times New Roman" w:eastAsia="Times New Roman" w:hAnsi="Times New Roman"/>
          <w:b w:val="false"/>
          <w:bCs w:val="false"/>
          <w:i w:val="false"/>
          <w:iCs w:val="false"/>
          <w:sz w:val="22"/>
          <w:szCs w:val="22"/>
        </w:rPr>
        <w:t xml:space="preserve">IMF1Ray: Lab L-channel EMD IMF1 extraction, guided filtering, local energy and Rayleigh matching.</w:t>
      </w:r>
    </w:p>
    <w:p>
      <w:pPr>
        <w:spacing w:after="120" w:line="330"/>
        <w:jc w:val="left"/>
      </w:pPr>
      <w:r>
        <w:rPr>
          <w:rFonts w:ascii="Times New Roman" w:cs="Times New Roman" w:eastAsia="Times New Roman" w:hAnsi="Times New Roman"/>
          <w:b w:val="false"/>
          <w:bCs w:val="false"/>
          <w:i w:val="false"/>
          <w:iCs w:val="false"/>
          <w:sz w:val="22"/>
          <w:szCs w:val="22"/>
        </w:rPr>
        <w:t xml:space="preserve">RGHS: white-balance-safe contrast branch, Lab luminance contrast, chroma protection, gamut guard.</w:t>
      </w:r>
    </w:p>
    <w:p>
      <w:pPr>
        <w:spacing w:after="120" w:line="330"/>
        <w:jc w:val="left"/>
      </w:pPr>
      <w:r>
        <w:rPr>
          <w:rFonts w:ascii="Times New Roman" w:cs="Times New Roman" w:eastAsia="Times New Roman" w:hAnsi="Times New Roman"/>
          <w:b w:val="false"/>
          <w:bCs w:val="false"/>
          <w:i w:val="false"/>
          <w:iCs w:val="false"/>
          <w:sz w:val="22"/>
          <w:szCs w:val="22"/>
        </w:rPr>
        <w:t xml:space="preserve">CLAHE: CLAHE-guided visibility branch, gain-map smoothing, RGB proportional gain, Lab post adjustment.</w:t>
      </w:r>
    </w:p>
    <w:p>
      <w:pPr>
        <w:pStyle w:val="Heading2"/>
        <w:spacing w:after="120" w:before="220"/>
      </w:pPr>
      <w:r>
        <w:t xml:space="preserve">3.4 Feature-Gated Luminance Fusion</w:t>
      </w:r>
      <w:r>
        <w:rPr>
          <w:rFonts w:ascii="Times New Roman" w:cs="Times New Roman" w:eastAsia="Times New Roman" w:hAnsi="Times New Roman"/>
          <w:b/>
          <w:bCs/>
          <w:i w:val="false"/>
          <w:iCs w:val="false"/>
          <w:sz w:val="26"/>
          <w:szCs w:val="26"/>
        </w:rPr>
        <w:t xml:space="preserve">3.4 Feature-Gated Luminance Fusion</w:t>
      </w:r>
    </w:p>
    <w:p>
      <w:pPr>
        <w:spacing w:after="120" w:line="330"/>
        <w:jc w:val="left"/>
      </w:pPr>
      <w:r>
        <w:rPr>
          <w:rFonts w:ascii="Times New Roman" w:cs="Times New Roman" w:eastAsia="Times New Roman" w:hAnsi="Times New Roman"/>
          <w:b w:val="false"/>
          <w:bCs w:val="false"/>
          <w:i w:val="false"/>
          <w:iCs w:val="false"/>
          <w:sz w:val="22"/>
          <w:szCs w:val="22"/>
        </w:rPr>
        <w:t xml:space="preserve">Describe gradient, texture, saliency, exposure, guided alignment, pyramid fusion, and RGHS color anchor.</w:t>
      </w:r>
    </w:p>
    <w:p>
      <w:pPr>
        <w:pStyle w:val="Heading2"/>
        <w:spacing w:after="120" w:before="220"/>
      </w:pPr>
      <w:r>
        <w:t xml:space="preserve">3.5 Final Illumination Refinement</w:t>
      </w:r>
      <w:r>
        <w:rPr>
          <w:rFonts w:ascii="Times New Roman" w:cs="Times New Roman" w:eastAsia="Times New Roman" w:hAnsi="Times New Roman"/>
          <w:b/>
          <w:bCs/>
          <w:i w:val="false"/>
          <w:iCs w:val="false"/>
          <w:sz w:val="26"/>
          <w:szCs w:val="26"/>
        </w:rPr>
        <w:t xml:space="preserve">3.5 Final Illumination Refinement</w:t>
      </w:r>
    </w:p>
    <w:p>
      <w:pPr>
        <w:spacing w:after="120" w:line="330"/>
        <w:jc w:val="left"/>
      </w:pPr>
      <w:r>
        <w:rPr>
          <w:rFonts w:ascii="Times New Roman" w:cs="Times New Roman" w:eastAsia="Times New Roman" w:hAnsi="Times New Roman"/>
          <w:b w:val="false"/>
          <w:bCs w:val="false"/>
          <w:i w:val="false"/>
          <w:iCs w:val="false"/>
          <w:sz w:val="22"/>
          <w:szCs w:val="22"/>
        </w:rPr>
        <w:t xml:space="preserve">Describe the current homomorphic entropy refinement cautiously as a finishing stage, not the main contribution.</w:t>
      </w:r>
    </w:p>
    <w:p>
      <w:pPr>
        <w:pStyle w:val="Heading1"/>
        <w:spacing w:after="120" w:before="220"/>
      </w:pPr>
      <w:r>
        <w:t xml:space="preserve">4. Experiments</w:t>
      </w:r>
      <w:r>
        <w:rPr>
          <w:rFonts w:ascii="Times New Roman" w:cs="Times New Roman" w:eastAsia="Times New Roman" w:hAnsi="Times New Roman"/>
          <w:b/>
          <w:bCs/>
          <w:i w:val="false"/>
          <w:iCs w:val="false"/>
          <w:sz w:val="30"/>
          <w:szCs w:val="30"/>
        </w:rPr>
        <w:t xml:space="preserve">4. Experiments</w:t>
      </w:r>
    </w:p>
    <w:p>
      <w:pPr>
        <w:pStyle w:val="Heading2"/>
        <w:spacing w:after="120" w:before="220"/>
      </w:pPr>
      <w:r>
        <w:t xml:space="preserve">4.1 Dataset and Protocol</w:t>
      </w:r>
      <w:r>
        <w:rPr>
          <w:rFonts w:ascii="Times New Roman" w:cs="Times New Roman" w:eastAsia="Times New Roman" w:hAnsi="Times New Roman"/>
          <w:b/>
          <w:bCs/>
          <w:i w:val="false"/>
          <w:iCs w:val="false"/>
          <w:sz w:val="26"/>
          <w:szCs w:val="26"/>
        </w:rPr>
        <w:t xml:space="preserve">4.1 Dataset and Protocol</w:t>
      </w:r>
    </w:p>
    <w:p>
      <w:pPr>
        <w:spacing w:after="120" w:line="330"/>
        <w:jc w:val="left"/>
      </w:pPr>
      <w:r>
        <w:rPr>
          <w:rFonts w:ascii="Times New Roman" w:cs="Times New Roman" w:eastAsia="Times New Roman" w:hAnsi="Times New Roman"/>
          <w:b w:val="false"/>
          <w:bCs w:val="false"/>
          <w:i w:val="false"/>
          <w:iCs w:val="false"/>
          <w:sz w:val="22"/>
          <w:szCs w:val="22"/>
        </w:rPr>
        <w:t xml:space="preserve">Internal full506 protocol: 506 images from local project input directory.</w:t>
      </w:r>
    </w:p>
    <w:p>
      <w:pPr>
        <w:pStyle w:val="Heading2"/>
        <w:spacing w:after="120" w:before="220"/>
      </w:pPr>
      <w:r>
        <w:t xml:space="preserve">4.2 Metrics</w:t>
      </w:r>
      <w:r>
        <w:rPr>
          <w:rFonts w:ascii="Times New Roman" w:cs="Times New Roman" w:eastAsia="Times New Roman" w:hAnsi="Times New Roman"/>
          <w:b/>
          <w:bCs/>
          <w:i w:val="false"/>
          <w:iCs w:val="false"/>
          <w:sz w:val="26"/>
          <w:szCs w:val="26"/>
        </w:rPr>
        <w:t xml:space="preserve">4.2 Metrics</w:t>
      </w:r>
    </w:p>
    <w:p>
      <w:pPr>
        <w:spacing w:after="120" w:line="330"/>
        <w:jc w:val="left"/>
      </w:pPr>
      <w:r>
        <w:rPr>
          <w:rFonts w:ascii="Times New Roman" w:cs="Times New Roman" w:eastAsia="Times New Roman" w:hAnsi="Times New Roman"/>
          <w:b w:val="false"/>
          <w:bCs w:val="false"/>
          <w:i w:val="false"/>
          <w:iCs w:val="false"/>
          <w:sz w:val="22"/>
          <w:szCs w:val="22"/>
        </w:rPr>
        <w:t xml:space="preserve">Report MS-SSIM, PSNR, UCIQE, UIQM, SIFT keypoints, AvgGra, contrast, EME, EMEE, entropy, and internal composite score.</w:t>
      </w:r>
    </w:p>
    <w:p>
      <w:pPr>
        <w:pStyle w:val="Heading2"/>
        <w:spacing w:after="120" w:before="220"/>
      </w:pPr>
      <w:r>
        <w:t xml:space="preserve">4.3 H1 White-Balance Ablation</w:t>
      </w:r>
      <w:r>
        <w:rPr>
          <w:rFonts w:ascii="Times New Roman" w:cs="Times New Roman" w:eastAsia="Times New Roman" w:hAnsi="Times New Roman"/>
          <w:b/>
          <w:bCs/>
          <w:i w:val="false"/>
          <w:iCs w:val="false"/>
          <w:sz w:val="26"/>
          <w:szCs w:val="26"/>
        </w:rPr>
        <w:t xml:space="preserve">4.3 H1 White-Balance Ablation</w:t>
      </w:r>
    </w:p>
    <w:p>
      <w:pPr>
        <w:spacing w:after="120" w:line="330"/>
        <w:jc w:val="left"/>
      </w:pPr>
      <w:r>
        <w:rPr>
          <w:rFonts w:ascii="Times New Roman" w:cs="Times New Roman" w:eastAsia="Times New Roman" w:hAnsi="Times New Roman"/>
          <w:b w:val="false"/>
          <w:bCs w:val="false"/>
          <w:i w:val="false"/>
          <w:iCs w:val="false"/>
          <w:sz w:val="22"/>
          <w:szCs w:val="22"/>
        </w:rPr>
        <w:t xml:space="preserve">Use baseline and accepted BPH configuration results from the local experiment summary.</w:t>
      </w:r>
    </w:p>
    <w:p>
      <w:pPr>
        <w:pStyle w:val="Heading2"/>
        <w:spacing w:after="120" w:before="220"/>
      </w:pPr>
      <w:r>
        <w:t xml:space="preserve">4.4 H2 Sequential Branch Optimization</w:t>
      </w:r>
      <w:r>
        <w:rPr>
          <w:rFonts w:ascii="Times New Roman" w:cs="Times New Roman" w:eastAsia="Times New Roman" w:hAnsi="Times New Roman"/>
          <w:b/>
          <w:bCs/>
          <w:i w:val="false"/>
          <w:iCs w:val="false"/>
          <w:sz w:val="26"/>
          <w:szCs w:val="26"/>
        </w:rPr>
        <w:t xml:space="preserve">4.4 H2 Sequential Branch Optimization</w:t>
      </w:r>
    </w:p>
    <w:p>
      <w:pPr>
        <w:spacing w:after="120" w:line="330"/>
        <w:jc w:val="left"/>
      </w:pPr>
      <w:r>
        <w:rPr>
          <w:rFonts w:ascii="Times New Roman" w:cs="Times New Roman" w:eastAsia="Times New Roman" w:hAnsi="Times New Roman"/>
          <w:b w:val="false"/>
          <w:bCs w:val="false"/>
          <w:i w:val="false"/>
          <w:iCs w:val="false"/>
          <w:sz w:val="22"/>
          <w:szCs w:val="22"/>
        </w:rPr>
        <w:t xml:space="preserve">Use locked RGHS, CLAHE, and Fusion selections. Explicitly discuss Fusion's structural improvement and no-reference visual score rollback.</w:t>
      </w:r>
    </w:p>
    <w:p>
      <w:pPr>
        <w:pStyle w:val="Heading2"/>
        <w:spacing w:after="120" w:before="220"/>
      </w:pPr>
      <w:r>
        <w:t xml:space="preserve">4.5 Qualitative Analysis</w:t>
      </w:r>
      <w:r>
        <w:rPr>
          <w:rFonts w:ascii="Times New Roman" w:cs="Times New Roman" w:eastAsia="Times New Roman" w:hAnsi="Times New Roman"/>
          <w:b/>
          <w:bCs/>
          <w:i w:val="false"/>
          <w:iCs w:val="false"/>
          <w:sz w:val="26"/>
          <w:szCs w:val="26"/>
        </w:rPr>
        <w:t xml:space="preserve">4.5 Qualitative Analysis</w:t>
      </w:r>
    </w:p>
    <w:p>
      <w:pPr>
        <w:spacing w:after="120" w:line="330"/>
        <w:jc w:val="left"/>
      </w:pPr>
      <w:r>
        <w:rPr>
          <w:rFonts w:ascii="Times New Roman" w:cs="Times New Roman" w:eastAsia="Times New Roman" w:hAnsi="Times New Roman"/>
          <w:b w:val="false"/>
          <w:bCs w:val="false"/>
          <w:i w:val="false"/>
          <w:iCs w:val="false"/>
          <w:sz w:val="22"/>
          <w:szCs w:val="22"/>
        </w:rPr>
        <w:t xml:space="preserve">Add representative image panels after manual selection.</w:t>
      </w:r>
    </w:p>
    <w:p>
      <w:pPr>
        <w:pStyle w:val="Heading2"/>
        <w:spacing w:after="120" w:before="220"/>
      </w:pPr>
      <w:r>
        <w:t xml:space="preserve">4.6 Missing External Baselines</w:t>
      </w:r>
      <w:r>
        <w:rPr>
          <w:rFonts w:ascii="Times New Roman" w:cs="Times New Roman" w:eastAsia="Times New Roman" w:hAnsi="Times New Roman"/>
          <w:b/>
          <w:bCs/>
          <w:i w:val="false"/>
          <w:iCs w:val="false"/>
          <w:sz w:val="26"/>
          <w:szCs w:val="26"/>
        </w:rPr>
        <w:t xml:space="preserve">4.6 Missing External Baselines</w:t>
      </w:r>
    </w:p>
    <w:p>
      <w:pPr>
        <w:spacing w:after="120" w:line="330"/>
        <w:jc w:val="left"/>
      </w:pPr>
      <w:r>
        <w:rPr>
          <w:rFonts w:ascii="Times New Roman" w:cs="Times New Roman" w:eastAsia="Times New Roman" w:hAnsi="Times New Roman"/>
          <w:b w:val="false"/>
          <w:bCs w:val="false"/>
          <w:i w:val="false"/>
          <w:iCs w:val="false"/>
          <w:sz w:val="22"/>
          <w:szCs w:val="22"/>
        </w:rPr>
        <w:t xml:space="preserve">Add Color Balance and Fusion, WWPF, HAB-specific baselines, SGUIE-Net, and Histoformer when runnable.</w:t>
      </w:r>
    </w:p>
    <w:p>
      <w:pPr>
        <w:pStyle w:val="Heading1"/>
        <w:spacing w:after="120" w:before="220"/>
      </w:pPr>
      <w:r>
        <w:t xml:space="preserve">5. Discussion and Limitations</w:t>
      </w:r>
      <w:r>
        <w:rPr>
          <w:rFonts w:ascii="Times New Roman" w:cs="Times New Roman" w:eastAsia="Times New Roman" w:hAnsi="Times New Roman"/>
          <w:b/>
          <w:bCs/>
          <w:i w:val="false"/>
          <w:iCs w:val="false"/>
          <w:sz w:val="30"/>
          <w:szCs w:val="30"/>
        </w:rPr>
        <w:t xml:space="preserve">5. Discussion and Limitations</w:t>
      </w:r>
    </w:p>
    <w:p>
      <w:pPr>
        <w:spacing w:after="120" w:line="330"/>
        <w:jc w:val="left"/>
      </w:pPr>
      <w:r>
        <w:rPr>
          <w:rFonts w:ascii="Times New Roman" w:cs="Times New Roman" w:eastAsia="Times New Roman" w:hAnsi="Times New Roman"/>
          <w:b w:val="false"/>
          <w:bCs w:val="false"/>
          <w:i w:val="false"/>
          <w:iCs w:val="false"/>
          <w:sz w:val="22"/>
          <w:szCs w:val="22"/>
        </w:rPr>
        <w:t xml:space="preserve">Focus on internal evidence boundaries, historical module names, lack of external benchmarks, missing downstream edge validation, and metric trade-offs.</w:t>
      </w:r>
    </w:p>
    <w:p>
      <w:pPr>
        <w:pStyle w:val="Heading1"/>
        <w:spacing w:after="120" w:before="220"/>
      </w:pPr>
      <w:r>
        <w:t xml:space="preserve">6. Conclusion</w:t>
      </w:r>
      <w:r>
        <w:rPr>
          <w:rFonts w:ascii="Times New Roman" w:cs="Times New Roman" w:eastAsia="Times New Roman" w:hAnsi="Times New Roman"/>
          <w:b/>
          <w:bCs/>
          <w:i w:val="false"/>
          <w:iCs w:val="false"/>
          <w:sz w:val="30"/>
          <w:szCs w:val="30"/>
        </w:rPr>
        <w:t xml:space="preserve">6. Conclusion</w:t>
      </w:r>
    </w:p>
    <w:p>
      <w:pPr>
        <w:spacing w:after="120" w:line="330"/>
        <w:jc w:val="left"/>
      </w:pPr>
      <w:r>
        <w:rPr>
          <w:rFonts w:ascii="Times New Roman" w:cs="Times New Roman" w:eastAsia="Times New Roman" w:hAnsi="Times New Roman"/>
          <w:b w:val="false"/>
          <w:bCs w:val="false"/>
          <w:i w:val="false"/>
          <w:iCs w:val="false"/>
          <w:sz w:val="22"/>
          <w:szCs w:val="22"/>
        </w:rPr>
        <w:t xml:space="preserve">Conclude with a cautious claim: the current project provides an implementation-aligned staged enhancement framework with measurable internal structural gains and a clear path toward stronger journal submission evidence.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underwater_image_enhancement_outline_en.md</dc:title>
  <dc:creator>Codex</dc:creator>
  <dc:description>Generated from Markdown for the underwater image enhancement paper draft.</dc:description>
  <cp:lastModifiedBy>Un-named</cp:lastModifiedBy>
  <cp:revision>1</cp:revision>
  <dcterms:created xsi:type="dcterms:W3CDTF">2026-04-22T12:43:48.830Z</dcterms:created>
  <dcterms:modified xsi:type="dcterms:W3CDTF">2026-04-22T12:43:48.831Z</dcterms:modified>
</cp:coreProperties>
</file>

<file path=docProps/custom.xml><?xml version="1.0" encoding="utf-8"?>
<Properties xmlns="http://schemas.openxmlformats.org/officeDocument/2006/custom-properties" xmlns:vt="http://schemas.openxmlformats.org/officeDocument/2006/docPropsVTypes"/>
</file>